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E078C8">
        <w:rPr>
          <w:rFonts w:ascii="方正小标宋简体" w:eastAsia="方正小标宋简体" w:hint="eastAsia"/>
          <w:sz w:val="44"/>
          <w:szCs w:val="44"/>
        </w:rPr>
        <w:t>红星路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C17" w:rsidRDefault="00D52C17" w:rsidP="00CE6173">
      <w:r>
        <w:separator/>
      </w:r>
    </w:p>
  </w:endnote>
  <w:endnote w:type="continuationSeparator" w:id="1">
    <w:p w:rsidR="00D52C17" w:rsidRDefault="00D52C17"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C17" w:rsidRDefault="00D52C17" w:rsidP="00CE6173">
      <w:r>
        <w:separator/>
      </w:r>
    </w:p>
  </w:footnote>
  <w:footnote w:type="continuationSeparator" w:id="1">
    <w:p w:rsidR="00D52C17" w:rsidRDefault="00D52C17"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24734A"/>
    <w:rsid w:val="00961D9E"/>
    <w:rsid w:val="00CE6173"/>
    <w:rsid w:val="00D52C17"/>
    <w:rsid w:val="00E07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2020-10-29T07:41:00Z</dcterms:modified>
</cp:coreProperties>
</file>