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Ind w:w="2" w:type="dxa"/>
        <w:tblCellMar>
          <w:left w:w="0" w:type="dxa"/>
          <w:right w:w="0" w:type="dxa"/>
        </w:tblCellMar>
        <w:tblLook w:val="00A0"/>
      </w:tblPr>
      <w:tblGrid>
        <w:gridCol w:w="4638"/>
        <w:gridCol w:w="3728"/>
      </w:tblGrid>
      <w:tr w:rsidR="00651B35" w:rsidRPr="00D47368" w:rsidTr="00E9576D">
        <w:trPr>
          <w:trHeight w:val="835"/>
          <w:tblCellSpacing w:w="15" w:type="dxa"/>
        </w:trPr>
        <w:tc>
          <w:tcPr>
            <w:tcW w:w="4964" w:type="pct"/>
            <w:gridSpan w:val="2"/>
            <w:vAlign w:val="center"/>
          </w:tcPr>
          <w:p w:rsidR="00651B35" w:rsidRPr="00072D10" w:rsidRDefault="00651B35" w:rsidP="00651B35">
            <w:pPr>
              <w:widowControl/>
              <w:ind w:firstLineChars="150" w:firstLine="31680"/>
              <w:jc w:val="left"/>
              <w:rPr>
                <w:rFonts w:ascii="微软雅黑" w:eastAsia="微软雅黑" w:hAnsi="宋体" w:cs="Times New Roman"/>
                <w:kern w:val="0"/>
                <w:sz w:val="24"/>
                <w:szCs w:val="24"/>
              </w:rPr>
            </w:pPr>
            <w:r>
              <w:rPr>
                <w:rFonts w:ascii="微软雅黑" w:eastAsia="微软雅黑" w:hAnsi="宋体" w:cs="微软雅黑" w:hint="eastAsia"/>
                <w:kern w:val="0"/>
                <w:sz w:val="24"/>
                <w:szCs w:val="24"/>
              </w:rPr>
              <w:t>《</w:t>
            </w:r>
            <w:r w:rsidRPr="00072D10">
              <w:rPr>
                <w:rFonts w:ascii="微软雅黑" w:eastAsia="微软雅黑" w:hAnsi="宋体" w:cs="微软雅黑" w:hint="eastAsia"/>
                <w:kern w:val="0"/>
                <w:sz w:val="24"/>
                <w:szCs w:val="24"/>
              </w:rPr>
              <w:t>市场监管总局关于规范市场监督管理行政处罚裁量权的指导意见</w:t>
            </w:r>
            <w:r>
              <w:rPr>
                <w:rFonts w:ascii="微软雅黑" w:eastAsia="微软雅黑" w:hAnsi="宋体" w:cs="微软雅黑" w:hint="eastAsia"/>
                <w:kern w:val="0"/>
                <w:sz w:val="24"/>
                <w:szCs w:val="24"/>
              </w:rPr>
              <w:t>》</w:t>
            </w:r>
          </w:p>
        </w:tc>
      </w:tr>
      <w:tr w:rsidR="00651B35" w:rsidRPr="00D47368">
        <w:trPr>
          <w:tblCellSpacing w:w="15" w:type="dxa"/>
        </w:trPr>
        <w:tc>
          <w:tcPr>
            <w:tcW w:w="2755" w:type="pct"/>
            <w:vAlign w:val="center"/>
          </w:tcPr>
          <w:p w:rsidR="00651B35" w:rsidRPr="00072D10" w:rsidRDefault="00651B35" w:rsidP="00E9576D">
            <w:pPr>
              <w:widowControl/>
              <w:numPr>
                <w:ilvl w:val="0"/>
                <w:numId w:val="2"/>
              </w:numPr>
              <w:spacing w:line="340" w:lineRule="exact"/>
              <w:ind w:left="0" w:hanging="357"/>
              <w:jc w:val="left"/>
              <w:rPr>
                <w:rFonts w:ascii="微软雅黑" w:eastAsia="微软雅黑" w:hAnsi="宋体" w:cs="Times New Roman"/>
                <w:color w:val="333333"/>
                <w:kern w:val="0"/>
                <w:sz w:val="24"/>
                <w:szCs w:val="24"/>
              </w:rPr>
            </w:pPr>
            <w:r w:rsidRPr="00072D10">
              <w:rPr>
                <w:rFonts w:ascii="微软雅黑" w:eastAsia="微软雅黑" w:hAnsi="宋体" w:cs="微软雅黑" w:hint="eastAsia"/>
                <w:color w:val="333333"/>
                <w:kern w:val="0"/>
                <w:sz w:val="24"/>
                <w:szCs w:val="24"/>
              </w:rPr>
              <w:t>索引号：</w:t>
            </w:r>
          </w:p>
          <w:p w:rsidR="00651B35" w:rsidRPr="00072D10" w:rsidRDefault="00651B35" w:rsidP="00E9576D">
            <w:pPr>
              <w:widowControl/>
              <w:numPr>
                <w:ilvl w:val="0"/>
                <w:numId w:val="2"/>
              </w:numPr>
              <w:spacing w:line="340" w:lineRule="exact"/>
              <w:ind w:left="0" w:hanging="357"/>
              <w:jc w:val="left"/>
              <w:rPr>
                <w:rFonts w:ascii="微软雅黑" w:eastAsia="微软雅黑" w:hAnsi="宋体" w:cs="微软雅黑"/>
                <w:kern w:val="0"/>
                <w:sz w:val="24"/>
                <w:szCs w:val="24"/>
              </w:rPr>
            </w:pPr>
            <w:r w:rsidRPr="00072D10">
              <w:rPr>
                <w:rFonts w:ascii="微软雅黑" w:eastAsia="微软雅黑" w:hAnsi="宋体" w:cs="微软雅黑"/>
                <w:kern w:val="0"/>
                <w:sz w:val="24"/>
                <w:szCs w:val="24"/>
              </w:rPr>
              <w:t>2020-1578010367725</w:t>
            </w:r>
          </w:p>
        </w:tc>
        <w:tc>
          <w:tcPr>
            <w:tcW w:w="0" w:type="auto"/>
            <w:vAlign w:val="center"/>
          </w:tcPr>
          <w:p w:rsidR="00651B35" w:rsidRPr="00072D10" w:rsidRDefault="00651B35" w:rsidP="00E9576D">
            <w:pPr>
              <w:widowControl/>
              <w:numPr>
                <w:ilvl w:val="0"/>
                <w:numId w:val="3"/>
              </w:numPr>
              <w:spacing w:line="340" w:lineRule="exact"/>
              <w:ind w:left="0"/>
              <w:jc w:val="left"/>
              <w:rPr>
                <w:rFonts w:ascii="微软雅黑" w:eastAsia="微软雅黑" w:hAnsi="宋体" w:cs="Times New Roman"/>
                <w:color w:val="333333"/>
                <w:kern w:val="0"/>
                <w:sz w:val="24"/>
                <w:szCs w:val="24"/>
              </w:rPr>
            </w:pPr>
            <w:r w:rsidRPr="00072D10">
              <w:rPr>
                <w:rFonts w:ascii="微软雅黑" w:eastAsia="微软雅黑" w:hAnsi="宋体" w:cs="微软雅黑" w:hint="eastAsia"/>
                <w:color w:val="333333"/>
                <w:kern w:val="0"/>
                <w:sz w:val="24"/>
                <w:szCs w:val="24"/>
              </w:rPr>
              <w:t>主题分类：</w:t>
            </w:r>
          </w:p>
          <w:p w:rsidR="00651B35" w:rsidRPr="00072D10" w:rsidRDefault="00651B35" w:rsidP="00651B35">
            <w:pPr>
              <w:widowControl/>
              <w:spacing w:line="340" w:lineRule="exact"/>
              <w:ind w:firstLineChars="300" w:firstLine="31680"/>
              <w:jc w:val="left"/>
              <w:rPr>
                <w:rFonts w:ascii="微软雅黑" w:eastAsia="微软雅黑" w:hAnsi="宋体" w:cs="Times New Roman"/>
                <w:kern w:val="0"/>
                <w:sz w:val="24"/>
                <w:szCs w:val="24"/>
              </w:rPr>
            </w:pPr>
            <w:r w:rsidRPr="00072D10">
              <w:rPr>
                <w:rFonts w:ascii="微软雅黑" w:eastAsia="微软雅黑" w:hAnsi="宋体" w:cs="微软雅黑" w:hint="eastAsia"/>
                <w:kern w:val="0"/>
                <w:sz w:val="24"/>
                <w:szCs w:val="24"/>
              </w:rPr>
              <w:t>意见</w:t>
            </w:r>
          </w:p>
        </w:tc>
      </w:tr>
      <w:tr w:rsidR="00651B35" w:rsidRPr="00D47368">
        <w:trPr>
          <w:tblCellSpacing w:w="15" w:type="dxa"/>
        </w:trPr>
        <w:tc>
          <w:tcPr>
            <w:tcW w:w="2755" w:type="pct"/>
            <w:vAlign w:val="center"/>
          </w:tcPr>
          <w:p w:rsidR="00651B35" w:rsidRPr="00072D10" w:rsidRDefault="00651B35" w:rsidP="00E9576D">
            <w:pPr>
              <w:widowControl/>
              <w:numPr>
                <w:ilvl w:val="0"/>
                <w:numId w:val="4"/>
              </w:numPr>
              <w:spacing w:line="340" w:lineRule="exact"/>
              <w:ind w:left="0" w:hanging="357"/>
              <w:jc w:val="left"/>
              <w:rPr>
                <w:rFonts w:ascii="微软雅黑" w:eastAsia="微软雅黑" w:hAnsi="宋体" w:cs="Times New Roman"/>
                <w:color w:val="333333"/>
                <w:kern w:val="0"/>
                <w:sz w:val="24"/>
                <w:szCs w:val="24"/>
              </w:rPr>
            </w:pPr>
            <w:r w:rsidRPr="00072D10">
              <w:rPr>
                <w:rFonts w:ascii="微软雅黑" w:eastAsia="微软雅黑" w:hAnsi="宋体" w:cs="微软雅黑" w:hint="eastAsia"/>
                <w:color w:val="333333"/>
                <w:kern w:val="0"/>
                <w:sz w:val="24"/>
                <w:szCs w:val="24"/>
              </w:rPr>
              <w:t>文号：</w:t>
            </w:r>
          </w:p>
          <w:p w:rsidR="00651B35" w:rsidRPr="00072D10" w:rsidRDefault="00651B35" w:rsidP="00E9576D">
            <w:pPr>
              <w:widowControl/>
              <w:numPr>
                <w:ilvl w:val="0"/>
                <w:numId w:val="4"/>
              </w:numPr>
              <w:spacing w:line="340" w:lineRule="exact"/>
              <w:ind w:left="0" w:hanging="357"/>
              <w:jc w:val="left"/>
              <w:rPr>
                <w:rFonts w:ascii="微软雅黑" w:eastAsia="微软雅黑" w:hAnsi="宋体" w:cs="Times New Roman"/>
                <w:kern w:val="0"/>
                <w:sz w:val="24"/>
                <w:szCs w:val="24"/>
              </w:rPr>
            </w:pPr>
            <w:r w:rsidRPr="00072D10">
              <w:rPr>
                <w:rFonts w:ascii="微软雅黑" w:eastAsia="微软雅黑" w:hAnsi="宋体" w:cs="微软雅黑" w:hint="eastAsia"/>
                <w:kern w:val="0"/>
                <w:sz w:val="24"/>
                <w:szCs w:val="24"/>
              </w:rPr>
              <w:t>国市监法〔</w:t>
            </w:r>
            <w:r w:rsidRPr="00072D10">
              <w:rPr>
                <w:rFonts w:ascii="微软雅黑" w:eastAsia="微软雅黑" w:hAnsi="宋体" w:cs="微软雅黑"/>
                <w:kern w:val="0"/>
                <w:sz w:val="24"/>
                <w:szCs w:val="24"/>
              </w:rPr>
              <w:t>2019</w:t>
            </w:r>
            <w:r w:rsidRPr="00072D10">
              <w:rPr>
                <w:rFonts w:ascii="微软雅黑" w:eastAsia="微软雅黑" w:hAnsi="宋体" w:cs="微软雅黑" w:hint="eastAsia"/>
                <w:kern w:val="0"/>
                <w:sz w:val="24"/>
                <w:szCs w:val="24"/>
              </w:rPr>
              <w:t>〕</w:t>
            </w:r>
            <w:r w:rsidRPr="00072D10">
              <w:rPr>
                <w:rFonts w:ascii="微软雅黑" w:eastAsia="微软雅黑" w:hAnsi="宋体" w:cs="微软雅黑"/>
                <w:kern w:val="0"/>
                <w:sz w:val="24"/>
                <w:szCs w:val="24"/>
              </w:rPr>
              <w:t>244</w:t>
            </w:r>
            <w:r w:rsidRPr="00072D10">
              <w:rPr>
                <w:rFonts w:ascii="微软雅黑" w:eastAsia="微软雅黑" w:hAnsi="宋体" w:cs="微软雅黑" w:hint="eastAsia"/>
                <w:kern w:val="0"/>
                <w:sz w:val="24"/>
                <w:szCs w:val="24"/>
              </w:rPr>
              <w:t>号</w:t>
            </w:r>
          </w:p>
        </w:tc>
        <w:tc>
          <w:tcPr>
            <w:tcW w:w="0" w:type="auto"/>
            <w:vAlign w:val="center"/>
          </w:tcPr>
          <w:p w:rsidR="00651B35" w:rsidRPr="00072D10" w:rsidRDefault="00651B35" w:rsidP="00E9576D">
            <w:pPr>
              <w:widowControl/>
              <w:numPr>
                <w:ilvl w:val="0"/>
                <w:numId w:val="5"/>
              </w:numPr>
              <w:spacing w:line="340" w:lineRule="exact"/>
              <w:ind w:left="0" w:hanging="357"/>
              <w:jc w:val="left"/>
              <w:rPr>
                <w:rFonts w:ascii="微软雅黑" w:eastAsia="微软雅黑" w:hAnsi="宋体" w:cs="Times New Roman"/>
                <w:color w:val="333333"/>
                <w:kern w:val="0"/>
                <w:sz w:val="24"/>
                <w:szCs w:val="24"/>
              </w:rPr>
            </w:pPr>
            <w:r w:rsidRPr="00072D10">
              <w:rPr>
                <w:rFonts w:ascii="微软雅黑" w:eastAsia="微软雅黑" w:hAnsi="宋体" w:cs="微软雅黑" w:hint="eastAsia"/>
                <w:color w:val="333333"/>
                <w:kern w:val="0"/>
                <w:sz w:val="24"/>
                <w:szCs w:val="24"/>
              </w:rPr>
              <w:t>所属机构：</w:t>
            </w:r>
          </w:p>
          <w:p w:rsidR="00651B35" w:rsidRPr="00072D10" w:rsidRDefault="00651B35" w:rsidP="00E9576D">
            <w:pPr>
              <w:widowControl/>
              <w:numPr>
                <w:ilvl w:val="0"/>
                <w:numId w:val="5"/>
              </w:numPr>
              <w:spacing w:line="340" w:lineRule="exact"/>
              <w:ind w:left="0" w:hanging="357"/>
              <w:jc w:val="left"/>
              <w:rPr>
                <w:rFonts w:ascii="微软雅黑" w:eastAsia="微软雅黑" w:hAnsi="宋体" w:cs="Times New Roman"/>
                <w:kern w:val="0"/>
                <w:sz w:val="24"/>
                <w:szCs w:val="24"/>
              </w:rPr>
            </w:pPr>
            <w:r w:rsidRPr="00072D10">
              <w:rPr>
                <w:rFonts w:ascii="微软雅黑" w:eastAsia="微软雅黑" w:hAnsi="宋体" w:cs="微软雅黑" w:hint="eastAsia"/>
                <w:kern w:val="0"/>
                <w:sz w:val="24"/>
                <w:szCs w:val="24"/>
              </w:rPr>
              <w:t>法规司</w:t>
            </w:r>
          </w:p>
        </w:tc>
      </w:tr>
      <w:tr w:rsidR="00651B35" w:rsidRPr="00D47368" w:rsidTr="00E9576D">
        <w:trPr>
          <w:trHeight w:val="885"/>
          <w:tblCellSpacing w:w="15" w:type="dxa"/>
        </w:trPr>
        <w:tc>
          <w:tcPr>
            <w:tcW w:w="2755" w:type="pct"/>
            <w:vAlign w:val="center"/>
          </w:tcPr>
          <w:p w:rsidR="00651B35" w:rsidRPr="00072D10" w:rsidRDefault="00651B35" w:rsidP="00E9576D">
            <w:pPr>
              <w:widowControl/>
              <w:numPr>
                <w:ilvl w:val="0"/>
                <w:numId w:val="6"/>
              </w:numPr>
              <w:spacing w:line="340" w:lineRule="exact"/>
              <w:ind w:left="0" w:hanging="357"/>
              <w:jc w:val="left"/>
              <w:rPr>
                <w:rFonts w:ascii="微软雅黑" w:eastAsia="微软雅黑" w:hAnsi="宋体" w:cs="Times New Roman"/>
                <w:color w:val="333333"/>
                <w:kern w:val="0"/>
                <w:sz w:val="24"/>
                <w:szCs w:val="24"/>
              </w:rPr>
            </w:pPr>
            <w:r w:rsidRPr="00072D10">
              <w:rPr>
                <w:rFonts w:ascii="微软雅黑" w:eastAsia="微软雅黑" w:hAnsi="宋体" w:cs="微软雅黑" w:hint="eastAsia"/>
                <w:color w:val="333333"/>
                <w:kern w:val="0"/>
                <w:sz w:val="24"/>
                <w:szCs w:val="24"/>
              </w:rPr>
              <w:t>成文日期：</w:t>
            </w:r>
          </w:p>
          <w:p w:rsidR="00651B35" w:rsidRPr="00072D10" w:rsidRDefault="00651B35" w:rsidP="00E9576D">
            <w:pPr>
              <w:widowControl/>
              <w:numPr>
                <w:ilvl w:val="0"/>
                <w:numId w:val="6"/>
              </w:numPr>
              <w:spacing w:line="340" w:lineRule="exact"/>
              <w:ind w:left="0" w:hanging="357"/>
              <w:jc w:val="left"/>
              <w:rPr>
                <w:rFonts w:ascii="微软雅黑" w:eastAsia="微软雅黑" w:hAnsi="宋体" w:cs="Times New Roman"/>
                <w:kern w:val="0"/>
                <w:sz w:val="24"/>
                <w:szCs w:val="24"/>
              </w:rPr>
            </w:pPr>
            <w:r w:rsidRPr="00072D10">
              <w:rPr>
                <w:rFonts w:ascii="微软雅黑" w:eastAsia="微软雅黑" w:hAnsi="宋体" w:cs="微软雅黑"/>
                <w:kern w:val="0"/>
                <w:sz w:val="24"/>
                <w:szCs w:val="24"/>
              </w:rPr>
              <w:t>2019</w:t>
            </w:r>
            <w:r w:rsidRPr="00072D10">
              <w:rPr>
                <w:rFonts w:ascii="微软雅黑" w:eastAsia="微软雅黑" w:hAnsi="宋体" w:cs="微软雅黑" w:hint="eastAsia"/>
                <w:kern w:val="0"/>
                <w:sz w:val="24"/>
                <w:szCs w:val="24"/>
              </w:rPr>
              <w:t>年</w:t>
            </w:r>
            <w:r w:rsidRPr="00072D10">
              <w:rPr>
                <w:rFonts w:ascii="微软雅黑" w:eastAsia="微软雅黑" w:hAnsi="宋体" w:cs="微软雅黑"/>
                <w:kern w:val="0"/>
                <w:sz w:val="24"/>
                <w:szCs w:val="24"/>
              </w:rPr>
              <w:t>12</w:t>
            </w:r>
            <w:r w:rsidRPr="00072D10">
              <w:rPr>
                <w:rFonts w:ascii="微软雅黑" w:eastAsia="微软雅黑" w:hAnsi="宋体" w:cs="微软雅黑" w:hint="eastAsia"/>
                <w:kern w:val="0"/>
                <w:sz w:val="24"/>
                <w:szCs w:val="24"/>
              </w:rPr>
              <w:t>月</w:t>
            </w:r>
            <w:r w:rsidRPr="00072D10">
              <w:rPr>
                <w:rFonts w:ascii="微软雅黑" w:eastAsia="微软雅黑" w:hAnsi="宋体" w:cs="微软雅黑"/>
                <w:kern w:val="0"/>
                <w:sz w:val="24"/>
                <w:szCs w:val="24"/>
              </w:rPr>
              <w:t>24</w:t>
            </w:r>
            <w:r w:rsidRPr="00072D10">
              <w:rPr>
                <w:rFonts w:ascii="微软雅黑" w:eastAsia="微软雅黑" w:hAnsi="宋体" w:cs="微软雅黑" w:hint="eastAsia"/>
                <w:kern w:val="0"/>
                <w:sz w:val="24"/>
                <w:szCs w:val="24"/>
              </w:rPr>
              <w:t>日</w:t>
            </w:r>
          </w:p>
        </w:tc>
        <w:tc>
          <w:tcPr>
            <w:tcW w:w="0" w:type="auto"/>
            <w:vAlign w:val="center"/>
          </w:tcPr>
          <w:p w:rsidR="00651B35" w:rsidRPr="00072D10" w:rsidRDefault="00651B35" w:rsidP="00E9576D">
            <w:pPr>
              <w:widowControl/>
              <w:numPr>
                <w:ilvl w:val="0"/>
                <w:numId w:val="7"/>
              </w:numPr>
              <w:spacing w:line="340" w:lineRule="exact"/>
              <w:ind w:left="0" w:hanging="357"/>
              <w:jc w:val="left"/>
              <w:rPr>
                <w:rFonts w:ascii="微软雅黑" w:eastAsia="微软雅黑" w:hAnsi="宋体" w:cs="Times New Roman"/>
                <w:color w:val="333333"/>
                <w:kern w:val="0"/>
                <w:sz w:val="24"/>
                <w:szCs w:val="24"/>
              </w:rPr>
            </w:pPr>
            <w:r w:rsidRPr="00072D10">
              <w:rPr>
                <w:rFonts w:ascii="微软雅黑" w:eastAsia="微软雅黑" w:hAnsi="宋体" w:cs="微软雅黑" w:hint="eastAsia"/>
                <w:color w:val="333333"/>
                <w:kern w:val="0"/>
                <w:sz w:val="24"/>
                <w:szCs w:val="24"/>
              </w:rPr>
              <w:t>发布日期：</w:t>
            </w:r>
          </w:p>
          <w:p w:rsidR="00651B35" w:rsidRPr="00072D10" w:rsidRDefault="00651B35" w:rsidP="00E9576D">
            <w:pPr>
              <w:widowControl/>
              <w:numPr>
                <w:ilvl w:val="0"/>
                <w:numId w:val="7"/>
              </w:numPr>
              <w:spacing w:line="340" w:lineRule="exact"/>
              <w:ind w:left="0" w:hanging="357"/>
              <w:jc w:val="left"/>
              <w:rPr>
                <w:rFonts w:ascii="微软雅黑" w:eastAsia="微软雅黑" w:hAnsi="宋体" w:cs="Times New Roman"/>
                <w:kern w:val="0"/>
                <w:sz w:val="24"/>
                <w:szCs w:val="24"/>
              </w:rPr>
            </w:pPr>
            <w:r w:rsidRPr="00072D10">
              <w:rPr>
                <w:rFonts w:ascii="微软雅黑" w:eastAsia="微软雅黑" w:hAnsi="宋体" w:cs="微软雅黑"/>
                <w:kern w:val="0"/>
                <w:sz w:val="24"/>
                <w:szCs w:val="24"/>
              </w:rPr>
              <w:t>2020</w:t>
            </w:r>
            <w:r w:rsidRPr="00072D10">
              <w:rPr>
                <w:rFonts w:ascii="微软雅黑" w:eastAsia="微软雅黑" w:hAnsi="宋体" w:cs="微软雅黑" w:hint="eastAsia"/>
                <w:kern w:val="0"/>
                <w:sz w:val="24"/>
                <w:szCs w:val="24"/>
              </w:rPr>
              <w:t>年</w:t>
            </w:r>
            <w:r w:rsidRPr="00072D10">
              <w:rPr>
                <w:rFonts w:ascii="微软雅黑" w:eastAsia="微软雅黑" w:hAnsi="宋体" w:cs="微软雅黑"/>
                <w:kern w:val="0"/>
                <w:sz w:val="24"/>
                <w:szCs w:val="24"/>
              </w:rPr>
              <w:t>01</w:t>
            </w:r>
            <w:r w:rsidRPr="00072D10">
              <w:rPr>
                <w:rFonts w:ascii="微软雅黑" w:eastAsia="微软雅黑" w:hAnsi="宋体" w:cs="微软雅黑" w:hint="eastAsia"/>
                <w:kern w:val="0"/>
                <w:sz w:val="24"/>
                <w:szCs w:val="24"/>
              </w:rPr>
              <w:t>月</w:t>
            </w:r>
            <w:r w:rsidRPr="00072D10">
              <w:rPr>
                <w:rFonts w:ascii="微软雅黑" w:eastAsia="微软雅黑" w:hAnsi="宋体" w:cs="微软雅黑"/>
                <w:kern w:val="0"/>
                <w:sz w:val="24"/>
                <w:szCs w:val="24"/>
              </w:rPr>
              <w:t>03</w:t>
            </w:r>
            <w:r w:rsidRPr="00072D10">
              <w:rPr>
                <w:rFonts w:ascii="微软雅黑" w:eastAsia="微软雅黑" w:hAnsi="宋体" w:cs="微软雅黑" w:hint="eastAsia"/>
                <w:kern w:val="0"/>
                <w:sz w:val="24"/>
                <w:szCs w:val="24"/>
              </w:rPr>
              <w:t>日</w:t>
            </w:r>
          </w:p>
        </w:tc>
      </w:tr>
    </w:tbl>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各省、自治区、直辖市及新疆生产建设兵团市场监管局（厅、委），总局各司局、各直属单位：</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为了规范市场监督管理行政处罚行为，保障市场监管部门依法行使行政处罚裁量权，保护自然人、法人和其他组织的合法权益，根据《中华人民共和国行政处罚法》等法律、法规、规章和国家有关规定，结合市场监管工作实际，制定本意见。</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一、行政处罚裁量权行使原则</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一）行政处罚裁量权。本意见所称行政处罚裁量权，是指各级市场监管部门在实施行政处罚时，根据法律、法规、规章的规定，综合考虑违法行为的事实、性质、情节、社会危害程度以及当事人主观过错等因素，决定是否给予行政处罚、给予行政处罚的种类和幅度的权限。</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（二）行使行政处罚裁量权的基本原则。各级市场监管部门行使行政处罚裁量权，应当坚持以下原则：</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 xml:space="preserve">1. </w:t>
      </w:r>
      <w:r w:rsidRPr="00072D10">
        <w:rPr>
          <w:rFonts w:ascii="Times New Roman" w:hAnsi="Times New Roman" w:cs="宋体" w:hint="eastAsia"/>
          <w:color w:val="333333"/>
          <w:kern w:val="0"/>
          <w:sz w:val="24"/>
          <w:szCs w:val="24"/>
        </w:rPr>
        <w:t>合法原则。依据法定权限，符合法律、法规、规章规定的裁量条件、处罚种类和幅度，遵守法定程序。</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 xml:space="preserve">2. </w:t>
      </w:r>
      <w:r w:rsidRPr="00072D10">
        <w:rPr>
          <w:rFonts w:ascii="Times New Roman" w:hAnsi="Times New Roman" w:cs="宋体" w:hint="eastAsia"/>
          <w:color w:val="333333"/>
          <w:kern w:val="0"/>
          <w:sz w:val="24"/>
          <w:szCs w:val="24"/>
        </w:rPr>
        <w:t>过罚相当原则。以事实为依据，处罚的种类和幅度与违法行为的事实、性质、情节、社会危害程度等相当。</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 xml:space="preserve">3. </w:t>
      </w:r>
      <w:r w:rsidRPr="00072D10">
        <w:rPr>
          <w:rFonts w:ascii="Times New Roman" w:hAnsi="Times New Roman" w:cs="宋体" w:hint="eastAsia"/>
          <w:color w:val="333333"/>
          <w:kern w:val="0"/>
          <w:sz w:val="24"/>
          <w:szCs w:val="24"/>
        </w:rPr>
        <w:t>处罚与教育相结合原则。兼顾纠正违法行为和教育当事人，引导当事人自觉守法。</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 xml:space="preserve">4. </w:t>
      </w:r>
      <w:r w:rsidRPr="00072D10">
        <w:rPr>
          <w:rFonts w:ascii="Times New Roman" w:hAnsi="Times New Roman" w:cs="宋体" w:hint="eastAsia"/>
          <w:color w:val="333333"/>
          <w:kern w:val="0"/>
          <w:sz w:val="24"/>
          <w:szCs w:val="24"/>
        </w:rPr>
        <w:t>综合裁量原则。综合考虑个案情况，兼顾地区经济社会发展水平、当事人主客观情况等相关因素，实现法律效果、社会效果、政治效果的统一。</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二、建立健全行政处罚裁量基准制度</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三）行政处罚裁量基准的制定主体。省级市场监管部门参照本意见，结合地区实际制定行政处罚事项的裁量基准，明确行政处罚裁量的标准和适用情形。设区的市级市场监管部门在不与省级市场监管部门制定的裁量基准相抵触的情况下，可以结合地区实际制定本地区行政处罚事项的裁量基准。</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（四）行政处罚裁量基准的主要内容。制定行政处罚裁量基准，应当对以下内容进行细化和量化：</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 xml:space="preserve">1. </w:t>
      </w:r>
      <w:r w:rsidRPr="00072D10">
        <w:rPr>
          <w:rFonts w:ascii="Times New Roman" w:hAnsi="Times New Roman" w:cs="宋体" w:hint="eastAsia"/>
          <w:color w:val="333333"/>
          <w:kern w:val="0"/>
          <w:sz w:val="24"/>
          <w:szCs w:val="24"/>
        </w:rPr>
        <w:t>法律、法规、规章规定可以选择决定是否给予行政处罚的，明确是否给予处罚的具体情形；</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 xml:space="preserve">2. </w:t>
      </w:r>
      <w:r w:rsidRPr="00072D10">
        <w:rPr>
          <w:rFonts w:ascii="Times New Roman" w:hAnsi="Times New Roman" w:cs="宋体" w:hint="eastAsia"/>
          <w:color w:val="333333"/>
          <w:kern w:val="0"/>
          <w:sz w:val="24"/>
          <w:szCs w:val="24"/>
        </w:rPr>
        <w:t>法律、法规、规章规定可以选择行政处罚种类的，明确适用不同处罚种类的具体情形；</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 xml:space="preserve">3. </w:t>
      </w:r>
      <w:r w:rsidRPr="00072D10">
        <w:rPr>
          <w:rFonts w:ascii="Times New Roman" w:hAnsi="Times New Roman" w:cs="宋体" w:hint="eastAsia"/>
          <w:color w:val="333333"/>
          <w:kern w:val="0"/>
          <w:sz w:val="24"/>
          <w:szCs w:val="24"/>
        </w:rPr>
        <w:t>法律、法规、规章规定可以选择行政处罚幅度的，明确划分易于操作的裁量阶次，并确定适用不同阶次的具体情形；</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 xml:space="preserve">4. </w:t>
      </w:r>
      <w:r w:rsidRPr="00072D10">
        <w:rPr>
          <w:rFonts w:ascii="Times New Roman" w:hAnsi="Times New Roman" w:cs="宋体" w:hint="eastAsia"/>
          <w:color w:val="333333"/>
          <w:kern w:val="0"/>
          <w:sz w:val="24"/>
          <w:szCs w:val="24"/>
        </w:rPr>
        <w:t>法律、法规、规章规定可以单处或者并处行政处罚的，明确规定单处或者并处行政处罚的具体情形。</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五）行政处罚裁量基准的适用要求。市场监管部门实施行政处罚应当以法律、法规、规章为依据。本意见及按照本意见制定的行政处罚裁量基准，可以作为行政处罚决定说理的内容，不得直接作为行政处罚的法律依据。行政处罚决定的内容与裁量基准规定不一致的，应当在案件调查终结报告中作出说明。</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三、行政处罚裁量权的适用规则</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（六）不予行政处罚、减轻行政处罚、从轻行政处罚和从重行政处罚的含义。</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 xml:space="preserve">1. </w:t>
      </w:r>
      <w:r w:rsidRPr="00072D10">
        <w:rPr>
          <w:rFonts w:ascii="Times New Roman" w:hAnsi="Times New Roman" w:cs="宋体" w:hint="eastAsia"/>
          <w:color w:val="333333"/>
          <w:kern w:val="0"/>
          <w:sz w:val="24"/>
          <w:szCs w:val="24"/>
        </w:rPr>
        <w:t>不予行政处罚是指因法定原因对特定违法行为不给予行政处罚。</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 xml:space="preserve">2. </w:t>
      </w:r>
      <w:r w:rsidRPr="00072D10">
        <w:rPr>
          <w:rFonts w:ascii="Times New Roman" w:hAnsi="Times New Roman" w:cs="宋体" w:hint="eastAsia"/>
          <w:color w:val="333333"/>
          <w:kern w:val="0"/>
          <w:sz w:val="24"/>
          <w:szCs w:val="24"/>
        </w:rPr>
        <w:t>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 xml:space="preserve">3. </w:t>
      </w:r>
      <w:r w:rsidRPr="00072D10">
        <w:rPr>
          <w:rFonts w:ascii="Times New Roman" w:hAnsi="Times New Roman" w:cs="宋体" w:hint="eastAsia"/>
          <w:color w:val="333333"/>
          <w:kern w:val="0"/>
          <w:sz w:val="24"/>
          <w:szCs w:val="24"/>
        </w:rPr>
        <w:t>从轻行政处罚是指在依法可以选择的处罚种类和处罚幅度内，适用较轻、较少的处罚种类或者较低的处罚幅度。其中，罚款的数额应当在从最低限到最高限这一幅度中较低的</w:t>
      </w:r>
      <w:r w:rsidRPr="00072D10">
        <w:rPr>
          <w:rFonts w:ascii="Times New Roman" w:hAnsi="Times New Roman" w:cs="Times New Roman"/>
          <w:color w:val="333333"/>
          <w:kern w:val="0"/>
          <w:sz w:val="24"/>
          <w:szCs w:val="24"/>
        </w:rPr>
        <w:t>30%</w:t>
      </w:r>
      <w:r w:rsidRPr="00072D10">
        <w:rPr>
          <w:rFonts w:ascii="Times New Roman" w:hAnsi="Times New Roman" w:cs="宋体" w:hint="eastAsia"/>
          <w:color w:val="333333"/>
          <w:kern w:val="0"/>
          <w:sz w:val="24"/>
          <w:szCs w:val="24"/>
        </w:rPr>
        <w:t>部分。</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 xml:space="preserve">4. </w:t>
      </w:r>
      <w:r w:rsidRPr="00072D10">
        <w:rPr>
          <w:rFonts w:ascii="Times New Roman" w:hAnsi="Times New Roman" w:cs="宋体" w:hint="eastAsia"/>
          <w:color w:val="333333"/>
          <w:kern w:val="0"/>
          <w:sz w:val="24"/>
          <w:szCs w:val="24"/>
        </w:rPr>
        <w:t>从重行政处罚是指在依法可以选择的处罚种类和处罚幅度内，适用较重、较多的处罚种类或者较高的处罚幅度。其中，罚款的数额应当在从最低限到最高限这一幅度中较高的</w:t>
      </w:r>
      <w:r w:rsidRPr="00072D10">
        <w:rPr>
          <w:rFonts w:ascii="Times New Roman" w:hAnsi="Times New Roman" w:cs="Times New Roman"/>
          <w:color w:val="333333"/>
          <w:kern w:val="0"/>
          <w:sz w:val="24"/>
          <w:szCs w:val="24"/>
        </w:rPr>
        <w:t>30%</w:t>
      </w:r>
      <w:r w:rsidRPr="00072D10">
        <w:rPr>
          <w:rFonts w:ascii="Times New Roman" w:hAnsi="Times New Roman" w:cs="宋体" w:hint="eastAsia"/>
          <w:color w:val="333333"/>
          <w:kern w:val="0"/>
          <w:sz w:val="24"/>
          <w:szCs w:val="24"/>
        </w:rPr>
        <w:t>部分。</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（七）行政处罚裁量情形。</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 xml:space="preserve">1. </w:t>
      </w:r>
      <w:r w:rsidRPr="00072D10">
        <w:rPr>
          <w:rFonts w:ascii="Times New Roman" w:hAnsi="Times New Roman" w:cs="宋体" w:hint="eastAsia"/>
          <w:color w:val="333333"/>
          <w:kern w:val="0"/>
          <w:sz w:val="24"/>
          <w:szCs w:val="24"/>
        </w:rPr>
        <w:t>有下列情形之一的，应当依法不予行政处罚：</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1</w:t>
      </w:r>
      <w:r w:rsidRPr="00072D10">
        <w:rPr>
          <w:rFonts w:ascii="Times New Roman" w:hAnsi="Times New Roman" w:cs="宋体" w:hint="eastAsia"/>
          <w:color w:val="333333"/>
          <w:kern w:val="0"/>
          <w:sz w:val="24"/>
          <w:szCs w:val="24"/>
        </w:rPr>
        <w:t>）不满十四周岁的人有违法行为的；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2</w:t>
      </w:r>
      <w:r w:rsidRPr="00072D10">
        <w:rPr>
          <w:rFonts w:ascii="Times New Roman" w:hAnsi="Times New Roman" w:cs="宋体" w:hint="eastAsia"/>
          <w:color w:val="333333"/>
          <w:kern w:val="0"/>
          <w:sz w:val="24"/>
          <w:szCs w:val="24"/>
        </w:rPr>
        <w:t>）精神病人在不能辨认或者不能控制自己行为时实施违法行为的；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3</w:t>
      </w:r>
      <w:r w:rsidRPr="00072D10">
        <w:rPr>
          <w:rFonts w:ascii="Times New Roman" w:hAnsi="Times New Roman" w:cs="宋体" w:hint="eastAsia"/>
          <w:color w:val="333333"/>
          <w:kern w:val="0"/>
          <w:sz w:val="24"/>
          <w:szCs w:val="24"/>
        </w:rPr>
        <w:t>）</w:t>
      </w:r>
      <w:r w:rsidRPr="00072D10">
        <w:rPr>
          <w:rFonts w:ascii="Times New Roman" w:hAnsi="Times New Roman" w:cs="Times New Roman"/>
          <w:color w:val="333333"/>
          <w:kern w:val="0"/>
          <w:sz w:val="24"/>
          <w:szCs w:val="24"/>
        </w:rPr>
        <w:t xml:space="preserve"> </w:t>
      </w:r>
      <w:r w:rsidRPr="00072D10">
        <w:rPr>
          <w:rFonts w:ascii="Times New Roman" w:hAnsi="Times New Roman" w:cs="宋体" w:hint="eastAsia"/>
          <w:color w:val="333333"/>
          <w:kern w:val="0"/>
          <w:sz w:val="24"/>
          <w:szCs w:val="24"/>
        </w:rPr>
        <w:t>违法行为轻微并及时纠正，没有造成危害后果的；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4</w:t>
      </w:r>
      <w:r w:rsidRPr="00072D10">
        <w:rPr>
          <w:rFonts w:ascii="Times New Roman" w:hAnsi="Times New Roman" w:cs="宋体" w:hint="eastAsia"/>
          <w:color w:val="333333"/>
          <w:kern w:val="0"/>
          <w:sz w:val="24"/>
          <w:szCs w:val="24"/>
        </w:rPr>
        <w:t>）除法律另有规定外，违法行为在二年内未被发现的；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5</w:t>
      </w:r>
      <w:r w:rsidRPr="00072D10">
        <w:rPr>
          <w:rFonts w:ascii="Times New Roman" w:hAnsi="Times New Roman" w:cs="宋体" w:hint="eastAsia"/>
          <w:color w:val="333333"/>
          <w:kern w:val="0"/>
          <w:sz w:val="24"/>
          <w:szCs w:val="24"/>
        </w:rPr>
        <w:t>）其他依法应当不予行政处罚的。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 xml:space="preserve">2. </w:t>
      </w:r>
      <w:r w:rsidRPr="00072D10">
        <w:rPr>
          <w:rFonts w:ascii="Times New Roman" w:hAnsi="Times New Roman" w:cs="宋体" w:hint="eastAsia"/>
          <w:color w:val="333333"/>
          <w:kern w:val="0"/>
          <w:sz w:val="24"/>
          <w:szCs w:val="24"/>
        </w:rPr>
        <w:t>有下列情形之一的，应当依法从轻或者减轻行政处罚：</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1</w:t>
      </w:r>
      <w:r w:rsidRPr="00072D10">
        <w:rPr>
          <w:rFonts w:ascii="Times New Roman" w:hAnsi="Times New Roman" w:cs="宋体" w:hint="eastAsia"/>
          <w:color w:val="333333"/>
          <w:kern w:val="0"/>
          <w:sz w:val="24"/>
          <w:szCs w:val="24"/>
        </w:rPr>
        <w:t>）已满十四周岁不满十八周岁的人有违法行为的；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2</w:t>
      </w:r>
      <w:r w:rsidRPr="00072D10">
        <w:rPr>
          <w:rFonts w:ascii="Times New Roman" w:hAnsi="Times New Roman" w:cs="宋体" w:hint="eastAsia"/>
          <w:color w:val="333333"/>
          <w:kern w:val="0"/>
          <w:sz w:val="24"/>
          <w:szCs w:val="24"/>
        </w:rPr>
        <w:t>）主动消除或者减轻违法行为危害后果的；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3</w:t>
      </w:r>
      <w:r w:rsidRPr="00072D10">
        <w:rPr>
          <w:rFonts w:ascii="Times New Roman" w:hAnsi="Times New Roman" w:cs="宋体" w:hint="eastAsia"/>
          <w:color w:val="333333"/>
          <w:kern w:val="0"/>
          <w:sz w:val="24"/>
          <w:szCs w:val="24"/>
        </w:rPr>
        <w:t>）受他人胁迫实施违法行为的；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4</w:t>
      </w:r>
      <w:r w:rsidRPr="00072D10">
        <w:rPr>
          <w:rFonts w:ascii="Times New Roman" w:hAnsi="Times New Roman" w:cs="宋体" w:hint="eastAsia"/>
          <w:color w:val="333333"/>
          <w:kern w:val="0"/>
          <w:sz w:val="24"/>
          <w:szCs w:val="24"/>
        </w:rPr>
        <w:t>）配合市场监管部门查处违法行为有立功表现的，包括但不限于当事人揭发市场监管领域重大违法行为或者提供查处市场监管领域其他重大违法行为的关键线索或证据，并经查证属实的；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5</w:t>
      </w:r>
      <w:r w:rsidRPr="00072D10">
        <w:rPr>
          <w:rFonts w:ascii="Times New Roman" w:hAnsi="Times New Roman" w:cs="宋体" w:hint="eastAsia"/>
          <w:color w:val="333333"/>
          <w:kern w:val="0"/>
          <w:sz w:val="24"/>
          <w:szCs w:val="24"/>
        </w:rPr>
        <w:t>）其他依法应当从轻或者减轻行政处罚的。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 xml:space="preserve">3. </w:t>
      </w:r>
      <w:r w:rsidRPr="00072D10">
        <w:rPr>
          <w:rFonts w:ascii="Times New Roman" w:hAnsi="Times New Roman" w:cs="宋体" w:hint="eastAsia"/>
          <w:color w:val="333333"/>
          <w:kern w:val="0"/>
          <w:sz w:val="24"/>
          <w:szCs w:val="24"/>
        </w:rPr>
        <w:t>有下列情形之一的，可以依法从轻或者减轻行政处罚：</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1</w:t>
      </w:r>
      <w:r w:rsidRPr="00072D10">
        <w:rPr>
          <w:rFonts w:ascii="Times New Roman" w:hAnsi="Times New Roman" w:cs="宋体" w:hint="eastAsia"/>
          <w:color w:val="333333"/>
          <w:kern w:val="0"/>
          <w:sz w:val="24"/>
          <w:szCs w:val="24"/>
        </w:rPr>
        <w:t>）积极配合市场监管部门调查，如实陈述违法事实并主动提供证据材料的；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2</w:t>
      </w:r>
      <w:r w:rsidRPr="00072D10">
        <w:rPr>
          <w:rFonts w:ascii="Times New Roman" w:hAnsi="Times New Roman" w:cs="宋体" w:hint="eastAsia"/>
          <w:color w:val="333333"/>
          <w:kern w:val="0"/>
          <w:sz w:val="24"/>
          <w:szCs w:val="24"/>
        </w:rPr>
        <w:t>）违法行为轻微，社会危害性较小的；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3</w:t>
      </w:r>
      <w:r w:rsidRPr="00072D10">
        <w:rPr>
          <w:rFonts w:ascii="Times New Roman" w:hAnsi="Times New Roman" w:cs="宋体" w:hint="eastAsia"/>
          <w:color w:val="333333"/>
          <w:kern w:val="0"/>
          <w:sz w:val="24"/>
          <w:szCs w:val="24"/>
        </w:rPr>
        <w:t>）受他人诱骗实施违法行为的；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4</w:t>
      </w:r>
      <w:r w:rsidRPr="00072D10">
        <w:rPr>
          <w:rFonts w:ascii="Times New Roman" w:hAnsi="Times New Roman" w:cs="宋体" w:hint="eastAsia"/>
          <w:color w:val="333333"/>
          <w:kern w:val="0"/>
          <w:sz w:val="24"/>
          <w:szCs w:val="24"/>
        </w:rPr>
        <w:t>）在共同违法行为中起次要或者辅助作用的；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5</w:t>
      </w:r>
      <w:r w:rsidRPr="00072D10">
        <w:rPr>
          <w:rFonts w:ascii="Times New Roman" w:hAnsi="Times New Roman" w:cs="宋体" w:hint="eastAsia"/>
          <w:color w:val="333333"/>
          <w:kern w:val="0"/>
          <w:sz w:val="24"/>
          <w:szCs w:val="24"/>
        </w:rPr>
        <w:t>）当事人有充分证据证明不存在主观故意或者重大过失的；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6</w:t>
      </w:r>
      <w:r w:rsidRPr="00072D10">
        <w:rPr>
          <w:rFonts w:ascii="Times New Roman" w:hAnsi="Times New Roman" w:cs="宋体" w:hint="eastAsia"/>
          <w:color w:val="333333"/>
          <w:kern w:val="0"/>
          <w:sz w:val="24"/>
          <w:szCs w:val="24"/>
        </w:rPr>
        <w:t>）当事人因残疾或者重大疾病等原因生活确有困难的；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7</w:t>
      </w:r>
      <w:r w:rsidRPr="00072D10">
        <w:rPr>
          <w:rFonts w:ascii="Times New Roman" w:hAnsi="Times New Roman" w:cs="宋体" w:hint="eastAsia"/>
          <w:color w:val="333333"/>
          <w:kern w:val="0"/>
          <w:sz w:val="24"/>
          <w:szCs w:val="24"/>
        </w:rPr>
        <w:t>）其他依法可以从轻或者减轻行政处罚的。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 xml:space="preserve">4. </w:t>
      </w:r>
      <w:r w:rsidRPr="00072D10">
        <w:rPr>
          <w:rFonts w:ascii="Times New Roman" w:hAnsi="Times New Roman" w:cs="宋体" w:hint="eastAsia"/>
          <w:color w:val="333333"/>
          <w:kern w:val="0"/>
          <w:sz w:val="24"/>
          <w:szCs w:val="24"/>
        </w:rPr>
        <w:t>有下列情形之一的，可以依法从重行政处罚：</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1</w:t>
      </w:r>
      <w:r w:rsidRPr="00072D10">
        <w:rPr>
          <w:rFonts w:ascii="Times New Roman" w:hAnsi="Times New Roman" w:cs="宋体" w:hint="eastAsia"/>
          <w:color w:val="333333"/>
          <w:kern w:val="0"/>
          <w:sz w:val="24"/>
          <w:szCs w:val="24"/>
        </w:rPr>
        <w:t>）违法行为造成他人人身伤亡或者重大财产损失等严重危害后果的；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2</w:t>
      </w:r>
      <w:r w:rsidRPr="00072D10">
        <w:rPr>
          <w:rFonts w:ascii="Times New Roman" w:hAnsi="Times New Roman" w:cs="宋体" w:hint="eastAsia"/>
          <w:color w:val="333333"/>
          <w:kern w:val="0"/>
          <w:sz w:val="24"/>
          <w:szCs w:val="24"/>
        </w:rPr>
        <w:t>）在发生自然灾害、事故灾难、公共卫生或者社会安全事件期间实施违法行为的；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3</w:t>
      </w:r>
      <w:r w:rsidRPr="00072D10">
        <w:rPr>
          <w:rFonts w:ascii="Times New Roman" w:hAnsi="Times New Roman" w:cs="宋体" w:hint="eastAsia"/>
          <w:color w:val="333333"/>
          <w:kern w:val="0"/>
          <w:sz w:val="24"/>
          <w:szCs w:val="24"/>
        </w:rPr>
        <w:t>）教唆、胁迫、诱骗他人实施违法行为的；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4</w:t>
      </w:r>
      <w:r w:rsidRPr="00072D10">
        <w:rPr>
          <w:rFonts w:ascii="Times New Roman" w:hAnsi="Times New Roman" w:cs="宋体" w:hint="eastAsia"/>
          <w:color w:val="333333"/>
          <w:kern w:val="0"/>
          <w:sz w:val="24"/>
          <w:szCs w:val="24"/>
        </w:rPr>
        <w:t>）因同一性质的违法行为受过刑事处罚，或者一年内因同一性质的违法行为受过行政处罚的；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5</w:t>
      </w:r>
      <w:r w:rsidRPr="00072D10">
        <w:rPr>
          <w:rFonts w:ascii="Times New Roman" w:hAnsi="Times New Roman" w:cs="宋体" w:hint="eastAsia"/>
          <w:color w:val="333333"/>
          <w:kern w:val="0"/>
          <w:sz w:val="24"/>
          <w:szCs w:val="24"/>
        </w:rPr>
        <w:t>）阻碍或者拒不配合行政执法人员依法执行职务或者对行政执法人员打击报复的；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6</w:t>
      </w:r>
      <w:r w:rsidRPr="00072D10">
        <w:rPr>
          <w:rFonts w:ascii="Times New Roman" w:hAnsi="Times New Roman" w:cs="宋体" w:hint="eastAsia"/>
          <w:color w:val="333333"/>
          <w:kern w:val="0"/>
          <w:sz w:val="24"/>
          <w:szCs w:val="24"/>
        </w:rPr>
        <w:t>）隐藏、转移、变卖、损毁市场监管部门依法查封、扣押的财物或者先行登记保存的证据的，市场监管部门已依法对上述行为进行处罚的除外；</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7</w:t>
      </w:r>
      <w:r w:rsidRPr="00072D10">
        <w:rPr>
          <w:rFonts w:ascii="Times New Roman" w:hAnsi="Times New Roman" w:cs="宋体" w:hint="eastAsia"/>
          <w:color w:val="333333"/>
          <w:kern w:val="0"/>
          <w:sz w:val="24"/>
          <w:szCs w:val="24"/>
        </w:rPr>
        <w:t>）伪造、隐匿、毁灭证据的；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8</w:t>
      </w:r>
      <w:r w:rsidRPr="00072D10">
        <w:rPr>
          <w:rFonts w:ascii="Times New Roman" w:hAnsi="Times New Roman" w:cs="宋体" w:hint="eastAsia"/>
          <w:color w:val="333333"/>
          <w:kern w:val="0"/>
          <w:sz w:val="24"/>
          <w:szCs w:val="24"/>
        </w:rPr>
        <w:t>）其他依法可以从重行政处罚的。</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r w:rsidRPr="00072D10">
        <w:rPr>
          <w:rFonts w:ascii="Times New Roman" w:hAnsi="Times New Roman" w:cs="Times New Roman"/>
          <w:color w:val="333333"/>
          <w:kern w:val="0"/>
          <w:sz w:val="24"/>
          <w:szCs w:val="24"/>
        </w:rPr>
        <w:t xml:space="preserve">5. </w:t>
      </w:r>
      <w:r w:rsidRPr="00072D10">
        <w:rPr>
          <w:rFonts w:ascii="Times New Roman" w:hAnsi="Times New Roman" w:cs="宋体" w:hint="eastAsia"/>
          <w:color w:val="333333"/>
          <w:kern w:val="0"/>
          <w:sz w:val="24"/>
          <w:szCs w:val="24"/>
        </w:rPr>
        <w:t>当事人既有从轻或者减轻行政处罚情节，又有从重行政处罚情节的，市场监管部门应当结合案件情况综合考虑后作出裁量决定。</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四、其他有关事项</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（八）信息公开。市场监管部门制定的行政处罚裁量基准应当主动向社会公开。</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（九）执法监督。市场监管部门应当按照《市场监督管理执法监督暂行规定》（市场监管总局令第</w:t>
      </w:r>
      <w:r w:rsidRPr="00072D10">
        <w:rPr>
          <w:rFonts w:ascii="Times New Roman" w:hAnsi="Times New Roman" w:cs="Times New Roman"/>
          <w:color w:val="333333"/>
          <w:kern w:val="0"/>
          <w:sz w:val="24"/>
          <w:szCs w:val="24"/>
        </w:rPr>
        <w:t>22</w:t>
      </w:r>
      <w:r w:rsidRPr="00072D10">
        <w:rPr>
          <w:rFonts w:ascii="Times New Roman" w:hAnsi="Times New Roman" w:cs="宋体" w:hint="eastAsia"/>
          <w:color w:val="333333"/>
          <w:kern w:val="0"/>
          <w:sz w:val="24"/>
          <w:szCs w:val="24"/>
        </w:rPr>
        <w:t>号）的要求，加强对行政处罚裁量权行使的监督，发现行政处罚裁量违法或者不当的，及时予以纠正。</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（十）制度衔接。本意见自发布之日起施行。《国家工商行政管理总局关于正确行使行政处罚自由裁量权的指导意见》（工商法字〔</w:t>
      </w:r>
      <w:r w:rsidRPr="00072D10">
        <w:rPr>
          <w:rFonts w:ascii="Times New Roman" w:hAnsi="Times New Roman" w:cs="Times New Roman"/>
          <w:color w:val="333333"/>
          <w:kern w:val="0"/>
          <w:sz w:val="24"/>
          <w:szCs w:val="24"/>
        </w:rPr>
        <w:t>2008</w:t>
      </w:r>
      <w:r w:rsidRPr="00072D10">
        <w:rPr>
          <w:rFonts w:ascii="Times New Roman" w:hAnsi="Times New Roman" w:cs="宋体" w:hint="eastAsia"/>
          <w:color w:val="333333"/>
          <w:kern w:val="0"/>
          <w:sz w:val="24"/>
          <w:szCs w:val="24"/>
        </w:rPr>
        <w:t>〕</w:t>
      </w:r>
      <w:r w:rsidRPr="00072D10">
        <w:rPr>
          <w:rFonts w:ascii="Times New Roman" w:hAnsi="Times New Roman" w:cs="Times New Roman"/>
          <w:color w:val="333333"/>
          <w:kern w:val="0"/>
          <w:sz w:val="24"/>
          <w:szCs w:val="24"/>
        </w:rPr>
        <w:t>31</w:t>
      </w:r>
      <w:r w:rsidRPr="00072D10">
        <w:rPr>
          <w:rFonts w:ascii="Times New Roman" w:hAnsi="Times New Roman" w:cs="宋体" w:hint="eastAsia"/>
          <w:color w:val="333333"/>
          <w:kern w:val="0"/>
          <w:sz w:val="24"/>
          <w:szCs w:val="24"/>
        </w:rPr>
        <w:t>号）、《质量监督检验检疫行政处罚裁量权适用规则》（国质检法〔</w:t>
      </w:r>
      <w:r w:rsidRPr="00072D10">
        <w:rPr>
          <w:rFonts w:ascii="Times New Roman" w:hAnsi="Times New Roman" w:cs="Times New Roman"/>
          <w:color w:val="333333"/>
          <w:kern w:val="0"/>
          <w:sz w:val="24"/>
          <w:szCs w:val="24"/>
        </w:rPr>
        <w:t>2010</w:t>
      </w:r>
      <w:r w:rsidRPr="00072D10">
        <w:rPr>
          <w:rFonts w:ascii="Times New Roman" w:hAnsi="Times New Roman" w:cs="宋体" w:hint="eastAsia"/>
          <w:color w:val="333333"/>
          <w:kern w:val="0"/>
          <w:sz w:val="24"/>
          <w:szCs w:val="24"/>
        </w:rPr>
        <w:t>〕</w:t>
      </w:r>
      <w:r w:rsidRPr="00072D10">
        <w:rPr>
          <w:rFonts w:ascii="Times New Roman" w:hAnsi="Times New Roman" w:cs="Times New Roman"/>
          <w:color w:val="333333"/>
          <w:kern w:val="0"/>
          <w:sz w:val="24"/>
          <w:szCs w:val="24"/>
        </w:rPr>
        <w:t>720</w:t>
      </w:r>
      <w:r w:rsidRPr="00072D10">
        <w:rPr>
          <w:rFonts w:ascii="Times New Roman" w:hAnsi="Times New Roman" w:cs="宋体" w:hint="eastAsia"/>
          <w:color w:val="333333"/>
          <w:kern w:val="0"/>
          <w:sz w:val="24"/>
          <w:szCs w:val="24"/>
        </w:rPr>
        <w:t>号）同时废止。</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Times New Roman"/>
          <w:color w:val="333333"/>
          <w:kern w:val="0"/>
          <w:sz w:val="24"/>
          <w:szCs w:val="24"/>
        </w:rPr>
        <w:t> </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Times New Roman"/>
          <w:color w:val="333333"/>
          <w:kern w:val="0"/>
          <w:sz w:val="24"/>
          <w:szCs w:val="24"/>
        </w:rPr>
        <w:t>                                                                             </w:t>
      </w:r>
      <w:r>
        <w:rPr>
          <w:rFonts w:ascii="Times New Roman" w:hAnsi="Times New Roman" w:cs="Times New Roman"/>
          <w:color w:val="333333"/>
          <w:kern w:val="0"/>
          <w:sz w:val="24"/>
          <w:szCs w:val="24"/>
        </w:rPr>
        <w:t>                     </w:t>
      </w:r>
      <w:r w:rsidRPr="00072D10">
        <w:rPr>
          <w:rFonts w:ascii="Times New Roman" w:hAnsi="Times New Roman" w:cs="宋体" w:hint="eastAsia"/>
          <w:color w:val="333333"/>
          <w:kern w:val="0"/>
          <w:sz w:val="24"/>
          <w:szCs w:val="24"/>
        </w:rPr>
        <w:t xml:space="preserve">市场监管总局　　</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Times New Roman"/>
          <w:color w:val="333333"/>
          <w:kern w:val="0"/>
          <w:sz w:val="24"/>
          <w:szCs w:val="24"/>
        </w:rPr>
        <w:t>                                                                                </w:t>
      </w:r>
      <w:r>
        <w:rPr>
          <w:rFonts w:ascii="Times New Roman" w:hAnsi="Times New Roman" w:cs="Times New Roman"/>
          <w:color w:val="333333"/>
          <w:kern w:val="0"/>
          <w:sz w:val="24"/>
          <w:szCs w:val="24"/>
        </w:rPr>
        <w:t>              </w:t>
      </w:r>
      <w:r w:rsidRPr="00072D10">
        <w:rPr>
          <w:rFonts w:ascii="Times New Roman" w:hAnsi="Times New Roman" w:cs="Times New Roman"/>
          <w:color w:val="333333"/>
          <w:kern w:val="0"/>
          <w:sz w:val="24"/>
          <w:szCs w:val="24"/>
        </w:rPr>
        <w:t>2019</w:t>
      </w:r>
      <w:r w:rsidRPr="00072D10">
        <w:rPr>
          <w:rFonts w:ascii="Times New Roman" w:hAnsi="Times New Roman" w:cs="宋体" w:hint="eastAsia"/>
          <w:color w:val="333333"/>
          <w:kern w:val="0"/>
          <w:sz w:val="24"/>
          <w:szCs w:val="24"/>
        </w:rPr>
        <w:t>年</w:t>
      </w:r>
      <w:r w:rsidRPr="00072D10">
        <w:rPr>
          <w:rFonts w:ascii="Times New Roman" w:hAnsi="Times New Roman" w:cs="Times New Roman"/>
          <w:color w:val="333333"/>
          <w:kern w:val="0"/>
          <w:sz w:val="24"/>
          <w:szCs w:val="24"/>
        </w:rPr>
        <w:t>12</w:t>
      </w:r>
      <w:r w:rsidRPr="00072D10">
        <w:rPr>
          <w:rFonts w:ascii="Times New Roman" w:hAnsi="Times New Roman" w:cs="宋体" w:hint="eastAsia"/>
          <w:color w:val="333333"/>
          <w:kern w:val="0"/>
          <w:sz w:val="24"/>
          <w:szCs w:val="24"/>
        </w:rPr>
        <w:t>月</w:t>
      </w:r>
      <w:r w:rsidRPr="00072D10">
        <w:rPr>
          <w:rFonts w:ascii="Times New Roman" w:hAnsi="Times New Roman" w:cs="Times New Roman"/>
          <w:color w:val="333333"/>
          <w:kern w:val="0"/>
          <w:sz w:val="24"/>
          <w:szCs w:val="24"/>
        </w:rPr>
        <w:t>24</w:t>
      </w:r>
      <w:r w:rsidRPr="00072D10">
        <w:rPr>
          <w:rFonts w:ascii="Times New Roman" w:hAnsi="Times New Roman" w:cs="宋体" w:hint="eastAsia"/>
          <w:color w:val="333333"/>
          <w:kern w:val="0"/>
          <w:sz w:val="24"/>
          <w:szCs w:val="24"/>
        </w:rPr>
        <w:t>日</w:t>
      </w:r>
    </w:p>
    <w:p w:rsidR="00651B35" w:rsidRPr="00072D10" w:rsidRDefault="00651B35" w:rsidP="00072D10">
      <w:pPr>
        <w:widowControl/>
        <w:spacing w:line="480" w:lineRule="atLeast"/>
        <w:rPr>
          <w:rFonts w:ascii="Times New Roman" w:hAnsi="Times New Roman" w:cs="Times New Roman"/>
          <w:color w:val="333333"/>
          <w:kern w:val="0"/>
          <w:sz w:val="24"/>
          <w:szCs w:val="24"/>
        </w:rPr>
      </w:pPr>
      <w:r w:rsidRPr="00072D10">
        <w:rPr>
          <w:rFonts w:ascii="Times New Roman" w:hAnsi="Times New Roman" w:cs="宋体" w:hint="eastAsia"/>
          <w:color w:val="333333"/>
          <w:kern w:val="0"/>
          <w:sz w:val="24"/>
          <w:szCs w:val="24"/>
        </w:rPr>
        <w:t xml:space="preserve">　</w:t>
      </w:r>
    </w:p>
    <w:p w:rsidR="00651B35" w:rsidRDefault="00651B35">
      <w:pPr>
        <w:rPr>
          <w:rFonts w:cs="Times New Roman"/>
        </w:rPr>
      </w:pPr>
    </w:p>
    <w:sectPr w:rsidR="00651B35" w:rsidSect="007814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宋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93644"/>
    <w:multiLevelType w:val="multilevel"/>
    <w:tmpl w:val="05DACA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BD74F93"/>
    <w:multiLevelType w:val="multilevel"/>
    <w:tmpl w:val="039E1E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708661B"/>
    <w:multiLevelType w:val="multilevel"/>
    <w:tmpl w:val="C66252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922D2A"/>
    <w:multiLevelType w:val="multilevel"/>
    <w:tmpl w:val="A594B8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2640B5C"/>
    <w:multiLevelType w:val="multilevel"/>
    <w:tmpl w:val="F06867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B8A75FF"/>
    <w:multiLevelType w:val="multilevel"/>
    <w:tmpl w:val="355C76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CBD0A5B"/>
    <w:multiLevelType w:val="multilevel"/>
    <w:tmpl w:val="723E17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2D10"/>
    <w:rsid w:val="00066BAC"/>
    <w:rsid w:val="00072D10"/>
    <w:rsid w:val="002C5941"/>
    <w:rsid w:val="004D4A1F"/>
    <w:rsid w:val="00603F84"/>
    <w:rsid w:val="00651B35"/>
    <w:rsid w:val="00781498"/>
    <w:rsid w:val="00892A25"/>
    <w:rsid w:val="00D47368"/>
    <w:rsid w:val="00E957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9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3833531">
      <w:marLeft w:val="0"/>
      <w:marRight w:val="0"/>
      <w:marTop w:val="0"/>
      <w:marBottom w:val="0"/>
      <w:divBdr>
        <w:top w:val="none" w:sz="0" w:space="0" w:color="auto"/>
        <w:left w:val="none" w:sz="0" w:space="0" w:color="auto"/>
        <w:bottom w:val="none" w:sz="0" w:space="0" w:color="auto"/>
        <w:right w:val="none" w:sz="0" w:space="0" w:color="auto"/>
      </w:divBdr>
      <w:divsChild>
        <w:div w:id="1833833530">
          <w:marLeft w:val="0"/>
          <w:marRight w:val="0"/>
          <w:marTop w:val="0"/>
          <w:marBottom w:val="0"/>
          <w:divBdr>
            <w:top w:val="none" w:sz="0" w:space="0" w:color="auto"/>
            <w:left w:val="none" w:sz="0" w:space="0" w:color="auto"/>
            <w:bottom w:val="none" w:sz="0" w:space="0" w:color="auto"/>
            <w:right w:val="none" w:sz="0" w:space="0" w:color="auto"/>
          </w:divBdr>
        </w:div>
        <w:div w:id="1833833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455</Words>
  <Characters>2596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2</cp:revision>
  <dcterms:created xsi:type="dcterms:W3CDTF">2020-01-08T02:55:00Z</dcterms:created>
  <dcterms:modified xsi:type="dcterms:W3CDTF">2020-01-09T01:38:00Z</dcterms:modified>
</cp:coreProperties>
</file>