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936" w:rsidRPr="00441936" w:rsidRDefault="00441936" w:rsidP="00441936">
      <w:pPr>
        <w:widowControl/>
        <w:shd w:val="clear" w:color="auto" w:fill="FFFFFF"/>
        <w:spacing w:before="100" w:beforeAutospacing="1" w:after="100" w:afterAutospacing="1" w:line="675" w:lineRule="atLeast"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36"/>
          <w:szCs w:val="36"/>
        </w:rPr>
      </w:pPr>
      <w:bookmarkStart w:id="0" w:name="_GoBack"/>
      <w:r w:rsidRPr="00441936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关于促进服务业领域困难行业</w:t>
      </w:r>
      <w:proofErr w:type="gramStart"/>
      <w:r w:rsidRPr="00441936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纾困发展</w:t>
      </w:r>
      <w:proofErr w:type="gramEnd"/>
      <w:r w:rsidRPr="00441936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有关增值税政策的公告</w:t>
      </w:r>
    </w:p>
    <w:bookmarkEnd w:id="0"/>
    <w:p w:rsidR="00441936" w:rsidRPr="00441936" w:rsidRDefault="00441936" w:rsidP="00441936">
      <w:pPr>
        <w:widowControl/>
        <w:shd w:val="clear" w:color="auto" w:fill="FFFFFF"/>
        <w:spacing w:before="100" w:beforeAutospacing="1" w:after="240"/>
        <w:jc w:val="center"/>
        <w:rPr>
          <w:rFonts w:ascii="Arial" w:eastAsia="微软雅黑" w:hAnsi="Arial" w:cs="Arial" w:hint="eastAsia"/>
          <w:color w:val="333333"/>
          <w:kern w:val="0"/>
          <w:sz w:val="24"/>
          <w:szCs w:val="24"/>
        </w:rPr>
      </w:pP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　　　　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财政部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税务总局公告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2022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年第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11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>号</w:t>
      </w:r>
      <w:r w:rsidRPr="00441936">
        <w:rPr>
          <w:rFonts w:ascii="Arial" w:eastAsia="微软雅黑" w:hAnsi="Arial" w:cs="Arial"/>
          <w:b/>
          <w:bCs/>
          <w:color w:val="333333"/>
          <w:kern w:val="0"/>
          <w:sz w:val="24"/>
          <w:szCs w:val="24"/>
        </w:rPr>
        <w:t xml:space="preserve"> </w:t>
      </w:r>
    </w:p>
    <w:p w:rsidR="00441936" w:rsidRPr="00441936" w:rsidRDefault="00441936" w:rsidP="0044193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为促进服务业领域困难行业</w:t>
      </w:r>
      <w:proofErr w:type="gramStart"/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纾</w:t>
      </w:r>
      <w:proofErr w:type="gramEnd"/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困发展，现将有关增值税政策公告如下：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441936" w:rsidRPr="00441936" w:rsidRDefault="00441936" w:rsidP="0044193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一、《财政部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海关总署关于深化增值税改革有关政策的公告》（财政部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海关总署公告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2019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39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号）第七条和《财政部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税务总局关于明确生活性服务业增值税加计抵减政策的公告》（财政部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税务总局公告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2019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年第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87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号）规定的生产、生活性服务业增值税加计抵减政策，执行期限延长至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12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31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日。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441936" w:rsidRPr="00441936" w:rsidRDefault="00441936" w:rsidP="0044193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二、自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日至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12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31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日，航空和铁路运输企业分支机构暂停预缴增值税。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月纳税申报期至文件发布之日已预缴的增值税予以退还。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441936" w:rsidRPr="00441936" w:rsidRDefault="00441936" w:rsidP="0044193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三、自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日至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12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31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日，对纳税人提供公共交通运输服务取得的收入，免征增值税。公共交通运输服务的具体范围，按照《营业税改征增值税试点有关事项的规定》（财税〔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2016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〕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36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号印发）执行。在本公告发布之前已征收入库的按上述规定应予免征的增值税税款，可抵减纳税人以后月份应缴纳的增值税税款或者办理税款退库。已向购买方开具增值税专用发票的，应将专用发票追回后方可办理免税。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441936" w:rsidRPr="00441936" w:rsidRDefault="00441936" w:rsidP="00441936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特此公告。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441936" w:rsidRPr="00441936" w:rsidRDefault="00441936" w:rsidP="00441936">
      <w:pPr>
        <w:widowControl/>
        <w:shd w:val="clear" w:color="auto" w:fill="FFFFFF"/>
        <w:spacing w:before="100" w:beforeAutospacing="1" w:after="240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lastRenderedPageBreak/>
        <w:t>财政部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441936" w:rsidRPr="00441936" w:rsidRDefault="00441936" w:rsidP="00441936">
      <w:pPr>
        <w:widowControl/>
        <w:shd w:val="clear" w:color="auto" w:fill="FFFFFF"/>
        <w:spacing w:before="100" w:beforeAutospacing="1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3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3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>日</w:t>
      </w:r>
      <w:r w:rsidRPr="00441936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7E6D7B" w:rsidRDefault="007E6D7B"/>
    <w:sectPr w:rsidR="007E6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2AA"/>
    <w:rsid w:val="00441936"/>
    <w:rsid w:val="007E6D7B"/>
    <w:rsid w:val="00B1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5CCA02-1F6D-4B50-B290-5BE38942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4193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41936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8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8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41006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2022-04-19T08:43:00Z</dcterms:created>
  <dcterms:modified xsi:type="dcterms:W3CDTF">2022-04-19T08:43:00Z</dcterms:modified>
</cp:coreProperties>
</file>