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color w:val="333333"/>
          <w:sz w:val="44"/>
          <w:szCs w:val="44"/>
          <w:shd w:val="clear" w:color="auto" w:fill="FFFFFF"/>
          <w:lang w:val="en-US" w:eastAsia="zh-CN"/>
        </w:rPr>
      </w:pPr>
      <w:r>
        <w:rPr>
          <w:rFonts w:hint="eastAsia" w:ascii="方正小标宋简体" w:hAnsi="方正小标宋简体" w:eastAsia="方正小标宋简体" w:cs="方正小标宋简体"/>
          <w:b w:val="0"/>
          <w:bCs/>
          <w:color w:val="333333"/>
          <w:sz w:val="44"/>
          <w:szCs w:val="44"/>
          <w:shd w:val="clear" w:color="auto" w:fill="FFFFFF"/>
          <w:lang w:val="en-US" w:eastAsia="zh-CN"/>
        </w:rPr>
        <w:t>保定市莲池区人民政府</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color w:val="333333"/>
          <w:sz w:val="44"/>
          <w:szCs w:val="44"/>
          <w:shd w:val="clear" w:color="auto" w:fill="FFFFFF"/>
        </w:rPr>
      </w:pPr>
      <w:r>
        <w:rPr>
          <w:rFonts w:hint="eastAsia" w:ascii="方正小标宋简体" w:hAnsi="方正小标宋简体" w:eastAsia="方正小标宋简体" w:cs="方正小标宋简体"/>
          <w:b w:val="0"/>
          <w:bCs/>
          <w:color w:val="333333"/>
          <w:sz w:val="44"/>
          <w:szCs w:val="44"/>
          <w:shd w:val="clear" w:color="auto" w:fill="FFFFFF"/>
          <w:lang w:val="en-US" w:eastAsia="zh-CN"/>
        </w:rPr>
        <w:t>2022年</w:t>
      </w:r>
      <w:r>
        <w:rPr>
          <w:rFonts w:hint="eastAsia" w:ascii="方正小标宋简体" w:hAnsi="方正小标宋简体" w:eastAsia="方正小标宋简体" w:cs="方正小标宋简体"/>
          <w:b w:val="0"/>
          <w:bCs/>
          <w:color w:val="333333"/>
          <w:sz w:val="44"/>
          <w:szCs w:val="44"/>
          <w:shd w:val="clear" w:color="auto" w:fill="FFFFFF"/>
        </w:rPr>
        <w:t>政府信息公开工作年度报告</w:t>
      </w:r>
    </w:p>
    <w:p>
      <w:pPr>
        <w:pStyle w:val="2"/>
        <w:shd w:val="clear" w:color="auto" w:fill="FFFFFF"/>
        <w:spacing w:before="0" w:beforeAutospacing="0" w:after="0" w:afterAutospacing="0"/>
        <w:jc w:val="center"/>
        <w:rPr>
          <w:rFonts w:hint="eastAsia"/>
          <w:b/>
          <w:color w:val="333333"/>
          <w:sz w:val="36"/>
          <w:szCs w:val="36"/>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5"/>
        <w:jc w:val="left"/>
        <w:textAlignment w:val="auto"/>
        <w:rPr>
          <w:rFonts w:ascii="宋体" w:hAnsi="宋体" w:eastAsia="宋体" w:cs="宋体"/>
          <w:i w:val="0"/>
          <w:iCs w:val="0"/>
          <w:caps w:val="0"/>
          <w:color w:val="000000"/>
          <w:spacing w:val="0"/>
          <w:sz w:val="21"/>
          <w:szCs w:val="21"/>
        </w:rPr>
      </w:pPr>
      <w:r>
        <w:rPr>
          <w:rFonts w:ascii="仿宋" w:hAnsi="仿宋" w:eastAsia="仿宋" w:cs="仿宋"/>
          <w:i w:val="0"/>
          <w:iCs w:val="0"/>
          <w:caps w:val="0"/>
          <w:color w:val="000000"/>
          <w:spacing w:val="0"/>
          <w:sz w:val="31"/>
          <w:szCs w:val="31"/>
          <w:shd w:val="clear" w:fill="FFFFFF"/>
        </w:rPr>
        <w:t>本报告依据《中华人民共和国政府信息公开条例》编制而成。全文包括总体情况、收到和处理政府信息公开申请情况、政府信息公开行政复议和行政诉讼情况、存在的主要问题及改进情况、其他需要报告的事项</w:t>
      </w:r>
      <w:r>
        <w:rPr>
          <w:rFonts w:hint="eastAsia" w:ascii="仿宋" w:hAnsi="仿宋" w:eastAsia="仿宋" w:cs="仿宋"/>
          <w:i w:val="0"/>
          <w:iCs w:val="0"/>
          <w:caps w:val="0"/>
          <w:color w:val="000000"/>
          <w:spacing w:val="0"/>
          <w:sz w:val="31"/>
          <w:szCs w:val="31"/>
          <w:shd w:val="clear" w:fill="FFFFFF"/>
        </w:rPr>
        <w:t>五部分组成。本年度报告中所列数据自202</w:t>
      </w:r>
      <w:r>
        <w:rPr>
          <w:rFonts w:hint="eastAsia" w:ascii="仿宋" w:hAnsi="仿宋" w:eastAsia="仿宋" w:cs="仿宋"/>
          <w:i w:val="0"/>
          <w:iCs w:val="0"/>
          <w:caps w:val="0"/>
          <w:color w:val="000000"/>
          <w:spacing w:val="0"/>
          <w:sz w:val="31"/>
          <w:szCs w:val="31"/>
          <w:shd w:val="clear" w:fill="FFFFFF"/>
          <w:lang w:val="en-US" w:eastAsia="zh-CN"/>
        </w:rPr>
        <w:t>2</w:t>
      </w:r>
      <w:r>
        <w:rPr>
          <w:rFonts w:hint="eastAsia" w:ascii="仿宋" w:hAnsi="仿宋" w:eastAsia="仿宋" w:cs="仿宋"/>
          <w:i w:val="0"/>
          <w:iCs w:val="0"/>
          <w:caps w:val="0"/>
          <w:color w:val="000000"/>
          <w:spacing w:val="0"/>
          <w:sz w:val="31"/>
          <w:szCs w:val="31"/>
          <w:shd w:val="clear" w:fill="FFFFFF"/>
        </w:rPr>
        <w:t>年1月1日起，于202</w:t>
      </w:r>
      <w:r>
        <w:rPr>
          <w:rFonts w:hint="eastAsia" w:ascii="仿宋" w:hAnsi="仿宋" w:eastAsia="仿宋" w:cs="仿宋"/>
          <w:i w:val="0"/>
          <w:iCs w:val="0"/>
          <w:caps w:val="0"/>
          <w:color w:val="000000"/>
          <w:spacing w:val="0"/>
          <w:sz w:val="31"/>
          <w:szCs w:val="31"/>
          <w:shd w:val="clear" w:fill="FFFFFF"/>
          <w:lang w:val="en-US" w:eastAsia="zh-CN"/>
        </w:rPr>
        <w:t>2</w:t>
      </w:r>
      <w:r>
        <w:rPr>
          <w:rFonts w:hint="eastAsia" w:ascii="仿宋" w:hAnsi="仿宋" w:eastAsia="仿宋" w:cs="仿宋"/>
          <w:i w:val="0"/>
          <w:iCs w:val="0"/>
          <w:caps w:val="0"/>
          <w:color w:val="000000"/>
          <w:spacing w:val="0"/>
          <w:sz w:val="31"/>
          <w:szCs w:val="31"/>
          <w:shd w:val="clear" w:fill="FFFFFF"/>
        </w:rPr>
        <w:t>年12月31日止。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5"/>
        <w:jc w:val="both"/>
        <w:textAlignment w:val="auto"/>
        <w:rPr>
          <w:rFonts w:hint="eastAsia" w:ascii="黑体" w:hAnsi="宋体" w:eastAsia="黑体" w:cs="黑体"/>
          <w:i w:val="0"/>
          <w:iCs w:val="0"/>
          <w:caps w:val="0"/>
          <w:color w:val="000000"/>
          <w:spacing w:val="0"/>
          <w:sz w:val="31"/>
          <w:szCs w:val="31"/>
          <w:shd w:val="clear" w:fill="FFFFFF"/>
        </w:rPr>
      </w:pPr>
      <w:r>
        <w:rPr>
          <w:rFonts w:ascii="黑体" w:hAnsi="宋体" w:eastAsia="黑体" w:cs="黑体"/>
          <w:i w:val="0"/>
          <w:iCs w:val="0"/>
          <w:caps w:val="0"/>
          <w:color w:val="000000"/>
          <w:spacing w:val="0"/>
          <w:sz w:val="31"/>
          <w:szCs w:val="31"/>
          <w:shd w:val="clear" w:fill="FFFFFF"/>
        </w:rPr>
        <w:t>一、</w:t>
      </w:r>
      <w:r>
        <w:rPr>
          <w:rFonts w:hint="eastAsia" w:ascii="黑体" w:hAnsi="宋体" w:eastAsia="黑体" w:cs="黑体"/>
          <w:i w:val="0"/>
          <w:iCs w:val="0"/>
          <w:caps w:val="0"/>
          <w:color w:val="000000"/>
          <w:spacing w:val="0"/>
          <w:sz w:val="31"/>
          <w:szCs w:val="31"/>
          <w:shd w:val="clear" w:fill="FFFFFF"/>
        </w:rPr>
        <w:t>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5"/>
        <w:jc w:val="both"/>
        <w:textAlignment w:val="auto"/>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202</w:t>
      </w:r>
      <w:r>
        <w:rPr>
          <w:rFonts w:hint="eastAsia" w:ascii="仿宋" w:hAnsi="仿宋" w:eastAsia="仿宋" w:cs="仿宋"/>
          <w:i w:val="0"/>
          <w:iCs w:val="0"/>
          <w:caps w:val="0"/>
          <w:color w:val="000000"/>
          <w:spacing w:val="0"/>
          <w:sz w:val="31"/>
          <w:szCs w:val="31"/>
          <w:shd w:val="clear" w:fill="FFFFFF"/>
          <w:lang w:val="en-US" w:eastAsia="zh-CN"/>
        </w:rPr>
        <w:t>2</w:t>
      </w:r>
      <w:r>
        <w:rPr>
          <w:rFonts w:hint="eastAsia" w:ascii="仿宋" w:hAnsi="仿宋" w:eastAsia="仿宋" w:cs="仿宋"/>
          <w:i w:val="0"/>
          <w:iCs w:val="0"/>
          <w:caps w:val="0"/>
          <w:color w:val="000000"/>
          <w:spacing w:val="0"/>
          <w:sz w:val="31"/>
          <w:szCs w:val="31"/>
          <w:shd w:val="clear" w:fill="FFFFFF"/>
        </w:rPr>
        <w:t>年，</w:t>
      </w:r>
      <w:r>
        <w:rPr>
          <w:rFonts w:hint="eastAsia" w:ascii="仿宋" w:hAnsi="仿宋" w:eastAsia="仿宋" w:cs="仿宋"/>
          <w:i w:val="0"/>
          <w:iCs w:val="0"/>
          <w:caps w:val="0"/>
          <w:color w:val="000000"/>
          <w:spacing w:val="0"/>
          <w:sz w:val="31"/>
          <w:szCs w:val="31"/>
          <w:shd w:val="clear" w:fill="FFFFFF"/>
          <w:lang w:eastAsia="zh-CN"/>
        </w:rPr>
        <w:t>莲池区</w:t>
      </w:r>
      <w:r>
        <w:rPr>
          <w:rFonts w:hint="eastAsia" w:ascii="仿宋" w:hAnsi="仿宋" w:eastAsia="仿宋" w:cs="仿宋"/>
          <w:i w:val="0"/>
          <w:iCs w:val="0"/>
          <w:caps w:val="0"/>
          <w:color w:val="000000"/>
          <w:spacing w:val="0"/>
          <w:sz w:val="31"/>
          <w:szCs w:val="31"/>
          <w:shd w:val="clear" w:fill="FFFFFF"/>
        </w:rPr>
        <w:t>坚持以习近平新时代中国特色社会主义思想为指导，全面贯彻党的</w:t>
      </w:r>
      <w:r>
        <w:rPr>
          <w:rFonts w:hint="eastAsia" w:ascii="仿宋" w:hAnsi="仿宋" w:eastAsia="仿宋" w:cs="仿宋"/>
          <w:i w:val="0"/>
          <w:iCs w:val="0"/>
          <w:caps w:val="0"/>
          <w:color w:val="000000"/>
          <w:spacing w:val="0"/>
          <w:sz w:val="31"/>
          <w:szCs w:val="31"/>
          <w:shd w:val="clear" w:fill="FFFFFF"/>
          <w:lang w:eastAsia="zh-CN"/>
        </w:rPr>
        <w:t>二十大</w:t>
      </w:r>
      <w:r>
        <w:rPr>
          <w:rFonts w:hint="eastAsia" w:ascii="仿宋" w:hAnsi="仿宋" w:eastAsia="仿宋" w:cs="仿宋"/>
          <w:i w:val="0"/>
          <w:iCs w:val="0"/>
          <w:caps w:val="0"/>
          <w:color w:val="000000"/>
          <w:spacing w:val="0"/>
          <w:sz w:val="31"/>
          <w:szCs w:val="31"/>
          <w:shd w:val="clear" w:fill="FFFFFF"/>
        </w:rPr>
        <w:t>精神，认真落实党中央、国务院、省委、省政府和市委、市政府关于政务公开决策部署工作安排，认真谋划、狠抓落实，大力推进决策公开、执行公开、管理公开、服务公开、结果公开，推动权力规范、廉洁、高效运行，打造透明型、服务型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00"/>
        <w:jc w:val="left"/>
        <w:textAlignment w:val="auto"/>
        <w:rPr>
          <w:rFonts w:ascii="宋体" w:hAnsi="宋体" w:eastAsia="宋体" w:cs="宋体"/>
          <w:i w:val="0"/>
          <w:iCs w:val="0"/>
          <w:caps w:val="0"/>
          <w:color w:val="000000"/>
          <w:spacing w:val="0"/>
          <w:sz w:val="21"/>
          <w:szCs w:val="21"/>
        </w:rPr>
      </w:pPr>
      <w:r>
        <w:rPr>
          <w:rStyle w:val="5"/>
          <w:rFonts w:ascii="楷体" w:hAnsi="楷体" w:eastAsia="楷体" w:cs="楷体"/>
          <w:i w:val="0"/>
          <w:iCs w:val="0"/>
          <w:caps w:val="0"/>
          <w:color w:val="000000"/>
          <w:spacing w:val="0"/>
          <w:sz w:val="30"/>
          <w:szCs w:val="30"/>
          <w:shd w:val="clear" w:fill="FFFFFF"/>
        </w:rPr>
        <w:t>（一）主动公开方面。</w:t>
      </w:r>
      <w:r>
        <w:rPr>
          <w:rFonts w:ascii="仿宋" w:hAnsi="仿宋" w:eastAsia="仿宋" w:cs="仿宋"/>
          <w:i w:val="0"/>
          <w:iCs w:val="0"/>
          <w:caps w:val="0"/>
          <w:color w:val="000000"/>
          <w:spacing w:val="0"/>
          <w:sz w:val="30"/>
          <w:szCs w:val="30"/>
          <w:shd w:val="clear" w:fill="FFFFFF"/>
        </w:rPr>
        <w:t>围绕行政执法公示、疫情防控、生态环境保护、助企纾困、稳岗就业、减税降费等重点领域专栏主动公开各类政府信息</w:t>
      </w:r>
      <w:r>
        <w:rPr>
          <w:rFonts w:hint="eastAsia" w:ascii="仿宋" w:hAnsi="仿宋" w:eastAsia="仿宋" w:cs="仿宋"/>
          <w:i w:val="0"/>
          <w:iCs w:val="0"/>
          <w:caps w:val="0"/>
          <w:color w:val="000000"/>
          <w:spacing w:val="0"/>
          <w:sz w:val="30"/>
          <w:szCs w:val="30"/>
          <w:shd w:val="clear" w:fill="FFFFFF"/>
          <w:lang w:val="en-US" w:eastAsia="zh-CN"/>
        </w:rPr>
        <w:t>2700余条</w:t>
      </w:r>
      <w:r>
        <w:rPr>
          <w:rFonts w:ascii="仿宋" w:hAnsi="仿宋" w:eastAsia="仿宋" w:cs="仿宋"/>
          <w:i w:val="0"/>
          <w:iCs w:val="0"/>
          <w:caps w:val="0"/>
          <w:color w:val="000000"/>
          <w:spacing w:val="0"/>
          <w:sz w:val="30"/>
          <w:szCs w:val="30"/>
          <w:shd w:val="clear" w:fill="FFFFFF"/>
        </w:rPr>
        <w:t>，发布相关政策解读，促进政策落地落实；强化预算监督,打造阳光财政</w:t>
      </w:r>
      <w:r>
        <w:rPr>
          <w:rFonts w:hint="eastAsia" w:ascii="仿宋" w:hAnsi="仿宋" w:eastAsia="仿宋" w:cs="仿宋"/>
          <w:i w:val="0"/>
          <w:iCs w:val="0"/>
          <w:caps w:val="0"/>
          <w:color w:val="000000"/>
          <w:spacing w:val="0"/>
          <w:sz w:val="30"/>
          <w:szCs w:val="30"/>
          <w:shd w:val="clear" w:fill="FFFFFF"/>
          <w:lang w:eastAsia="zh-CN"/>
        </w:rPr>
        <w:t>；</w:t>
      </w:r>
      <w:r>
        <w:rPr>
          <w:rFonts w:ascii="仿宋" w:hAnsi="仿宋" w:eastAsia="仿宋" w:cs="仿宋"/>
          <w:i w:val="0"/>
          <w:iCs w:val="0"/>
          <w:caps w:val="0"/>
          <w:color w:val="000000"/>
          <w:spacing w:val="0"/>
          <w:sz w:val="30"/>
          <w:szCs w:val="30"/>
          <w:shd w:val="clear" w:fill="FFFFFF"/>
        </w:rPr>
        <w:t>公开人大建议、政协提案办理情况</w:t>
      </w:r>
      <w:r>
        <w:rPr>
          <w:rFonts w:hint="eastAsia" w:ascii="仿宋" w:hAnsi="仿宋" w:eastAsia="仿宋" w:cs="仿宋"/>
          <w:i w:val="0"/>
          <w:iCs w:val="0"/>
          <w:caps w:val="0"/>
          <w:color w:val="000000"/>
          <w:spacing w:val="0"/>
          <w:sz w:val="30"/>
          <w:szCs w:val="30"/>
          <w:shd w:val="clear" w:fill="FFFFFF"/>
          <w:lang w:eastAsia="zh-CN"/>
        </w:rPr>
        <w:t>，</w:t>
      </w:r>
      <w:r>
        <w:rPr>
          <w:rFonts w:hint="eastAsia" w:ascii="仿宋" w:hAnsi="仿宋" w:eastAsia="仿宋" w:cs="仿宋"/>
          <w:i w:val="0"/>
          <w:iCs w:val="0"/>
          <w:caps w:val="0"/>
          <w:color w:val="000000"/>
          <w:spacing w:val="0"/>
          <w:sz w:val="31"/>
          <w:szCs w:val="31"/>
          <w:shd w:val="clear" w:fill="FFFFFF"/>
        </w:rPr>
        <w:t>充分保障群众的知情权、参与权、监督权。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00"/>
        <w:jc w:val="left"/>
        <w:textAlignment w:val="auto"/>
        <w:rPr>
          <w:rFonts w:hint="eastAsia" w:ascii="宋体" w:hAnsi="宋体" w:eastAsia="宋体" w:cs="宋体"/>
          <w:i w:val="0"/>
          <w:iCs w:val="0"/>
          <w:caps w:val="0"/>
          <w:color w:val="000000"/>
          <w:spacing w:val="0"/>
          <w:sz w:val="21"/>
          <w:szCs w:val="21"/>
        </w:rPr>
      </w:pPr>
      <w:r>
        <w:rPr>
          <w:rStyle w:val="5"/>
          <w:rFonts w:hint="eastAsia" w:ascii="楷体" w:hAnsi="楷体" w:eastAsia="楷体" w:cs="楷体"/>
          <w:i w:val="0"/>
          <w:iCs w:val="0"/>
          <w:caps w:val="0"/>
          <w:color w:val="000000"/>
          <w:spacing w:val="0"/>
          <w:sz w:val="30"/>
          <w:szCs w:val="30"/>
          <w:shd w:val="clear" w:fill="FFFFFF"/>
        </w:rPr>
        <w:t>（二）依申请公开方面。</w:t>
      </w:r>
      <w:r>
        <w:rPr>
          <w:rFonts w:hint="eastAsia" w:ascii="仿宋" w:hAnsi="仿宋" w:eastAsia="仿宋" w:cs="仿宋"/>
          <w:i w:val="0"/>
          <w:iCs w:val="0"/>
          <w:caps w:val="0"/>
          <w:color w:val="000000"/>
          <w:spacing w:val="0"/>
          <w:sz w:val="30"/>
          <w:szCs w:val="30"/>
          <w:shd w:val="clear" w:fill="FFFFFF"/>
        </w:rPr>
        <w:t>严格按照《中华人民共和国政府信息公开条例》、《河北省政府信息公开申请办理规范》，进一步规范依申请公开工作，建立健全接收、登记、办理、答复等业务流程，对从网络、信函、当面申请等多种渠道收到的依申请公开事项均严格按照条例规定进行答复处理。2022年共收到依申请公开117件，其中信函申请107件，网络申请4件，当面送达6件，当年办结115件，结转下一年2件，答复时限、答复形式、答复内容都符合相关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00"/>
        <w:jc w:val="left"/>
        <w:textAlignment w:val="auto"/>
        <w:rPr>
          <w:rFonts w:hint="eastAsia" w:ascii="宋体" w:hAnsi="宋体" w:eastAsia="宋体" w:cs="宋体"/>
          <w:i w:val="0"/>
          <w:iCs w:val="0"/>
          <w:caps w:val="0"/>
          <w:color w:val="000000"/>
          <w:spacing w:val="0"/>
          <w:sz w:val="21"/>
          <w:szCs w:val="21"/>
        </w:rPr>
      </w:pPr>
      <w:r>
        <w:rPr>
          <w:rStyle w:val="5"/>
          <w:rFonts w:hint="eastAsia" w:ascii="楷体" w:hAnsi="楷体" w:eastAsia="楷体" w:cs="楷体"/>
          <w:i w:val="0"/>
          <w:iCs w:val="0"/>
          <w:caps w:val="0"/>
          <w:color w:val="000000"/>
          <w:spacing w:val="0"/>
          <w:sz w:val="30"/>
          <w:szCs w:val="30"/>
          <w:shd w:val="clear" w:fill="FFFFFF"/>
        </w:rPr>
        <w:t>（三）政府信息管理方面。</w:t>
      </w:r>
      <w:r>
        <w:rPr>
          <w:rFonts w:hint="eastAsia" w:ascii="仿宋" w:hAnsi="仿宋" w:eastAsia="仿宋" w:cs="仿宋"/>
          <w:i w:val="0"/>
          <w:iCs w:val="0"/>
          <w:caps w:val="0"/>
          <w:color w:val="000000"/>
          <w:spacing w:val="0"/>
          <w:sz w:val="30"/>
          <w:szCs w:val="30"/>
          <w:shd w:val="clear" w:fill="FFFFFF"/>
        </w:rPr>
        <w:t>根据《中华人民共和国保守国家秘密法》和《中华人民共和国政府信息公开条例》的规定，结合实际，完善了《保定市莲池区政府信息公开保密审查制度》，按照“谁公开、谁审查、谁负责”和“涉密的不公开、公开的不涉密”原则，对拟发布信息内容的准确性、完整性、时效性以及是否涉密进行把关，避免出现信息发布泄密、失信、影响社会稳定等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00"/>
        <w:jc w:val="left"/>
        <w:textAlignment w:val="auto"/>
        <w:rPr>
          <w:rFonts w:hint="eastAsia" w:ascii="宋体" w:hAnsi="宋体" w:eastAsia="宋体" w:cs="宋体"/>
          <w:i w:val="0"/>
          <w:iCs w:val="0"/>
          <w:caps w:val="0"/>
          <w:color w:val="000000"/>
          <w:spacing w:val="0"/>
          <w:sz w:val="21"/>
          <w:szCs w:val="21"/>
        </w:rPr>
      </w:pPr>
      <w:r>
        <w:rPr>
          <w:rStyle w:val="5"/>
          <w:rFonts w:hint="eastAsia" w:ascii="楷体" w:hAnsi="楷体" w:eastAsia="楷体" w:cs="楷体"/>
          <w:i w:val="0"/>
          <w:iCs w:val="0"/>
          <w:caps w:val="0"/>
          <w:color w:val="000000"/>
          <w:spacing w:val="0"/>
          <w:sz w:val="30"/>
          <w:szCs w:val="30"/>
          <w:shd w:val="clear" w:fill="FFFFFF"/>
        </w:rPr>
        <w:t>（四）政府信息公开平台建设方面。</w:t>
      </w:r>
      <w:r>
        <w:rPr>
          <w:rFonts w:hint="eastAsia" w:ascii="仿宋" w:hAnsi="仿宋" w:eastAsia="仿宋" w:cs="仿宋"/>
          <w:i w:val="0"/>
          <w:iCs w:val="0"/>
          <w:caps w:val="0"/>
          <w:color w:val="000000"/>
          <w:spacing w:val="0"/>
          <w:sz w:val="30"/>
          <w:szCs w:val="30"/>
          <w:shd w:val="clear" w:fill="FFFFFF"/>
        </w:rPr>
        <w:t>充分发挥政府网站信息公开第一平台作用，按照标准优化栏目设置，丰富公开内容；完成政府网站IPV6升级，加强政府网站信息安全等日常维护；强化政务新媒体常态化监管，充分发挥政务新媒体正面宣传引导作用，严格落实政务新媒体账号备案登记制度，认真履行信息发布审核制度，实行政务新媒体日常监测、督办、定期通报制度，及时整改省、市交办问题，确保信息发布准确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00"/>
        <w:jc w:val="left"/>
        <w:textAlignment w:val="auto"/>
        <w:rPr>
          <w:rFonts w:hint="eastAsia" w:ascii="宋体" w:hAnsi="宋体" w:eastAsia="宋体" w:cs="宋体"/>
          <w:i w:val="0"/>
          <w:iCs w:val="0"/>
          <w:caps w:val="0"/>
          <w:color w:val="000000"/>
          <w:spacing w:val="0"/>
          <w:sz w:val="21"/>
          <w:szCs w:val="21"/>
        </w:rPr>
      </w:pPr>
      <w:r>
        <w:rPr>
          <w:rStyle w:val="5"/>
          <w:rFonts w:hint="eastAsia" w:ascii="楷体" w:hAnsi="楷体" w:eastAsia="楷体" w:cs="楷体"/>
          <w:i w:val="0"/>
          <w:iCs w:val="0"/>
          <w:caps w:val="0"/>
          <w:color w:val="000000"/>
          <w:spacing w:val="0"/>
          <w:sz w:val="30"/>
          <w:szCs w:val="30"/>
          <w:shd w:val="clear" w:fill="FFFFFF"/>
        </w:rPr>
        <w:t>（五）监督保障方面。</w:t>
      </w:r>
      <w:r>
        <w:rPr>
          <w:rFonts w:hint="eastAsia" w:ascii="仿宋" w:hAnsi="仿宋" w:eastAsia="仿宋" w:cs="仿宋"/>
          <w:i w:val="0"/>
          <w:iCs w:val="0"/>
          <w:caps w:val="0"/>
          <w:color w:val="000000"/>
          <w:spacing w:val="0"/>
          <w:sz w:val="30"/>
          <w:szCs w:val="30"/>
          <w:shd w:val="clear" w:fill="FFFFFF"/>
        </w:rPr>
        <w:t>按照省、市政务公开工作要求，结合年度政务公开第三方评估反馈问题逐条对照整改，全方位提高政务公开水平。同时将省、市2022年度政务公开考核指标转发至各乡镇、街道、园区和区政府各相关单位，监督各单位对照指标认真整改，加大公开力度。</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0" w:lineRule="exact"/>
        <w:ind w:firstLine="420"/>
        <w:jc w:val="both"/>
        <w:textAlignment w:val="auto"/>
        <w:rPr>
          <w:rFonts w:hint="eastAsia" w:ascii="黑体" w:hAnsi="黑体" w:eastAsia="黑体" w:cs="黑体"/>
          <w:b/>
          <w:color w:val="333333"/>
          <w:sz w:val="32"/>
          <w:szCs w:val="32"/>
          <w:shd w:val="clear" w:color="auto" w:fill="FFFFFF"/>
        </w:rPr>
      </w:pPr>
      <w:r>
        <w:rPr>
          <w:rFonts w:hint="eastAsia" w:ascii="黑体" w:hAnsi="黑体" w:eastAsia="黑体" w:cs="黑体"/>
          <w:b/>
          <w:color w:val="333333"/>
          <w:sz w:val="32"/>
          <w:szCs w:val="32"/>
          <w:shd w:val="clear" w:color="auto" w:fill="FFFFFF"/>
        </w:rPr>
        <w:t>二、主动公开政府信息情况</w:t>
      </w: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信息内容</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本年制发件数</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本年废止件数</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4</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9"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leftChars="0" w:right="0" w:rightChars="0" w:firstLine="0" w:firstLineChars="0"/>
              <w:jc w:val="center"/>
              <w:textAlignment w:val="auto"/>
              <w:rPr>
                <w:rFonts w:hint="default"/>
                <w:sz w:val="21"/>
                <w:szCs w:val="21"/>
                <w:lang w:val="en-US"/>
              </w:rPr>
            </w:pPr>
            <w:r>
              <w:rPr>
                <w:rFonts w:hint="eastAsia" w:ascii="宋体" w:hAnsi="宋体" w:eastAsia="宋体" w:cs="宋体"/>
                <w:color w:val="000000"/>
                <w:kern w:val="0"/>
                <w:sz w:val="20"/>
                <w:szCs w:val="20"/>
                <w:lang w:val="en-US" w:eastAsia="zh-CN"/>
              </w:rPr>
              <w:t>58175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firstLine="0" w:firstLineChars="0"/>
              <w:jc w:val="center"/>
              <w:rPr>
                <w:rFonts w:hint="default" w:eastAsia="宋体"/>
                <w:sz w:val="21"/>
                <w:szCs w:val="21"/>
                <w:lang w:val="en-US" w:eastAsia="zh-CN"/>
              </w:rPr>
            </w:pPr>
            <w:r>
              <w:rPr>
                <w:rFonts w:hint="eastAsia" w:ascii="宋体" w:hAnsi="宋体" w:eastAsia="宋体" w:cs="宋体"/>
                <w:color w:val="000000"/>
                <w:kern w:val="0"/>
                <w:sz w:val="20"/>
                <w:szCs w:val="20"/>
                <w:lang w:val="en-US" w:eastAsia="zh-CN"/>
              </w:rPr>
              <w:t>1807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firstLine="0" w:firstLineChars="0"/>
              <w:jc w:val="center"/>
              <w:rPr>
                <w:rFonts w:hint="default" w:eastAsia="宋体"/>
                <w:sz w:val="21"/>
                <w:szCs w:val="21"/>
                <w:lang w:val="en-US" w:eastAsia="zh-CN"/>
              </w:rPr>
            </w:pPr>
            <w:r>
              <w:rPr>
                <w:rFonts w:hint="eastAsia" w:eastAsia="宋体"/>
                <w:sz w:val="21"/>
                <w:szCs w:val="21"/>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center"/>
              <w:rPr>
                <w:sz w:val="21"/>
                <w:szCs w:val="21"/>
              </w:rPr>
            </w:pPr>
            <w:r>
              <w:rPr>
                <w:rFonts w:hint="eastAsia" w:ascii="微软雅黑" w:hAnsi="微软雅黑" w:eastAsia="微软雅黑" w:cs="微软雅黑"/>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line="560" w:lineRule="atLeast"/>
              <w:ind w:left="0" w:right="0"/>
              <w:jc w:val="left"/>
              <w:rPr>
                <w:sz w:val="21"/>
                <w:szCs w:val="21"/>
              </w:rPr>
            </w:pPr>
            <w:r>
              <w:rPr>
                <w:rFonts w:hint="eastAsia" w:ascii="微软雅黑" w:hAnsi="微软雅黑" w:eastAsia="微软雅黑" w:cs="微软雅黑"/>
                <w:kern w:val="0"/>
                <w:sz w:val="21"/>
                <w:szCs w:val="21"/>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spacing w:before="0" w:beforeAutospacing="0" w:after="0" w:afterAutospacing="0" w:line="560" w:lineRule="atLeast"/>
              <w:ind w:left="0" w:leftChars="0" w:right="0" w:rightChars="0" w:firstLine="0" w:firstLineChars="0"/>
              <w:jc w:val="center"/>
              <w:rPr>
                <w:rFonts w:hint="default" w:eastAsia="仿宋_GB2312"/>
                <w:sz w:val="21"/>
                <w:szCs w:val="21"/>
                <w:lang w:val="en-US" w:eastAsia="zh-CN"/>
              </w:rPr>
            </w:pPr>
            <w:r>
              <w:rPr>
                <w:rFonts w:hint="eastAsia"/>
                <w:sz w:val="21"/>
                <w:szCs w:val="21"/>
                <w:lang w:val="en-US" w:eastAsia="zh-CN"/>
              </w:rPr>
              <w:t>1021</w:t>
            </w:r>
          </w:p>
        </w:tc>
      </w:tr>
    </w:tbl>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0" w:lineRule="exact"/>
        <w:jc w:val="both"/>
        <w:textAlignment w:val="auto"/>
        <w:outlineLvl w:val="0"/>
        <w:rPr>
          <w:rFonts w:hint="eastAsia" w:ascii="黑体" w:hAnsi="黑体" w:eastAsia="黑体" w:cs="黑体"/>
          <w:color w:val="333333"/>
          <w:sz w:val="32"/>
          <w:szCs w:val="32"/>
        </w:rPr>
      </w:pPr>
      <w:r>
        <w:rPr>
          <w:rFonts w:hint="eastAsia" w:ascii="黑体" w:hAnsi="黑体" w:eastAsia="黑体" w:cs="黑体"/>
          <w:b/>
          <w:color w:val="333333"/>
          <w:sz w:val="32"/>
          <w:szCs w:val="32"/>
          <w:shd w:val="clear" w:color="auto" w:fill="FFFFFF"/>
        </w:rPr>
        <w:t>三、收到和处理政府信息公开申请情况</w:t>
      </w:r>
    </w:p>
    <w:tbl>
      <w:tblPr>
        <w:tblStyle w:val="3"/>
        <w:tblW w:w="907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8"/>
        <w:gridCol w:w="854"/>
        <w:gridCol w:w="2086"/>
        <w:gridCol w:w="814"/>
        <w:gridCol w:w="755"/>
        <w:gridCol w:w="755"/>
        <w:gridCol w:w="814"/>
        <w:gridCol w:w="974"/>
        <w:gridCol w:w="712"/>
        <w:gridCol w:w="68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vMerge w:val="restart"/>
            <w:tcBorders>
              <w:tl2br w:val="nil"/>
              <w:tr2bl w:val="nil"/>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（本列数据的勾稽关系为：第一项加第二项之和，等于第三项加第四项之和）</w:t>
            </w:r>
          </w:p>
        </w:tc>
        <w:tc>
          <w:tcPr>
            <w:tcW w:w="5513" w:type="dxa"/>
            <w:gridSpan w:val="7"/>
            <w:tcBorders>
              <w:tl2br w:val="nil"/>
              <w:tr2bl w:val="nil"/>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申请人情况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vMerge w:val="continue"/>
            <w:tcBorders>
              <w:tl2br w:val="nil"/>
              <w:tr2bl w:val="nil"/>
            </w:tcBorders>
            <w:noWrap w:val="0"/>
            <w:tcMar>
              <w:left w:w="108" w:type="dxa"/>
              <w:right w:w="108" w:type="dxa"/>
            </w:tcMar>
            <w:vAlign w:val="center"/>
          </w:tcPr>
          <w:p>
            <w:pPr>
              <w:rPr>
                <w:rFonts w:hint="eastAsia" w:ascii="宋体"/>
                <w:sz w:val="24"/>
              </w:rPr>
            </w:pPr>
          </w:p>
        </w:tc>
        <w:tc>
          <w:tcPr>
            <w:tcW w:w="814" w:type="dxa"/>
            <w:vMerge w:val="restart"/>
            <w:tcBorders>
              <w:tl2br w:val="nil"/>
              <w:tr2bl w:val="nil"/>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自然人</w:t>
            </w:r>
          </w:p>
        </w:tc>
        <w:tc>
          <w:tcPr>
            <w:tcW w:w="4010" w:type="dxa"/>
            <w:gridSpan w:val="5"/>
            <w:tcBorders>
              <w:tl2br w:val="nil"/>
              <w:tr2bl w:val="nil"/>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法人或其他组织</w:t>
            </w:r>
          </w:p>
        </w:tc>
        <w:tc>
          <w:tcPr>
            <w:tcW w:w="689" w:type="dxa"/>
            <w:vMerge w:val="restart"/>
            <w:tcBorders>
              <w:tl2br w:val="nil"/>
              <w:tr2bl w:val="nil"/>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总计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vMerge w:val="continue"/>
            <w:tcBorders>
              <w:tl2br w:val="nil"/>
              <w:tr2bl w:val="nil"/>
            </w:tcBorders>
            <w:noWrap w:val="0"/>
            <w:tcMar>
              <w:left w:w="108" w:type="dxa"/>
              <w:right w:w="108" w:type="dxa"/>
            </w:tcMar>
            <w:vAlign w:val="center"/>
          </w:tcPr>
          <w:p>
            <w:pPr>
              <w:rPr>
                <w:rFonts w:hint="eastAsia" w:ascii="宋体"/>
                <w:sz w:val="24"/>
              </w:rPr>
            </w:pPr>
          </w:p>
        </w:tc>
        <w:tc>
          <w:tcPr>
            <w:tcW w:w="814" w:type="dxa"/>
            <w:vMerge w:val="continue"/>
            <w:tcBorders>
              <w:tl2br w:val="nil"/>
              <w:tr2bl w:val="nil"/>
            </w:tcBorders>
            <w:noWrap w:val="0"/>
            <w:tcMar>
              <w:left w:w="108" w:type="dxa"/>
              <w:right w:w="108" w:type="dxa"/>
            </w:tcMar>
            <w:vAlign w:val="center"/>
          </w:tcPr>
          <w:p>
            <w:pPr>
              <w:rPr>
                <w:rFonts w:hint="eastAsia" w:ascii="宋体"/>
                <w:sz w:val="24"/>
              </w:rPr>
            </w:pPr>
          </w:p>
        </w:tc>
        <w:tc>
          <w:tcPr>
            <w:tcW w:w="755" w:type="dxa"/>
            <w:tcBorders>
              <w:tl2br w:val="nil"/>
              <w:tr2bl w:val="nil"/>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商业企业</w:t>
            </w:r>
          </w:p>
        </w:tc>
        <w:tc>
          <w:tcPr>
            <w:tcW w:w="755" w:type="dxa"/>
            <w:tcBorders>
              <w:tl2br w:val="nil"/>
              <w:tr2bl w:val="nil"/>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科研机构</w:t>
            </w:r>
          </w:p>
        </w:tc>
        <w:tc>
          <w:tcPr>
            <w:tcW w:w="814" w:type="dxa"/>
            <w:tcBorders>
              <w:tl2br w:val="nil"/>
              <w:tr2bl w:val="nil"/>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社会公益组织</w:t>
            </w:r>
          </w:p>
        </w:tc>
        <w:tc>
          <w:tcPr>
            <w:tcW w:w="974" w:type="dxa"/>
            <w:tcBorders>
              <w:tl2br w:val="nil"/>
              <w:tr2bl w:val="nil"/>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法律服务机构</w:t>
            </w:r>
          </w:p>
        </w:tc>
        <w:tc>
          <w:tcPr>
            <w:tcW w:w="712" w:type="dxa"/>
            <w:tcBorders>
              <w:tl2br w:val="nil"/>
              <w:tr2bl w:val="nil"/>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其他</w:t>
            </w:r>
          </w:p>
        </w:tc>
        <w:tc>
          <w:tcPr>
            <w:tcW w:w="689" w:type="dxa"/>
            <w:vMerge w:val="continue"/>
            <w:tcBorders>
              <w:tl2br w:val="nil"/>
              <w:tr2bl w:val="nil"/>
            </w:tcBorders>
            <w:noWrap w:val="0"/>
            <w:tcMar>
              <w:left w:w="108" w:type="dxa"/>
              <w:right w:w="108" w:type="dxa"/>
            </w:tcMar>
            <w:vAlign w:val="center"/>
          </w:tcPr>
          <w:p>
            <w:pPr>
              <w:rPr>
                <w:rFonts w:hint="eastAsia" w:asci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3558" w:type="dxa"/>
            <w:gridSpan w:val="3"/>
            <w:tcBorders>
              <w:tl2br w:val="nil"/>
              <w:tr2bl w:val="nil"/>
            </w:tcBorders>
            <w:noWrap w:val="0"/>
            <w:tcMar>
              <w:left w:w="108" w:type="dxa"/>
              <w:right w:w="108" w:type="dxa"/>
            </w:tcMar>
            <w:vAlign w:val="center"/>
          </w:tcPr>
          <w:p>
            <w:pPr>
              <w:widowControl/>
              <w:spacing w:after="180"/>
              <w:jc w:val="left"/>
            </w:pPr>
            <w:r>
              <w:rPr>
                <w:rFonts w:hint="eastAsia" w:ascii="宋体" w:hAnsi="宋体" w:eastAsia="宋体" w:cs="宋体"/>
                <w:kern w:val="0"/>
                <w:sz w:val="20"/>
                <w:szCs w:val="20"/>
              </w:rPr>
              <w:t>一、本年新收政府信息公开申请数量</w:t>
            </w:r>
          </w:p>
        </w:tc>
        <w:tc>
          <w:tcPr>
            <w:tcW w:w="814" w:type="dxa"/>
            <w:tcBorders>
              <w:tl2br w:val="nil"/>
              <w:tr2bl w:val="nil"/>
            </w:tcBorders>
            <w:noWrap w:val="0"/>
            <w:tcMar>
              <w:left w:w="108" w:type="dxa"/>
              <w:right w:w="108" w:type="dxa"/>
            </w:tcMar>
            <w:vAlign w:val="center"/>
          </w:tcPr>
          <w:p>
            <w:pPr>
              <w:widowControl/>
              <w:spacing w:after="180"/>
              <w:jc w:val="center"/>
              <w:rPr>
                <w:rFonts w:hint="default" w:ascii="Calibri" w:eastAsia="宋体" w:cs="Calibri"/>
                <w:kern w:val="0"/>
                <w:sz w:val="20"/>
                <w:szCs w:val="20"/>
                <w:lang w:val="en-US" w:eastAsia="zh-CN"/>
              </w:rPr>
            </w:pPr>
            <w:r>
              <w:rPr>
                <w:rFonts w:hint="eastAsia" w:ascii="Calibri" w:eastAsia="宋体" w:cs="Calibri"/>
                <w:kern w:val="0"/>
                <w:sz w:val="20"/>
                <w:szCs w:val="20"/>
                <w:lang w:val="en-US" w:eastAsia="zh-CN"/>
              </w:rPr>
              <w:t>115</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1</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81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97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712"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1</w:t>
            </w:r>
          </w:p>
        </w:tc>
        <w:tc>
          <w:tcPr>
            <w:tcW w:w="689"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117 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tcBorders>
              <w:tl2br w:val="nil"/>
              <w:tr2bl w:val="nil"/>
            </w:tcBorders>
            <w:noWrap w:val="0"/>
            <w:tcMar>
              <w:left w:w="108" w:type="dxa"/>
              <w:right w:w="108" w:type="dxa"/>
            </w:tcMar>
            <w:vAlign w:val="center"/>
          </w:tcPr>
          <w:p>
            <w:pPr>
              <w:widowControl/>
              <w:spacing w:after="180"/>
              <w:jc w:val="left"/>
            </w:pPr>
            <w:r>
              <w:rPr>
                <w:rFonts w:hint="eastAsia" w:ascii="宋体" w:hAnsi="宋体" w:eastAsia="宋体" w:cs="宋体"/>
                <w:kern w:val="0"/>
                <w:sz w:val="20"/>
                <w:szCs w:val="20"/>
              </w:rPr>
              <w:t>二、上年结转政府信息公开申请数量</w:t>
            </w:r>
          </w:p>
        </w:tc>
        <w:tc>
          <w:tcPr>
            <w:tcW w:w="81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81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97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712"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689"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restart"/>
            <w:tcBorders>
              <w:tl2br w:val="nil"/>
              <w:tr2bl w:val="nil"/>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三、本年度办理结果</w:t>
            </w:r>
          </w:p>
        </w:tc>
        <w:tc>
          <w:tcPr>
            <w:tcW w:w="2940" w:type="dxa"/>
            <w:gridSpan w:val="2"/>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（一）予以公开</w:t>
            </w:r>
          </w:p>
        </w:tc>
        <w:tc>
          <w:tcPr>
            <w:tcW w:w="81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9 </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81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97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712"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689"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2940" w:type="dxa"/>
            <w:gridSpan w:val="2"/>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（二）部分公开（区分处理的，只计这一情形，不计其他情形）</w:t>
            </w:r>
          </w:p>
        </w:tc>
        <w:tc>
          <w:tcPr>
            <w:tcW w:w="814" w:type="dxa"/>
            <w:tcBorders>
              <w:tl2br w:val="nil"/>
              <w:tr2bl w:val="nil"/>
            </w:tcBorders>
            <w:noWrap w:val="0"/>
            <w:tcMar>
              <w:left w:w="108" w:type="dxa"/>
              <w:right w:w="108" w:type="dxa"/>
            </w:tcMar>
            <w:vAlign w:val="center"/>
          </w:tcPr>
          <w:p>
            <w:pPr>
              <w:widowControl/>
              <w:spacing w:after="180"/>
              <w:jc w:val="center"/>
              <w:rPr>
                <w:rFonts w:hint="default" w:ascii="Calibri" w:eastAsia="宋体" w:cs="Calibri"/>
                <w:kern w:val="0"/>
                <w:sz w:val="20"/>
                <w:szCs w:val="20"/>
                <w:lang w:val="en-US" w:eastAsia="zh-CN"/>
              </w:rPr>
            </w:pPr>
            <w:r>
              <w:rPr>
                <w:rFonts w:hint="eastAsia" w:ascii="Calibri" w:eastAsia="宋体" w:cs="Calibri"/>
                <w:kern w:val="0"/>
                <w:sz w:val="20"/>
                <w:szCs w:val="20"/>
                <w:lang w:val="en-US" w:eastAsia="zh-CN"/>
              </w:rPr>
              <w:t> 14</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81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97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712"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689" w:type="dxa"/>
            <w:tcBorders>
              <w:tl2br w:val="nil"/>
              <w:tr2bl w:val="nil"/>
            </w:tcBorders>
            <w:noWrap w:val="0"/>
            <w:tcMar>
              <w:left w:w="108" w:type="dxa"/>
              <w:right w:w="108" w:type="dxa"/>
            </w:tcMar>
            <w:vAlign w:val="center"/>
          </w:tcPr>
          <w:p>
            <w:pPr>
              <w:widowControl/>
              <w:spacing w:after="180"/>
              <w:jc w:val="center"/>
              <w:rPr>
                <w:rFonts w:hint="default" w:ascii="Calibri" w:eastAsia="宋体" w:cs="Calibri"/>
                <w:kern w:val="0"/>
                <w:sz w:val="20"/>
                <w:szCs w:val="20"/>
                <w:lang w:val="en-US" w:eastAsia="zh-CN"/>
              </w:rPr>
            </w:pPr>
            <w:r>
              <w:rPr>
                <w:rFonts w:hint="eastAsia" w:ascii="Calibri" w:eastAsia="宋体" w:cs="Calibri"/>
                <w:kern w:val="0"/>
                <w:sz w:val="20"/>
                <w:szCs w:val="20"/>
                <w:lang w:val="en-US" w:eastAsia="zh-CN"/>
              </w:rPr>
              <w:t> 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restart"/>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（三）不予公开</w:t>
            </w: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1.属于国家秘密</w:t>
            </w:r>
          </w:p>
        </w:tc>
        <w:tc>
          <w:tcPr>
            <w:tcW w:w="81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81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97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712"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689"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continue"/>
            <w:tcBorders>
              <w:tl2br w:val="nil"/>
              <w:tr2bl w:val="nil"/>
            </w:tcBorders>
            <w:noWrap w:val="0"/>
            <w:tcMar>
              <w:left w:w="108" w:type="dxa"/>
              <w:right w:w="108" w:type="dxa"/>
            </w:tcMar>
            <w:vAlign w:val="center"/>
          </w:tcPr>
          <w:p>
            <w:pPr>
              <w:rPr>
                <w:rFonts w:hint="eastAsia" w:ascii="宋体"/>
                <w:sz w:val="24"/>
              </w:rPr>
            </w:pP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2.其他法律行政法规禁止公开</w:t>
            </w:r>
          </w:p>
        </w:tc>
        <w:tc>
          <w:tcPr>
            <w:tcW w:w="81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81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97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712"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689"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continue"/>
            <w:tcBorders>
              <w:tl2br w:val="nil"/>
              <w:tr2bl w:val="nil"/>
            </w:tcBorders>
            <w:noWrap w:val="0"/>
            <w:tcMar>
              <w:left w:w="108" w:type="dxa"/>
              <w:right w:w="108" w:type="dxa"/>
            </w:tcMar>
            <w:vAlign w:val="center"/>
          </w:tcPr>
          <w:p>
            <w:pPr>
              <w:rPr>
                <w:rFonts w:hint="eastAsia" w:ascii="宋体"/>
                <w:sz w:val="24"/>
              </w:rPr>
            </w:pP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3.危及“三安全一稳定”</w:t>
            </w:r>
          </w:p>
        </w:tc>
        <w:tc>
          <w:tcPr>
            <w:tcW w:w="81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81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97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712"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689"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continue"/>
            <w:tcBorders>
              <w:tl2br w:val="nil"/>
              <w:tr2bl w:val="nil"/>
            </w:tcBorders>
            <w:noWrap w:val="0"/>
            <w:tcMar>
              <w:left w:w="108" w:type="dxa"/>
              <w:right w:w="108" w:type="dxa"/>
            </w:tcMar>
            <w:vAlign w:val="center"/>
          </w:tcPr>
          <w:p>
            <w:pPr>
              <w:rPr>
                <w:rFonts w:hint="eastAsia" w:ascii="宋体"/>
                <w:sz w:val="24"/>
              </w:rPr>
            </w:pP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4.保护第三方合法权益</w:t>
            </w:r>
          </w:p>
        </w:tc>
        <w:tc>
          <w:tcPr>
            <w:tcW w:w="81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1</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81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97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712"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689"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continue"/>
            <w:tcBorders>
              <w:tl2br w:val="nil"/>
              <w:tr2bl w:val="nil"/>
            </w:tcBorders>
            <w:noWrap w:val="0"/>
            <w:tcMar>
              <w:left w:w="108" w:type="dxa"/>
              <w:right w:w="108" w:type="dxa"/>
            </w:tcMar>
            <w:vAlign w:val="center"/>
          </w:tcPr>
          <w:p>
            <w:pPr>
              <w:rPr>
                <w:rFonts w:hint="eastAsia" w:ascii="宋体"/>
                <w:sz w:val="24"/>
              </w:rPr>
            </w:pP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5.属于三类内部事务信息</w:t>
            </w:r>
          </w:p>
        </w:tc>
        <w:tc>
          <w:tcPr>
            <w:tcW w:w="81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81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97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712"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689"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continue"/>
            <w:tcBorders>
              <w:tl2br w:val="nil"/>
              <w:tr2bl w:val="nil"/>
            </w:tcBorders>
            <w:noWrap w:val="0"/>
            <w:tcMar>
              <w:left w:w="108" w:type="dxa"/>
              <w:right w:w="108" w:type="dxa"/>
            </w:tcMar>
            <w:vAlign w:val="center"/>
          </w:tcPr>
          <w:p>
            <w:pPr>
              <w:rPr>
                <w:rFonts w:hint="eastAsia" w:ascii="宋体"/>
                <w:sz w:val="24"/>
              </w:rPr>
            </w:pP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6.属于四类过程性信息</w:t>
            </w:r>
          </w:p>
        </w:tc>
        <w:tc>
          <w:tcPr>
            <w:tcW w:w="81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81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97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712"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689"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continue"/>
            <w:tcBorders>
              <w:tl2br w:val="nil"/>
              <w:tr2bl w:val="nil"/>
            </w:tcBorders>
            <w:noWrap w:val="0"/>
            <w:tcMar>
              <w:left w:w="108" w:type="dxa"/>
              <w:right w:w="108" w:type="dxa"/>
            </w:tcMar>
            <w:vAlign w:val="center"/>
          </w:tcPr>
          <w:p>
            <w:pPr>
              <w:rPr>
                <w:rFonts w:hint="eastAsia" w:ascii="宋体"/>
                <w:sz w:val="24"/>
              </w:rPr>
            </w:pP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7.属于行政执法案卷</w:t>
            </w:r>
          </w:p>
        </w:tc>
        <w:tc>
          <w:tcPr>
            <w:tcW w:w="81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81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97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712"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689"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continue"/>
            <w:tcBorders>
              <w:tl2br w:val="nil"/>
              <w:tr2bl w:val="nil"/>
            </w:tcBorders>
            <w:noWrap w:val="0"/>
            <w:tcMar>
              <w:left w:w="108" w:type="dxa"/>
              <w:right w:w="108" w:type="dxa"/>
            </w:tcMar>
            <w:vAlign w:val="center"/>
          </w:tcPr>
          <w:p>
            <w:pPr>
              <w:rPr>
                <w:rFonts w:hint="eastAsia" w:ascii="宋体"/>
                <w:sz w:val="24"/>
              </w:rPr>
            </w:pP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8.属于行政查询事项</w:t>
            </w:r>
          </w:p>
        </w:tc>
        <w:tc>
          <w:tcPr>
            <w:tcW w:w="81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81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97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712"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689"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restart"/>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（四）无法提供</w:t>
            </w: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1.本机关不掌握相关政府信息</w:t>
            </w:r>
          </w:p>
        </w:tc>
        <w:tc>
          <w:tcPr>
            <w:tcW w:w="814" w:type="dxa"/>
            <w:tcBorders>
              <w:tl2br w:val="nil"/>
              <w:tr2bl w:val="nil"/>
            </w:tcBorders>
            <w:noWrap w:val="0"/>
            <w:tcMar>
              <w:left w:w="108" w:type="dxa"/>
              <w:right w:w="108" w:type="dxa"/>
            </w:tcMar>
            <w:vAlign w:val="center"/>
          </w:tcPr>
          <w:p>
            <w:pPr>
              <w:widowControl/>
              <w:spacing w:after="180"/>
              <w:jc w:val="center"/>
              <w:rPr>
                <w:rFonts w:hint="default" w:ascii="Calibri" w:eastAsia="宋体" w:cs="Calibri"/>
                <w:kern w:val="0"/>
                <w:sz w:val="20"/>
                <w:szCs w:val="20"/>
                <w:lang w:val="en-US" w:eastAsia="zh-CN"/>
              </w:rPr>
            </w:pPr>
            <w:r>
              <w:rPr>
                <w:rFonts w:hint="eastAsia" w:ascii="Calibri" w:eastAsia="宋体" w:cs="Calibri"/>
                <w:kern w:val="0"/>
                <w:sz w:val="20"/>
                <w:szCs w:val="20"/>
                <w:lang w:val="en-US" w:eastAsia="zh-CN"/>
              </w:rPr>
              <w:t> 89</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1</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81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97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712"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1</w:t>
            </w:r>
          </w:p>
        </w:tc>
        <w:tc>
          <w:tcPr>
            <w:tcW w:w="689" w:type="dxa"/>
            <w:tcBorders>
              <w:tl2br w:val="nil"/>
              <w:tr2bl w:val="nil"/>
            </w:tcBorders>
            <w:noWrap w:val="0"/>
            <w:tcMar>
              <w:left w:w="108" w:type="dxa"/>
              <w:right w:w="108" w:type="dxa"/>
            </w:tcMar>
            <w:vAlign w:val="center"/>
          </w:tcPr>
          <w:p>
            <w:pPr>
              <w:widowControl/>
              <w:spacing w:after="180"/>
              <w:jc w:val="center"/>
              <w:rPr>
                <w:rFonts w:hint="default" w:ascii="Calibri" w:eastAsia="宋体" w:cs="Calibri"/>
                <w:kern w:val="0"/>
                <w:sz w:val="20"/>
                <w:szCs w:val="20"/>
                <w:lang w:val="en-US" w:eastAsia="zh-CN"/>
              </w:rPr>
            </w:pPr>
            <w:r>
              <w:rPr>
                <w:rFonts w:hint="eastAsia" w:ascii="Calibri" w:eastAsia="宋体" w:cs="Calibri"/>
                <w:kern w:val="0"/>
                <w:sz w:val="20"/>
                <w:szCs w:val="20"/>
                <w:lang w:val="en-US" w:eastAsia="zh-CN"/>
              </w:rPr>
              <w:t> 91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continue"/>
            <w:tcBorders>
              <w:tl2br w:val="nil"/>
              <w:tr2bl w:val="nil"/>
            </w:tcBorders>
            <w:noWrap w:val="0"/>
            <w:tcMar>
              <w:left w:w="108" w:type="dxa"/>
              <w:right w:w="108" w:type="dxa"/>
            </w:tcMar>
            <w:vAlign w:val="center"/>
          </w:tcPr>
          <w:p>
            <w:pPr>
              <w:rPr>
                <w:rFonts w:hint="eastAsia" w:ascii="宋体"/>
                <w:sz w:val="24"/>
              </w:rPr>
            </w:pP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2.没有现成信息需要另行制作</w:t>
            </w:r>
          </w:p>
        </w:tc>
        <w:tc>
          <w:tcPr>
            <w:tcW w:w="81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81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97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712"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689"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continue"/>
            <w:tcBorders>
              <w:tl2br w:val="nil"/>
              <w:tr2bl w:val="nil"/>
            </w:tcBorders>
            <w:noWrap w:val="0"/>
            <w:tcMar>
              <w:left w:w="108" w:type="dxa"/>
              <w:right w:w="108" w:type="dxa"/>
            </w:tcMar>
            <w:vAlign w:val="center"/>
          </w:tcPr>
          <w:p>
            <w:pPr>
              <w:rPr>
                <w:rFonts w:hint="eastAsia" w:ascii="宋体"/>
                <w:sz w:val="24"/>
              </w:rPr>
            </w:pP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3.补正后申请内容仍不明确</w:t>
            </w:r>
          </w:p>
        </w:tc>
        <w:tc>
          <w:tcPr>
            <w:tcW w:w="81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81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97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712"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689"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restart"/>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（五）不予处理</w:t>
            </w: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1.信访举报投诉类申请</w:t>
            </w:r>
          </w:p>
        </w:tc>
        <w:tc>
          <w:tcPr>
            <w:tcW w:w="81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81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97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712"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689"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continue"/>
            <w:tcBorders>
              <w:tl2br w:val="nil"/>
              <w:tr2bl w:val="nil"/>
            </w:tcBorders>
            <w:noWrap w:val="0"/>
            <w:tcMar>
              <w:left w:w="108" w:type="dxa"/>
              <w:right w:w="108" w:type="dxa"/>
            </w:tcMar>
            <w:vAlign w:val="center"/>
          </w:tcPr>
          <w:p>
            <w:pPr>
              <w:rPr>
                <w:rFonts w:hint="eastAsia" w:ascii="宋体"/>
                <w:sz w:val="24"/>
              </w:rPr>
            </w:pP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2.重复申请</w:t>
            </w:r>
          </w:p>
        </w:tc>
        <w:tc>
          <w:tcPr>
            <w:tcW w:w="81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81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97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712"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689"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continue"/>
            <w:tcBorders>
              <w:tl2br w:val="nil"/>
              <w:tr2bl w:val="nil"/>
            </w:tcBorders>
            <w:noWrap w:val="0"/>
            <w:tcMar>
              <w:left w:w="108" w:type="dxa"/>
              <w:right w:w="108" w:type="dxa"/>
            </w:tcMar>
            <w:vAlign w:val="center"/>
          </w:tcPr>
          <w:p>
            <w:pPr>
              <w:rPr>
                <w:rFonts w:hint="eastAsia" w:ascii="宋体"/>
                <w:sz w:val="24"/>
              </w:rPr>
            </w:pP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3.要求提供公开出版物</w:t>
            </w:r>
          </w:p>
        </w:tc>
        <w:tc>
          <w:tcPr>
            <w:tcW w:w="81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81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97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712"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689"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continue"/>
            <w:tcBorders>
              <w:tl2br w:val="nil"/>
              <w:tr2bl w:val="nil"/>
            </w:tcBorders>
            <w:noWrap w:val="0"/>
            <w:tcMar>
              <w:left w:w="108" w:type="dxa"/>
              <w:right w:w="108" w:type="dxa"/>
            </w:tcMar>
            <w:vAlign w:val="center"/>
          </w:tcPr>
          <w:p>
            <w:pPr>
              <w:rPr>
                <w:rFonts w:hint="eastAsia" w:ascii="宋体"/>
                <w:sz w:val="24"/>
              </w:rPr>
            </w:pP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4.无正当理由大量反复申请</w:t>
            </w:r>
          </w:p>
        </w:tc>
        <w:tc>
          <w:tcPr>
            <w:tcW w:w="81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81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97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712"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689"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854" w:type="dxa"/>
            <w:vMerge w:val="continue"/>
            <w:tcBorders>
              <w:tl2br w:val="nil"/>
              <w:tr2bl w:val="nil"/>
            </w:tcBorders>
            <w:noWrap w:val="0"/>
            <w:tcMar>
              <w:left w:w="108" w:type="dxa"/>
              <w:right w:w="108" w:type="dxa"/>
            </w:tcMar>
            <w:vAlign w:val="center"/>
          </w:tcPr>
          <w:p>
            <w:pPr>
              <w:rPr>
                <w:rFonts w:hint="eastAsia" w:ascii="宋体"/>
                <w:sz w:val="24"/>
              </w:rPr>
            </w:pPr>
          </w:p>
        </w:tc>
        <w:tc>
          <w:tcPr>
            <w:tcW w:w="2086" w:type="dxa"/>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5.要求行政机关确认或重新出具已获取信息</w:t>
            </w:r>
          </w:p>
        </w:tc>
        <w:tc>
          <w:tcPr>
            <w:tcW w:w="81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81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97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712"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689"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2940" w:type="dxa"/>
            <w:gridSpan w:val="2"/>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（六）其他处理</w:t>
            </w:r>
          </w:p>
        </w:tc>
        <w:tc>
          <w:tcPr>
            <w:tcW w:w="81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81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97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712"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689"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pPr>
              <w:rPr>
                <w:rFonts w:hint="eastAsia" w:ascii="宋体"/>
                <w:sz w:val="24"/>
              </w:rPr>
            </w:pPr>
          </w:p>
        </w:tc>
        <w:tc>
          <w:tcPr>
            <w:tcW w:w="2940" w:type="dxa"/>
            <w:gridSpan w:val="2"/>
            <w:tcBorders>
              <w:tl2br w:val="nil"/>
              <w:tr2bl w:val="nil"/>
            </w:tcBorders>
            <w:noWrap w:val="0"/>
            <w:tcMar>
              <w:left w:w="108" w:type="dxa"/>
              <w:right w:w="108" w:type="dxa"/>
            </w:tcMar>
            <w:vAlign w:val="center"/>
          </w:tcPr>
          <w:p>
            <w:pPr>
              <w:widowControl/>
              <w:spacing w:after="180"/>
              <w:jc w:val="left"/>
            </w:pPr>
            <w:r>
              <w:rPr>
                <w:rFonts w:hint="eastAsia" w:ascii="楷体" w:hAnsi="楷体" w:eastAsia="楷体" w:cs="楷体"/>
                <w:kern w:val="0"/>
                <w:sz w:val="20"/>
                <w:szCs w:val="20"/>
              </w:rPr>
              <w:t>（七）总计</w:t>
            </w:r>
          </w:p>
        </w:tc>
        <w:tc>
          <w:tcPr>
            <w:tcW w:w="814" w:type="dxa"/>
            <w:tcBorders>
              <w:tl2br w:val="nil"/>
              <w:tr2bl w:val="nil"/>
            </w:tcBorders>
            <w:noWrap w:val="0"/>
            <w:tcMar>
              <w:left w:w="108" w:type="dxa"/>
              <w:right w:w="108" w:type="dxa"/>
            </w:tcMar>
            <w:vAlign w:val="center"/>
          </w:tcPr>
          <w:p>
            <w:pPr>
              <w:widowControl/>
              <w:spacing w:after="180"/>
              <w:jc w:val="center"/>
              <w:rPr>
                <w:rFonts w:hint="default" w:ascii="Calibri" w:eastAsia="宋体" w:cs="Calibri"/>
                <w:kern w:val="0"/>
                <w:sz w:val="20"/>
                <w:szCs w:val="20"/>
                <w:lang w:val="en-US" w:eastAsia="zh-CN"/>
              </w:rPr>
            </w:pPr>
            <w:r>
              <w:rPr>
                <w:rFonts w:hint="eastAsia" w:ascii="Calibri" w:eastAsia="宋体" w:cs="Calibri"/>
                <w:kern w:val="0"/>
                <w:sz w:val="20"/>
                <w:szCs w:val="20"/>
                <w:lang w:val="en-US" w:eastAsia="zh-CN"/>
              </w:rPr>
              <w:t> 113</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1</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81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97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712"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1</w:t>
            </w:r>
          </w:p>
        </w:tc>
        <w:tc>
          <w:tcPr>
            <w:tcW w:w="689" w:type="dxa"/>
            <w:tcBorders>
              <w:tl2br w:val="nil"/>
              <w:tr2bl w:val="nil"/>
            </w:tcBorders>
            <w:noWrap w:val="0"/>
            <w:tcMar>
              <w:left w:w="108" w:type="dxa"/>
              <w:right w:w="108" w:type="dxa"/>
            </w:tcMar>
            <w:vAlign w:val="center"/>
          </w:tcPr>
          <w:p>
            <w:pPr>
              <w:widowControl/>
              <w:spacing w:after="180"/>
              <w:jc w:val="center"/>
              <w:rPr>
                <w:rFonts w:hint="default" w:ascii="Calibri" w:eastAsia="宋体" w:cs="Calibri"/>
                <w:kern w:val="0"/>
                <w:sz w:val="20"/>
                <w:szCs w:val="20"/>
                <w:lang w:val="en-US" w:eastAsia="zh-CN"/>
              </w:rPr>
            </w:pPr>
            <w:r>
              <w:rPr>
                <w:rFonts w:hint="eastAsia" w:ascii="Calibri" w:eastAsia="宋体" w:cs="Calibri"/>
                <w:kern w:val="0"/>
                <w:sz w:val="20"/>
                <w:szCs w:val="20"/>
                <w:lang w:val="en-US" w:eastAsia="zh-CN"/>
              </w:rPr>
              <w:t> 115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tcBorders>
              <w:tl2br w:val="nil"/>
              <w:tr2bl w:val="nil"/>
            </w:tcBorders>
            <w:noWrap w:val="0"/>
            <w:tcMar>
              <w:left w:w="108" w:type="dxa"/>
              <w:right w:w="108" w:type="dxa"/>
            </w:tcMar>
            <w:vAlign w:val="center"/>
          </w:tcPr>
          <w:p>
            <w:pPr>
              <w:widowControl/>
              <w:spacing w:after="180"/>
              <w:jc w:val="left"/>
            </w:pPr>
            <w:r>
              <w:rPr>
                <w:rFonts w:hint="eastAsia" w:ascii="宋体" w:hAnsi="宋体" w:eastAsia="宋体" w:cs="宋体"/>
                <w:kern w:val="0"/>
                <w:sz w:val="20"/>
                <w:szCs w:val="20"/>
              </w:rPr>
              <w:t>四、结转下年度继续办理</w:t>
            </w:r>
          </w:p>
        </w:tc>
        <w:tc>
          <w:tcPr>
            <w:tcW w:w="81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2</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755"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81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974"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712"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689" w:type="dxa"/>
            <w:tcBorders>
              <w:tl2br w:val="nil"/>
              <w:tr2bl w:val="nil"/>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2</w:t>
            </w:r>
          </w:p>
        </w:tc>
      </w:tr>
    </w:tbl>
    <w:p>
      <w:pPr>
        <w:pStyle w:val="2"/>
        <w:shd w:val="clear" w:color="auto" w:fill="FFFFFF"/>
        <w:spacing w:before="0" w:beforeAutospacing="0" w:after="0" w:afterAutospacing="0"/>
        <w:ind w:firstLine="420"/>
        <w:jc w:val="both"/>
        <w:rPr>
          <w:rFonts w:hint="eastAsia"/>
          <w:color w:val="333333"/>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jc w:val="both"/>
        <w:textAlignment w:val="auto"/>
        <w:outlineLvl w:val="0"/>
        <w:rPr>
          <w:rFonts w:hint="eastAsia" w:ascii="黑体" w:hAnsi="黑体" w:eastAsia="黑体" w:cs="黑体"/>
          <w:color w:val="333333"/>
          <w:sz w:val="32"/>
          <w:szCs w:val="32"/>
        </w:rPr>
      </w:pPr>
      <w:r>
        <w:rPr>
          <w:rFonts w:hint="eastAsia" w:ascii="黑体" w:hAnsi="黑体" w:eastAsia="黑体" w:cs="黑体"/>
          <w:b/>
          <w:color w:val="333333"/>
          <w:sz w:val="32"/>
          <w:szCs w:val="32"/>
          <w:shd w:val="clear" w:color="auto" w:fill="FFFFFF"/>
        </w:rPr>
        <w:t>四、政府信息公开行政复议、行政诉讼情况</w:t>
      </w:r>
    </w:p>
    <w:p>
      <w:pPr>
        <w:pStyle w:val="2"/>
        <w:shd w:val="clear" w:color="auto" w:fill="FFFFFF"/>
        <w:spacing w:before="0" w:beforeAutospacing="0" w:after="0" w:afterAutospacing="0"/>
        <w:ind w:firstLine="420"/>
        <w:jc w:val="both"/>
        <w:rPr>
          <w:rFonts w:hint="eastAsia"/>
          <w:color w:val="333333"/>
        </w:rPr>
      </w:pPr>
    </w:p>
    <w:tbl>
      <w:tblPr>
        <w:tblStyle w:val="3"/>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1</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1</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2</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4</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1</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1</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2 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0 </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 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Calibri" w:eastAsia="宋体" w:cs="Calibri"/>
                <w:kern w:val="0"/>
                <w:sz w:val="20"/>
                <w:szCs w:val="20"/>
                <w:lang w:val="en-US" w:eastAsia="zh-CN"/>
              </w:rPr>
            </w:pPr>
            <w:r>
              <w:rPr>
                <w:rFonts w:hint="eastAsia" w:ascii="Calibri" w:eastAsia="宋体" w:cs="Calibri"/>
                <w:kern w:val="0"/>
                <w:sz w:val="20"/>
                <w:szCs w:val="20"/>
                <w:lang w:val="en-US" w:eastAsia="zh-CN"/>
              </w:rPr>
              <w:t>0</w:t>
            </w:r>
          </w:p>
        </w:tc>
      </w:tr>
    </w:tbl>
    <w:p>
      <w:pPr>
        <w:widowControl/>
        <w:shd w:val="clear" w:color="auto" w:fill="FFFFFF"/>
        <w:rPr>
          <w:rFonts w:hint="eastAsia" w:ascii="宋体" w:hAnsi="宋体" w:eastAsia="宋体" w:cs="宋体"/>
          <w:color w:val="333333"/>
          <w:sz w:val="24"/>
        </w:rPr>
      </w:pPr>
    </w:p>
    <w:p>
      <w:pPr>
        <w:pStyle w:val="2"/>
        <w:shd w:val="clear" w:color="auto" w:fill="FFFFFF"/>
        <w:spacing w:before="0" w:beforeAutospacing="0" w:after="0" w:afterAutospacing="0"/>
        <w:ind w:firstLine="420"/>
        <w:jc w:val="both"/>
        <w:outlineLvl w:val="0"/>
        <w:rPr>
          <w:rFonts w:hint="eastAsia" w:ascii="黑体" w:hAnsi="黑体" w:eastAsia="黑体" w:cs="黑体"/>
          <w:color w:val="333333"/>
          <w:sz w:val="32"/>
          <w:szCs w:val="32"/>
        </w:rPr>
      </w:pPr>
      <w:r>
        <w:rPr>
          <w:rFonts w:hint="eastAsia" w:ascii="黑体" w:hAnsi="黑体" w:eastAsia="黑体" w:cs="黑体"/>
          <w:b/>
          <w:color w:val="333333"/>
          <w:sz w:val="32"/>
          <w:szCs w:val="32"/>
          <w:shd w:val="clear" w:color="auto" w:fill="FFFFFF"/>
        </w:rPr>
        <w:t>五、存在的主要问题及改进情况</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30" w:lineRule="exact"/>
        <w:ind w:firstLine="640" w:firstLineChars="200"/>
        <w:jc w:val="both"/>
        <w:textAlignment w:val="auto"/>
        <w:outlineLvl w:val="0"/>
        <w:rPr>
          <w:rFonts w:hint="eastAsia" w:ascii="仿宋" w:hAnsi="仿宋" w:eastAsia="仿宋" w:cs="仿宋"/>
          <w:i w:val="0"/>
          <w:iCs w:val="0"/>
          <w:caps w:val="0"/>
          <w:color w:val="000000"/>
          <w:spacing w:val="0"/>
          <w:sz w:val="32"/>
          <w:szCs w:val="32"/>
        </w:rPr>
      </w:pPr>
      <w:r>
        <w:rPr>
          <w:rFonts w:ascii="仿宋" w:hAnsi="仿宋" w:eastAsia="仿宋" w:cs="仿宋"/>
          <w:i w:val="0"/>
          <w:iCs w:val="0"/>
          <w:caps w:val="0"/>
          <w:color w:val="000000"/>
          <w:spacing w:val="0"/>
          <w:sz w:val="32"/>
          <w:szCs w:val="32"/>
        </w:rPr>
        <w:t>2022年度政府信息公开工作取得一定成效，但仍存在一些不足，主要表现在：对各地、各部门政府信息公开调研不够深入，政策解读方式多样性有待进一步丰富等。</w:t>
      </w:r>
      <w:r>
        <w:rPr>
          <w:rFonts w:hint="eastAsia" w:ascii="仿宋" w:hAnsi="仿宋" w:eastAsia="仿宋" w:cs="仿宋"/>
          <w:i w:val="0"/>
          <w:iCs w:val="0"/>
          <w:caps w:val="0"/>
          <w:color w:val="000000"/>
          <w:spacing w:val="0"/>
          <w:sz w:val="32"/>
          <w:szCs w:val="32"/>
        </w:rPr>
        <w:t>下一步，我们将坚持问题导向和结果导向，主动开展有针对性的调研指导，进一步加强业务培训和经验交流，深入开展政策解读，推动全</w:t>
      </w:r>
      <w:r>
        <w:rPr>
          <w:rFonts w:hint="eastAsia" w:ascii="仿宋" w:hAnsi="仿宋" w:eastAsia="仿宋" w:cs="仿宋"/>
          <w:i w:val="0"/>
          <w:iCs w:val="0"/>
          <w:caps w:val="0"/>
          <w:color w:val="000000"/>
          <w:spacing w:val="0"/>
          <w:sz w:val="32"/>
          <w:szCs w:val="32"/>
          <w:lang w:eastAsia="zh-CN"/>
        </w:rPr>
        <w:t>区</w:t>
      </w:r>
      <w:r>
        <w:rPr>
          <w:rFonts w:hint="eastAsia" w:ascii="仿宋" w:hAnsi="仿宋" w:eastAsia="仿宋" w:cs="仿宋"/>
          <w:i w:val="0"/>
          <w:iCs w:val="0"/>
          <w:caps w:val="0"/>
          <w:color w:val="000000"/>
          <w:spacing w:val="0"/>
          <w:sz w:val="32"/>
          <w:szCs w:val="32"/>
        </w:rPr>
        <w:t>政务公开工作提质增效。</w:t>
      </w:r>
    </w:p>
    <w:p>
      <w:pPr>
        <w:pStyle w:val="2"/>
        <w:shd w:val="clear" w:color="auto" w:fill="FFFFFF"/>
        <w:spacing w:before="0" w:beforeAutospacing="0" w:after="0" w:afterAutospacing="0"/>
        <w:ind w:firstLine="642" w:firstLineChars="200"/>
        <w:jc w:val="both"/>
        <w:outlineLvl w:val="0"/>
        <w:rPr>
          <w:rFonts w:hint="eastAsia" w:ascii="黑体" w:hAnsi="黑体" w:eastAsia="黑体" w:cs="黑体"/>
          <w:b/>
          <w:color w:val="333333"/>
          <w:sz w:val="32"/>
          <w:szCs w:val="32"/>
          <w:shd w:val="clear" w:color="auto" w:fill="FFFFFF"/>
        </w:rPr>
      </w:pPr>
      <w:r>
        <w:rPr>
          <w:rFonts w:hint="eastAsia" w:ascii="黑体" w:hAnsi="黑体" w:eastAsia="黑体" w:cs="黑体"/>
          <w:b/>
          <w:color w:val="333333"/>
          <w:sz w:val="32"/>
          <w:szCs w:val="32"/>
          <w:shd w:val="clear" w:color="auto" w:fill="FFFFFF"/>
        </w:rPr>
        <w:t>六、其他需要报告的事项</w:t>
      </w:r>
    </w:p>
    <w:p>
      <w:pPr>
        <w:ind w:firstLine="640" w:firstLineChars="200"/>
        <w:rPr>
          <w:rFonts w:hint="eastAsia"/>
          <w:lang w:eastAsia="zh-CN"/>
        </w:rPr>
      </w:pPr>
      <w:r>
        <w:rPr>
          <w:rFonts w:hint="eastAsia"/>
          <w:lang w:eastAsia="zh-CN"/>
        </w:rPr>
        <w:t>认真贯彻执行国务院办公厅《政府信息公开信息处理费管理办法》和《关于政府信息公开处理费管理有关事项的通知》。2022年全区各部门未收取信息处理费。</w:t>
      </w:r>
      <w:bookmarkStart w:id="0" w:name="_GoBack"/>
      <w:bookmarkEnd w:id="0"/>
    </w:p>
    <w:p>
      <w:pPr>
        <w:ind w:firstLine="640" w:firstLineChars="200"/>
        <w:rPr>
          <w:rFonts w:hint="eastAsia" w:eastAsia="仿宋_GB2312"/>
          <w:lang w:eastAsia="zh-CN"/>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MzMzNTE3Nzg2NWEzMjRkODVhNTg4ZmJmYWZjYzQifQ=="/>
  </w:docVars>
  <w:rsids>
    <w:rsidRoot w:val="3E5B229F"/>
    <w:rsid w:val="03560145"/>
    <w:rsid w:val="1E831614"/>
    <w:rsid w:val="23272C33"/>
    <w:rsid w:val="278B52A8"/>
    <w:rsid w:val="389403E1"/>
    <w:rsid w:val="3BB902A1"/>
    <w:rsid w:val="3E5B229F"/>
    <w:rsid w:val="4A1E1CDA"/>
    <w:rsid w:val="4A6B577A"/>
    <w:rsid w:val="503A3869"/>
    <w:rsid w:val="524E1F82"/>
    <w:rsid w:val="5EBF3AE9"/>
    <w:rsid w:val="72826491"/>
    <w:rsid w:val="7D9A1487"/>
    <w:rsid w:val="7FDE0475"/>
    <w:rsid w:val="F3DFAE62"/>
    <w:rsid w:val="FFF166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Lines="0" w:beforeAutospacing="1" w:after="100" w:afterLines="0" w:afterAutospacing="1"/>
      <w:jc w:val="left"/>
    </w:pPr>
    <w:rPr>
      <w:rFonts w:ascii="宋体" w:hAnsi="宋体" w:eastAsia="宋体" w:cs="宋体"/>
      <w:color w:val="000000"/>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2085</Words>
  <Characters>2159</Characters>
  <Lines>0</Lines>
  <Paragraphs>0</Paragraphs>
  <TotalTime>16</TotalTime>
  <ScaleCrop>false</ScaleCrop>
  <LinksUpToDate>false</LinksUpToDate>
  <CharactersWithSpaces>2327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2019-12-29T19:38:00Z</dcterms:created>
  <dc:creator>小公举</dc:creator>
  <cp:lastModifiedBy>work</cp:lastModifiedBy>
  <cp:lastPrinted>2019-12-29T19:40:00Z</cp:lastPrinted>
  <dcterms:modified xsi:type="dcterms:W3CDTF">2023-03-22T16:13:36Z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00599DB2F5DB45268AEAA455A4FC1EBD</vt:lpwstr>
  </property>
</Properties>
</file>