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2379A">
      <w:pPr>
        <w:adjustRightInd w:val="0"/>
        <w:rPr>
          <w:rFonts w:ascii="黑体" w:hAnsi="黑体" w:eastAsia="黑体"/>
          <w:spacing w:val="17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-219710</wp:posOffset>
                </wp:positionV>
                <wp:extent cx="1757045" cy="666750"/>
                <wp:effectExtent l="4445" t="508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69C91F">
                            <w:pPr>
                              <w:spacing w:line="380" w:lineRule="exact"/>
                              <w:rPr>
                                <w:rFonts w:hint="eastAsia" w:ascii="黑体" w:hAnsi="黑体" w:eastAsia="黑体"/>
                                <w:spacing w:val="28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8"/>
                                <w:sz w:val="28"/>
                              </w:rPr>
                              <w:t>莲池区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8"/>
                                <w:sz w:val="28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8"/>
                                <w:sz w:val="28"/>
                              </w:rPr>
                              <w:t>届人大</w:t>
                            </w:r>
                          </w:p>
                          <w:p w14:paraId="3BA94DAA">
                            <w:pPr>
                              <w:spacing w:line="380" w:lineRule="exact"/>
                              <w:rPr>
                                <w:rFonts w:hint="eastAsia"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</w:rPr>
                              <w:t>次会议文件(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1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5pt;margin-top:-17.3pt;height:52.5pt;width:138.35pt;z-index:251659264;mso-width-relative:page;mso-height-relative:page;" fillcolor="#FFFFFF" filled="t" stroked="t" coordsize="21600,21600" o:gfxdata="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E7th1gAAAAgBAAAPAAAAAAAAAAEAIAAAACIAAABkcnMvZG93bnJl&#10;di54bWxQSwECFAAUAAAACACHTuJATXVH0P8BAAArBAAADgAAAAAAAAABACAAAAAl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369C91F">
                      <w:pPr>
                        <w:spacing w:line="380" w:lineRule="exact"/>
                        <w:rPr>
                          <w:rFonts w:hint="eastAsia" w:ascii="黑体" w:hAnsi="黑体" w:eastAsia="黑体"/>
                          <w:spacing w:val="28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8"/>
                          <w:sz w:val="28"/>
                        </w:rPr>
                        <w:t>莲池区</w:t>
                      </w:r>
                      <w:r>
                        <w:rPr>
                          <w:rFonts w:hint="eastAsia" w:ascii="黑体" w:hAnsi="黑体" w:eastAsia="黑体"/>
                          <w:spacing w:val="28"/>
                          <w:sz w:val="28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/>
                          <w:spacing w:val="28"/>
                          <w:sz w:val="28"/>
                        </w:rPr>
                        <w:t>届人大</w:t>
                      </w:r>
                    </w:p>
                    <w:p w14:paraId="3BA94DAA">
                      <w:pPr>
                        <w:spacing w:line="380" w:lineRule="exact"/>
                        <w:rPr>
                          <w:rFonts w:hint="eastAsia" w:ascii="楷体_GB2312" w:eastAsia="楷体_GB2312"/>
                          <w:sz w:val="28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10"/>
                          <w:sz w:val="28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/>
                          <w:spacing w:val="10"/>
                          <w:sz w:val="28"/>
                        </w:rPr>
                        <w:t>次会议文件(</w:t>
                      </w:r>
                      <w:r>
                        <w:rPr>
                          <w:rFonts w:hint="eastAsia" w:ascii="黑体" w:hAnsi="黑体" w:eastAsia="黑体"/>
                          <w:spacing w:val="10"/>
                          <w:sz w:val="28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spacing w:val="1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pacing w:val="1628"/>
          <w:kern w:val="0"/>
          <w:sz w:val="28"/>
          <w:szCs w:val="28"/>
          <w:fitText w:val="3396" w:id="-1582521854"/>
        </w:rPr>
        <w:t xml:space="preserve"> </w:t>
      </w:r>
      <w:r>
        <w:rPr>
          <w:rFonts w:hint="eastAsia" w:ascii="黑体" w:hAnsi="黑体" w:eastAsia="黑体"/>
          <w:spacing w:val="156"/>
          <w:sz w:val="28"/>
          <w:szCs w:val="28"/>
        </w:rPr>
        <w:t xml:space="preserve">          </w:t>
      </w:r>
    </w:p>
    <w:p w14:paraId="68BF23CF">
      <w:pPr>
        <w:spacing w:line="260" w:lineRule="atLeast"/>
        <w:rPr>
          <w:sz w:val="30"/>
          <w:szCs w:val="30"/>
        </w:rPr>
      </w:pPr>
    </w:p>
    <w:p w14:paraId="2BDD80B1">
      <w:pPr>
        <w:rPr>
          <w:sz w:val="30"/>
          <w:szCs w:val="30"/>
        </w:rPr>
      </w:pPr>
    </w:p>
    <w:p w14:paraId="101C315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 莲 池 区 政 府 预 算</w:t>
      </w:r>
    </w:p>
    <w:p w14:paraId="72511E3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（草 案）</w:t>
      </w:r>
    </w:p>
    <w:p w14:paraId="68F23005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 w14:paraId="0C74BF55">
      <w:pPr>
        <w:spacing w:line="560" w:lineRule="exact"/>
      </w:pPr>
    </w:p>
    <w:p w14:paraId="2ACE4532">
      <w:pPr>
        <w:spacing w:line="560" w:lineRule="exact"/>
      </w:pPr>
    </w:p>
    <w:p w14:paraId="41926790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--202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年莲池区本级一般公共预算（草案）</w:t>
      </w:r>
    </w:p>
    <w:p w14:paraId="780C4C8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--202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年莲池区本级政府性基金预算（草案）</w:t>
      </w:r>
    </w:p>
    <w:p w14:paraId="1441703F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--202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年莲池区本级社会保险基金预算（草案）</w:t>
      </w:r>
    </w:p>
    <w:p w14:paraId="1746AA0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--202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年莲池区本级国有资本经营预算（草案）</w:t>
      </w:r>
    </w:p>
    <w:p w14:paraId="2001A132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--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2024年</w:t>
      </w:r>
      <w:r>
        <w:rPr>
          <w:rFonts w:hint="eastAsia" w:ascii="楷体_GB2312" w:hAnsi="楷体_GB2312" w:eastAsia="楷体_GB2312" w:cs="楷体_GB2312"/>
          <w:sz w:val="32"/>
          <w:szCs w:val="32"/>
        </w:rPr>
        <w:t>河北保定经济开发区预算（草案）</w:t>
      </w:r>
    </w:p>
    <w:p w14:paraId="10804930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</w:t>
      </w:r>
    </w:p>
    <w:p w14:paraId="4C236FE5">
      <w:pPr>
        <w:rPr>
          <w:rFonts w:ascii="楷体" w:hAnsi="楷体" w:eastAsia="楷体"/>
          <w:sz w:val="32"/>
          <w:szCs w:val="32"/>
        </w:rPr>
      </w:pPr>
    </w:p>
    <w:p w14:paraId="4166BFA8">
      <w:pPr>
        <w:rPr>
          <w:rFonts w:ascii="楷体" w:hAnsi="楷体" w:eastAsia="楷体"/>
          <w:sz w:val="32"/>
          <w:szCs w:val="32"/>
        </w:rPr>
      </w:pPr>
    </w:p>
    <w:p w14:paraId="4F65E904">
      <w:pPr>
        <w:rPr>
          <w:rFonts w:ascii="楷体" w:hAnsi="楷体" w:eastAsia="楷体"/>
          <w:sz w:val="32"/>
          <w:szCs w:val="32"/>
        </w:rPr>
      </w:pPr>
    </w:p>
    <w:p w14:paraId="3236E4FE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二Ｏ二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年一月</w:t>
      </w:r>
    </w:p>
    <w:p w14:paraId="60D52122">
      <w:pPr>
        <w:jc w:val="center"/>
        <w:rPr>
          <w:rFonts w:hint="eastAsia" w:ascii="楷体_GB2312" w:hAnsi="楷体_GB2312" w:eastAsia="楷体_GB2312" w:cs="楷体_GB2312"/>
        </w:rPr>
        <w:sectPr>
          <w:headerReference r:id="rId3" w:type="default"/>
          <w:footerReference r:id="rId4" w:type="default"/>
          <w:pgSz w:w="11906" w:h="16838"/>
          <w:pgMar w:top="2098" w:right="1588" w:bottom="2098" w:left="1587" w:header="851" w:footer="1304" w:gutter="0"/>
          <w:pgNumType w:fmt="decimal"/>
          <w:cols w:space="720" w:num="1"/>
          <w:docGrid w:type="lines" w:linePitch="312" w:charSpace="0"/>
        </w:sectPr>
      </w:pPr>
    </w:p>
    <w:p w14:paraId="397EA001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目</w:t>
      </w:r>
      <w:r>
        <w:rPr>
          <w:rFonts w:ascii="黑体" w:hAnsi="黑体" w:eastAsia="黑体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 xml:space="preserve">  录</w:t>
      </w:r>
    </w:p>
    <w:p w14:paraId="7DD7D8FE">
      <w:pPr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 w14:paraId="190E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形势分析及预算安排总体思路和原则</w:t>
      </w:r>
    </w:p>
    <w:p w14:paraId="561C3693">
      <w:pPr>
        <w:keepNext w:val="0"/>
        <w:keepLines w:val="0"/>
        <w:pageBreakBefore w:val="0"/>
        <w:widowControl w:val="0"/>
        <w:tabs>
          <w:tab w:val="left" w:leader="do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、全区财政形势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分</w:t>
      </w:r>
      <w:r>
        <w:rPr>
          <w:rFonts w:hint="eastAsia" w:ascii="楷体" w:hAnsi="楷体" w:eastAsia="楷体"/>
          <w:sz w:val="32"/>
          <w:szCs w:val="32"/>
        </w:rPr>
        <w:t>析</w:t>
      </w:r>
      <w:r>
        <w:rPr>
          <w:rFonts w:ascii="楷体" w:hAnsi="楷体" w:eastAsia="楷体"/>
          <w:sz w:val="32"/>
          <w:szCs w:val="32"/>
        </w:rPr>
        <w:t>....................</w:t>
      </w:r>
      <w:r>
        <w:rPr>
          <w:rFonts w:hint="eastAsia" w:ascii="楷体" w:hAnsi="楷体" w:eastAsia="楷体"/>
          <w:sz w:val="32"/>
          <w:szCs w:val="32"/>
        </w:rPr>
        <w:t>......</w:t>
      </w:r>
      <w:r>
        <w:rPr>
          <w:rFonts w:ascii="楷体" w:hAnsi="楷体" w:eastAsia="楷体"/>
          <w:sz w:val="32"/>
          <w:szCs w:val="32"/>
        </w:rPr>
        <w:t>.(</w:t>
      </w:r>
      <w:r>
        <w:rPr>
          <w:rFonts w:hint="eastAsia" w:ascii="楷体" w:hAnsi="楷体" w:eastAsia="楷体"/>
          <w:sz w:val="32"/>
          <w:szCs w:val="32"/>
        </w:rPr>
        <w:t>4</w:t>
      </w:r>
      <w:r>
        <w:rPr>
          <w:rFonts w:ascii="楷体" w:hAnsi="楷体" w:eastAsia="楷体"/>
          <w:sz w:val="32"/>
          <w:szCs w:val="32"/>
        </w:rPr>
        <w:t>)</w:t>
      </w:r>
    </w:p>
    <w:p w14:paraId="5521DE83">
      <w:pPr>
        <w:keepNext w:val="0"/>
        <w:keepLines w:val="0"/>
        <w:pageBreakBefore w:val="0"/>
        <w:widowControl w:val="0"/>
        <w:tabs>
          <w:tab w:val="left" w:leader="do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</w:t>
      </w:r>
      <w:r>
        <w:rPr>
          <w:rFonts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</w:rPr>
        <w:t>、全区预算编制的指导思想和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原</w:t>
      </w:r>
      <w:r>
        <w:rPr>
          <w:rFonts w:hint="eastAsia" w:ascii="楷体" w:hAnsi="楷体" w:eastAsia="楷体"/>
          <w:sz w:val="32"/>
          <w:szCs w:val="32"/>
        </w:rPr>
        <w:t>则</w:t>
      </w:r>
      <w:r>
        <w:rPr>
          <w:rFonts w:ascii="楷体" w:hAnsi="楷体" w:eastAsia="楷体"/>
          <w:sz w:val="32"/>
          <w:szCs w:val="32"/>
        </w:rPr>
        <w:t>........</w:t>
      </w:r>
      <w:r>
        <w:rPr>
          <w:rFonts w:hint="eastAsia" w:ascii="楷体" w:hAnsi="楷体" w:eastAsia="楷体"/>
          <w:sz w:val="32"/>
          <w:szCs w:val="32"/>
        </w:rPr>
        <w:t>......</w:t>
      </w:r>
      <w:r>
        <w:rPr>
          <w:rFonts w:ascii="楷体" w:hAnsi="楷体" w:eastAsia="楷体"/>
          <w:sz w:val="32"/>
          <w:szCs w:val="32"/>
        </w:rPr>
        <w:t>.(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ascii="楷体" w:hAnsi="楷体" w:eastAsia="楷体"/>
          <w:sz w:val="32"/>
          <w:szCs w:val="32"/>
        </w:rPr>
        <w:t>)</w:t>
      </w:r>
    </w:p>
    <w:p w14:paraId="711D5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 w14:paraId="1804B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sz w:val="32"/>
          <w:szCs w:val="32"/>
          <w:lang w:eastAsia="zh-CN"/>
        </w:rPr>
        <w:t>2024年</w:t>
      </w:r>
      <w:r>
        <w:rPr>
          <w:rFonts w:hint="eastAsia" w:ascii="黑体" w:hAnsi="黑体" w:eastAsia="黑体"/>
          <w:sz w:val="32"/>
          <w:szCs w:val="32"/>
        </w:rPr>
        <w:t>全区财政预算安排情况</w:t>
      </w:r>
    </w:p>
    <w:p w14:paraId="0D2DA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§1、202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年全区一般公共预算收支安排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说</w:t>
      </w:r>
      <w:r>
        <w:rPr>
          <w:rFonts w:hint="eastAsia" w:ascii="楷体" w:hAnsi="楷体" w:eastAsia="楷体"/>
          <w:sz w:val="32"/>
          <w:szCs w:val="32"/>
        </w:rPr>
        <w:t>明........(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51FC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§2、202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年全区一般公共预算收入（草案）..........(1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7B912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§3、202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年全区一般公共预算支出（草案）.........(1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730D6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§4、202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年全区一般公共预算收支平衡（草案）.....(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4E3F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§5、202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年全区政府性基金收支预算（草案）.......(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3468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§6、202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年全区社会保险基金收支预算（草案）.....(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69DEE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§7、202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年全区国有资本经营预算...............(2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0E81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§8、202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年河北保定经济开发区预算（草案） ......(2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)</w:t>
      </w:r>
    </w:p>
    <w:p w14:paraId="724B5645">
      <w:pPr>
        <w:spacing w:line="360" w:lineRule="auto"/>
        <w:ind w:firstLine="320" w:firstLineChars="100"/>
        <w:jc w:val="left"/>
        <w:rPr>
          <w:rFonts w:ascii="黑体" w:hAnsi="黑体" w:eastAsia="黑体"/>
          <w:sz w:val="32"/>
          <w:szCs w:val="32"/>
        </w:rPr>
      </w:pPr>
    </w:p>
    <w:p w14:paraId="2EC8A478">
      <w:pPr>
        <w:jc w:val="center"/>
        <w:rPr>
          <w:rFonts w:ascii="黑体" w:hAnsi="黑体" w:eastAsia="黑体"/>
          <w:sz w:val="32"/>
          <w:szCs w:val="32"/>
        </w:rPr>
      </w:pPr>
    </w:p>
    <w:p w14:paraId="4057DA55">
      <w:pPr>
        <w:jc w:val="center"/>
        <w:rPr>
          <w:rFonts w:ascii="黑体" w:hAnsi="黑体" w:eastAsia="黑体"/>
          <w:sz w:val="32"/>
          <w:szCs w:val="32"/>
        </w:rPr>
      </w:pPr>
    </w:p>
    <w:p w14:paraId="69C883A5">
      <w:pPr>
        <w:jc w:val="center"/>
        <w:rPr>
          <w:rFonts w:ascii="黑体" w:hAnsi="黑体" w:eastAsia="黑体"/>
          <w:sz w:val="32"/>
          <w:szCs w:val="32"/>
        </w:rPr>
      </w:pPr>
    </w:p>
    <w:p w14:paraId="3B16C1C6">
      <w:pPr>
        <w:jc w:val="center"/>
        <w:rPr>
          <w:rFonts w:ascii="黑体" w:hAnsi="黑体" w:eastAsia="黑体"/>
          <w:sz w:val="32"/>
          <w:szCs w:val="32"/>
        </w:rPr>
      </w:pPr>
    </w:p>
    <w:p w14:paraId="1552282F">
      <w:pPr>
        <w:jc w:val="center"/>
        <w:rPr>
          <w:rFonts w:ascii="黑体" w:hAnsi="黑体" w:eastAsia="黑体"/>
          <w:sz w:val="36"/>
          <w:szCs w:val="36"/>
        </w:rPr>
      </w:pPr>
    </w:p>
    <w:p w14:paraId="2CE46577">
      <w:pPr>
        <w:jc w:val="center"/>
        <w:rPr>
          <w:rFonts w:ascii="黑体" w:hAnsi="黑体" w:eastAsia="黑体"/>
          <w:sz w:val="36"/>
          <w:szCs w:val="36"/>
        </w:rPr>
      </w:pPr>
    </w:p>
    <w:p w14:paraId="683D93B9">
      <w:pPr>
        <w:jc w:val="center"/>
        <w:rPr>
          <w:rFonts w:ascii="黑体" w:hAnsi="黑体" w:eastAsia="黑体"/>
          <w:sz w:val="36"/>
          <w:szCs w:val="36"/>
        </w:rPr>
      </w:pPr>
    </w:p>
    <w:p w14:paraId="3B9DC899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084405DE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5F4ECD68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18D5C540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0453480C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7260FD0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第一部分</w:t>
      </w:r>
    </w:p>
    <w:p w14:paraId="71F5110A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</w:rPr>
        <w:t>形势分析及预算安排总体思路和原则</w:t>
      </w:r>
    </w:p>
    <w:p w14:paraId="315211BD">
      <w:pPr>
        <w:jc w:val="center"/>
        <w:rPr>
          <w:rFonts w:ascii="黑体" w:hAnsi="黑体" w:eastAsia="黑体"/>
          <w:sz w:val="32"/>
          <w:szCs w:val="32"/>
        </w:rPr>
      </w:pPr>
    </w:p>
    <w:p w14:paraId="7E16E8BF">
      <w:pPr>
        <w:jc w:val="center"/>
        <w:rPr>
          <w:rFonts w:ascii="黑体" w:hAnsi="黑体" w:eastAsia="黑体"/>
          <w:sz w:val="32"/>
          <w:szCs w:val="32"/>
        </w:rPr>
      </w:pPr>
    </w:p>
    <w:p w14:paraId="2B122A02">
      <w:pPr>
        <w:jc w:val="center"/>
        <w:rPr>
          <w:rFonts w:ascii="黑体" w:hAnsi="黑体" w:eastAsia="黑体"/>
          <w:sz w:val="32"/>
          <w:szCs w:val="32"/>
        </w:rPr>
      </w:pPr>
    </w:p>
    <w:p w14:paraId="4442D1EF">
      <w:pPr>
        <w:jc w:val="center"/>
        <w:rPr>
          <w:rFonts w:ascii="黑体" w:hAnsi="黑体" w:eastAsia="黑体"/>
          <w:sz w:val="32"/>
          <w:szCs w:val="32"/>
        </w:rPr>
      </w:pPr>
    </w:p>
    <w:p w14:paraId="7F63255F">
      <w:pPr>
        <w:jc w:val="center"/>
        <w:rPr>
          <w:rFonts w:ascii="黑体" w:hAnsi="黑体" w:eastAsia="黑体"/>
          <w:sz w:val="32"/>
          <w:szCs w:val="32"/>
        </w:rPr>
      </w:pPr>
    </w:p>
    <w:p w14:paraId="4CFA660F">
      <w:pPr>
        <w:jc w:val="center"/>
        <w:rPr>
          <w:rFonts w:ascii="黑体" w:hAnsi="黑体" w:eastAsia="黑体"/>
          <w:sz w:val="32"/>
          <w:szCs w:val="32"/>
        </w:rPr>
      </w:pPr>
    </w:p>
    <w:p w14:paraId="0C00DE15">
      <w:pPr>
        <w:jc w:val="center"/>
        <w:rPr>
          <w:rFonts w:ascii="黑体" w:hAnsi="黑体" w:eastAsia="黑体"/>
          <w:sz w:val="32"/>
          <w:szCs w:val="32"/>
        </w:rPr>
      </w:pPr>
    </w:p>
    <w:p w14:paraId="6CABD8FE">
      <w:pPr>
        <w:jc w:val="center"/>
        <w:rPr>
          <w:rFonts w:ascii="黑体" w:hAnsi="黑体" w:eastAsia="黑体"/>
          <w:sz w:val="32"/>
          <w:szCs w:val="32"/>
        </w:rPr>
      </w:pPr>
    </w:p>
    <w:p w14:paraId="694AA96D">
      <w:pPr>
        <w:jc w:val="center"/>
        <w:rPr>
          <w:rFonts w:ascii="黑体" w:hAnsi="黑体" w:eastAsia="黑体"/>
          <w:sz w:val="32"/>
          <w:szCs w:val="32"/>
        </w:rPr>
      </w:pPr>
    </w:p>
    <w:p w14:paraId="6DB3B5CE">
      <w:pPr>
        <w:jc w:val="center"/>
        <w:rPr>
          <w:rFonts w:ascii="黑体" w:hAnsi="黑体" w:eastAsia="黑体"/>
          <w:sz w:val="32"/>
          <w:szCs w:val="32"/>
        </w:rPr>
      </w:pPr>
    </w:p>
    <w:p w14:paraId="48973031">
      <w:pPr>
        <w:jc w:val="center"/>
        <w:rPr>
          <w:rFonts w:ascii="黑体" w:hAnsi="黑体" w:eastAsia="黑体"/>
          <w:sz w:val="32"/>
          <w:szCs w:val="32"/>
        </w:rPr>
      </w:pPr>
    </w:p>
    <w:p w14:paraId="131060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§1  形势分析</w:t>
      </w:r>
    </w:p>
    <w:p w14:paraId="2F3237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233B54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年收入形势分析</w:t>
      </w:r>
    </w:p>
    <w:p w14:paraId="791CA1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5B346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经济回升向好、长期向好的基本趋势没有改变。从今年经济发展来看，我国经济运行呈现“一高一低两平”的特点，即增速较高、就业平稳、物价较低、国际收支基本平衡，主要预期目标有望圆满实现。虽然经济大循环目前仍存在有效需求不足、社会预期偏弱等诸多堵点，但加力实施货币政策和财政政策还有很大空间，今年经济面临的机遇大于挑战，有利条件强于不利因素。</w:t>
      </w:r>
    </w:p>
    <w:p w14:paraId="2CFE38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习近平总书记对河北特殊关爱的政治机遇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。习近平总书记到河北考察，作出了一系列重要指示，积极谋划支持河北、支持保定的政策措施，我们必须紧紧抓住难得的政治机遇，继续对接上级部门，努力争取更多支持。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京津冀协同发展纵深推进的历史机遇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。今年是京津冀协同发展十周年，将会推出更多协同政策和有力举措，给明年经济注入了更多的发展动力、带来了更多的发展空间。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val="en-US" w:eastAsia="zh-CN" w:bidi="ar-SA"/>
        </w:rPr>
        <w:t>明年中央财政政策机遇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。全国财政工作会议指出，2024年积极的财政政策要重点支持八个方面，针对积极的财政政策、明确的支持领域，我区认真研究、提前准备、全力争取，必将给全区经济发展带来生机和活力。</w:t>
      </w:r>
    </w:p>
    <w:p w14:paraId="1D0F8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 w:val="0"/>
          <w:bCs w:val="0"/>
          <w:color w:val="333333"/>
          <w:sz w:val="32"/>
          <w:szCs w:val="32"/>
        </w:rPr>
        <w:t>三、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受国际国内复杂形势影响，财政收入恢复高速性增长难度加大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收支平衡难度越来越大。刚性支出不断增加，可用财力有限，财政收支矛盾日益突出。预算单位“过紧日子”的思想还需进一步树立,绩效意识和主体责任有待进一步加强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0475BF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F3F36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2024年</w:t>
      </w:r>
      <w:r>
        <w:rPr>
          <w:rFonts w:hint="eastAsia" w:ascii="黑体" w:hAnsi="黑体" w:eastAsia="黑体" w:cs="黑体"/>
          <w:sz w:val="32"/>
          <w:szCs w:val="32"/>
        </w:rPr>
        <w:t>支出形势分析</w:t>
      </w:r>
    </w:p>
    <w:p w14:paraId="60D1E1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楷体" w:hAnsi="楷体" w:eastAsia="楷体"/>
          <w:sz w:val="32"/>
          <w:szCs w:val="32"/>
        </w:rPr>
      </w:pPr>
    </w:p>
    <w:p w14:paraId="5C17E2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继续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坚持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“过紧日子”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思想，大力压减一般性支出，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兜住、兜准、兜牢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“三保”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底线，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增进民生福祉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。按照“先收后支、以收定支”原则，进一步严格土地出让金支出管理，区分轻重缓急，优先顺序安排教育、社保、医疗、农业等关系群众切身利益的支出，集中有限财力保障全区重大战略和中心任务落地见效。</w:t>
      </w:r>
    </w:p>
    <w:p w14:paraId="69EF5617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40" w:lineRule="exact"/>
        <w:ind w:firstLine="643" w:firstLineChars="200"/>
        <w:jc w:val="both"/>
        <w:textAlignment w:val="auto"/>
        <w:rPr>
          <w:rFonts w:ascii="仿宋_GB2312" w:hAnsi="楷体" w:eastAsia="仿宋_GB2312" w:cs="楷体"/>
          <w:bCs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坚持以科技创新推动产业创新，大力实施创新驱动战略，支持数字企业、科技创新扶持，建立创新生态，迸发创新活力；发挥教育资源丰富优势，实现教育大区向教育强区转变；完善医疗保障体系，提升医疗服务能力，满足居民健康需求，为群众提供更优质、便捷、高效的医疗服务。</w:t>
      </w:r>
      <w:r>
        <w:rPr>
          <w:rFonts w:hint="eastAsia" w:ascii="仿宋_GB2312" w:hAnsi="楷体" w:eastAsia="仿宋_GB2312" w:cs="楷体"/>
          <w:bCs/>
          <w:color w:val="333333"/>
          <w:sz w:val="32"/>
          <w:szCs w:val="32"/>
          <w:shd w:val="clear" w:color="auto" w:fill="FFFFFF"/>
          <w:lang w:val="en-US"/>
        </w:rPr>
        <w:t>坚持在发展中保障和改善民生，重点抓好就业创业培训，参保人群应保尽保，社会救助人群兜住、兜好，努力让群众过上更加幸福美好的生活；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改造背街小巷，提升出行能力；</w:t>
      </w:r>
      <w:r>
        <w:rPr>
          <w:rFonts w:hint="eastAsia" w:ascii="仿宋_GB2312" w:eastAsia="仿宋_GB2312" w:hAnsiTheme="minorEastAsia"/>
          <w:bCs/>
          <w:color w:val="auto"/>
          <w:sz w:val="32"/>
          <w:szCs w:val="32"/>
          <w:lang w:eastAsia="zh-CN"/>
        </w:rPr>
        <w:t>全面落实国家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环保政策，持续助力生态环境，打造绿色生活</w:t>
      </w:r>
      <w:r>
        <w:rPr>
          <w:rFonts w:hint="eastAsia" w:ascii="仿宋_GB2312" w:hAnsi="楷体" w:eastAsia="仿宋_GB2312" w:cs="楷体"/>
          <w:bCs/>
          <w:color w:val="333333"/>
          <w:sz w:val="32"/>
          <w:szCs w:val="32"/>
          <w:shd w:val="clear" w:color="auto" w:fill="FFFFFF"/>
          <w:lang w:val="en-US"/>
        </w:rPr>
        <w:t>场景，扮靓城市新颜值；提升城市管理专业化、精细化、智慧化水平。</w:t>
      </w:r>
    </w:p>
    <w:p w14:paraId="63ADBD2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AE71E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§2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预算安排的指导思想和原则</w:t>
      </w:r>
    </w:p>
    <w:p w14:paraId="4CFBB3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sz w:val="32"/>
          <w:szCs w:val="32"/>
        </w:rPr>
      </w:pPr>
    </w:p>
    <w:p w14:paraId="11462F8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一、预算编制的指导思想</w:t>
      </w:r>
    </w:p>
    <w:p w14:paraId="487BA9E1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以习近平新时代中国特色社会主义思想为指导，</w:t>
      </w:r>
      <w:r>
        <w:rPr>
          <w:rFonts w:hint="eastAsia" w:ascii="黑体" w:hAnsi="黑体" w:eastAsia="黑体"/>
          <w:sz w:val="32"/>
          <w:szCs w:val="32"/>
          <w:lang w:eastAsia="zh-CN"/>
        </w:rPr>
        <w:t>全面贯彻落实党的二十大精神，落实</w:t>
      </w:r>
      <w:r>
        <w:rPr>
          <w:rFonts w:hint="eastAsia" w:ascii="黑体" w:hAnsi="黑体" w:eastAsia="黑体"/>
          <w:sz w:val="32"/>
          <w:szCs w:val="32"/>
        </w:rPr>
        <w:t>中央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省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市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区</w:t>
      </w:r>
      <w:r>
        <w:rPr>
          <w:rFonts w:hint="eastAsia" w:ascii="黑体" w:hAnsi="黑体" w:eastAsia="黑体"/>
          <w:sz w:val="32"/>
          <w:szCs w:val="32"/>
          <w:lang w:eastAsia="zh-CN"/>
        </w:rPr>
        <w:t>经济工作</w:t>
      </w:r>
      <w:r>
        <w:rPr>
          <w:rFonts w:hint="eastAsia" w:ascii="黑体" w:hAnsi="黑体" w:eastAsia="黑体"/>
          <w:sz w:val="32"/>
          <w:szCs w:val="32"/>
        </w:rPr>
        <w:t>会议</w:t>
      </w:r>
      <w:r>
        <w:rPr>
          <w:rFonts w:hint="eastAsia" w:ascii="黑体" w:hAnsi="黑体" w:eastAsia="黑体"/>
          <w:sz w:val="32"/>
          <w:szCs w:val="32"/>
          <w:lang w:eastAsia="zh-CN"/>
        </w:rPr>
        <w:t>部署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  <w:lang w:eastAsia="zh-CN"/>
        </w:rPr>
        <w:t>坚持稳中求进工作总基调，以进促稳，稳预期、稳增长、稳就业，坚持转方式、调结构、提质量、增效益，积极进取，稳中向好，进一步坚持“过紧日子</w:t>
      </w:r>
      <w:r>
        <w:rPr>
          <w:rFonts w:ascii="黑体" w:hAnsi="黑体" w:eastAsia="PMingLiU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  <w:lang w:eastAsia="zh-CN"/>
        </w:rPr>
        <w:t>,加强财政资源统筹，</w:t>
      </w:r>
      <w:r>
        <w:rPr>
          <w:rFonts w:hint="eastAsia" w:ascii="黑体" w:hAnsi="黑体" w:eastAsia="黑体"/>
          <w:sz w:val="32"/>
          <w:szCs w:val="32"/>
        </w:rPr>
        <w:t>强化资金</w:t>
      </w:r>
      <w:r>
        <w:rPr>
          <w:rFonts w:hint="eastAsia" w:ascii="黑体" w:hAnsi="黑体" w:eastAsia="黑体"/>
          <w:sz w:val="32"/>
          <w:szCs w:val="32"/>
          <w:lang w:eastAsia="zh-CN"/>
        </w:rPr>
        <w:t>绩效</w:t>
      </w:r>
      <w:r>
        <w:rPr>
          <w:rFonts w:hint="eastAsia" w:ascii="黑体" w:hAnsi="黑体" w:eastAsia="黑体"/>
          <w:sz w:val="32"/>
          <w:szCs w:val="32"/>
        </w:rPr>
        <w:t>管理，</w:t>
      </w:r>
      <w:r>
        <w:rPr>
          <w:rFonts w:hint="eastAsia" w:ascii="黑体" w:hAnsi="黑体" w:eastAsia="黑体"/>
          <w:sz w:val="32"/>
          <w:szCs w:val="32"/>
          <w:lang w:eastAsia="zh-CN"/>
        </w:rPr>
        <w:t>防范化解财政风险，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奋力谱写中国式现代化的莲池篇章。</w:t>
      </w:r>
    </w:p>
    <w:p w14:paraId="42B60AE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二、</w:t>
      </w:r>
      <w:r>
        <w:rPr>
          <w:rFonts w:hint="eastAsia" w:ascii="楷体_GB2312" w:hAnsi="黑体" w:eastAsia="楷体_GB2312"/>
          <w:b/>
          <w:sz w:val="32"/>
          <w:szCs w:val="32"/>
        </w:rPr>
        <w:t>预算编制的基本原则</w:t>
      </w:r>
    </w:p>
    <w:p w14:paraId="189EAEC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楷体_GB2312" w:eastAsia="仿宋_GB2312" w:cs="楷体_GB2312"/>
          <w:b/>
          <w:sz w:val="32"/>
          <w:szCs w:val="32"/>
        </w:rPr>
        <w:t>加强政府预算统筹</w:t>
      </w:r>
      <w:r>
        <w:rPr>
          <w:rFonts w:hint="eastAsia" w:ascii="仿宋_GB2312" w:hAnsi="楷体_GB2312" w:eastAsia="仿宋_GB2312" w:cs="楷体_GB2312"/>
          <w:sz w:val="32"/>
          <w:szCs w:val="32"/>
        </w:rPr>
        <w:t>。强化一般公共预算各项资金的统筹，按照轻重缓急和资金使用管理规定统筹安排相关领域重点支出。强化政府性基金与一般公共预算的统筹，政府性基金预算安排支出的项目，一般公共预算不再安排或减少安排；与一般公共预算投向类似的应整合使用，并制定统一的资金管理办法，实行统一的资金分配方式。强化国有资本经营预算与一般公共预算的统筹，严格落实国有资本经营收益上缴和调入一般公共预算的比例。</w:t>
      </w:r>
    </w:p>
    <w:p w14:paraId="68C66AE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2.加强部门预算统筹。</w:t>
      </w:r>
      <w:r>
        <w:rPr>
          <w:rFonts w:hint="eastAsia" w:ascii="仿宋_GB2312" w:hAnsi="楷体_GB2312" w:eastAsia="仿宋_GB2312" w:cs="楷体_GB2312"/>
          <w:sz w:val="32"/>
          <w:szCs w:val="32"/>
        </w:rPr>
        <w:t>各部门和单位要依法依规将取得的各类预算拨款收入、预算拨款结转和其他收入全部纳入部门或单位预算，未纳入预算的收入不得安排支出。各部门和单位应统筹本级财政拨款、上级转移支付资金、政府债券资金、上年结转资金等各类资金，结合本部门和单位非财政拨款收入情况，合理申报支出预算，提高资金使用效益。</w:t>
      </w:r>
    </w:p>
    <w:p w14:paraId="306177D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</w:rPr>
        <w:t>3.加强存量资金统筹。</w:t>
      </w:r>
      <w:r>
        <w:rPr>
          <w:rFonts w:hint="eastAsia" w:ascii="仿宋_GB2312" w:hAnsi="楷体_GB2312" w:eastAsia="仿宋_GB2312" w:cs="楷体_GB2312"/>
          <w:sz w:val="32"/>
          <w:szCs w:val="32"/>
        </w:rPr>
        <w:t>不断加大盘活存量资金力度，切实压减结转结余规模。当年预算安排的区级财力指标，年底前不能形成实际支出的，由财政部门全部收回。上年安排未用完的上级转移支付指标，由财政部门全部收回统筹使用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</w:rPr>
        <w:t>统筹用于经济社会发展急需支持的领域。</w:t>
      </w:r>
    </w:p>
    <w:p w14:paraId="75329E26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宋体"/>
          <w:b/>
          <w:kern w:val="0"/>
          <w:sz w:val="32"/>
          <w:szCs w:val="24"/>
        </w:rPr>
      </w:pPr>
    </w:p>
    <w:p w14:paraId="7ABFCD47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宋体"/>
          <w:b/>
          <w:kern w:val="0"/>
          <w:sz w:val="32"/>
          <w:szCs w:val="24"/>
        </w:rPr>
      </w:pPr>
    </w:p>
    <w:p w14:paraId="53CDE482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宋体"/>
          <w:b/>
          <w:kern w:val="0"/>
          <w:sz w:val="32"/>
          <w:szCs w:val="24"/>
        </w:rPr>
      </w:pPr>
    </w:p>
    <w:p w14:paraId="431D0A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39BCCF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CFF5CF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EB30D6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7647F4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2DBDAC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C39CB4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EDB12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BD877A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59371D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B4DE23E">
      <w:pPr>
        <w:jc w:val="center"/>
        <w:rPr>
          <w:rFonts w:ascii="黑体" w:hAnsi="黑体" w:eastAsia="黑体"/>
          <w:sz w:val="36"/>
          <w:szCs w:val="36"/>
        </w:rPr>
      </w:pPr>
    </w:p>
    <w:p w14:paraId="033BEF37">
      <w:pPr>
        <w:jc w:val="center"/>
        <w:rPr>
          <w:rFonts w:ascii="黑体" w:hAnsi="黑体" w:eastAsia="黑体"/>
          <w:sz w:val="36"/>
          <w:szCs w:val="36"/>
        </w:rPr>
      </w:pPr>
    </w:p>
    <w:p w14:paraId="4920775D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63F4908E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2D206BD4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531A55EF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FFE9E1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CC4A1FF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</w:t>
      </w:r>
    </w:p>
    <w:p w14:paraId="22F29AB9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2024年</w:t>
      </w:r>
      <w:r>
        <w:rPr>
          <w:rFonts w:hint="eastAsia" w:ascii="黑体" w:hAnsi="黑体" w:eastAsia="黑体"/>
          <w:sz w:val="36"/>
          <w:szCs w:val="36"/>
        </w:rPr>
        <w:t>全区财政预算安排情况</w:t>
      </w:r>
    </w:p>
    <w:p w14:paraId="7992A88B">
      <w:pPr>
        <w:jc w:val="center"/>
        <w:rPr>
          <w:rFonts w:ascii="黑体" w:hAnsi="黑体" w:eastAsia="黑体"/>
          <w:sz w:val="36"/>
          <w:szCs w:val="36"/>
        </w:rPr>
      </w:pPr>
    </w:p>
    <w:p w14:paraId="294EDAB0">
      <w:pPr>
        <w:jc w:val="center"/>
        <w:rPr>
          <w:rFonts w:ascii="黑体" w:hAnsi="黑体" w:eastAsia="黑体"/>
          <w:sz w:val="36"/>
          <w:szCs w:val="36"/>
        </w:rPr>
      </w:pPr>
    </w:p>
    <w:p w14:paraId="598FE8A5">
      <w:pPr>
        <w:jc w:val="center"/>
        <w:rPr>
          <w:rFonts w:ascii="黑体" w:hAnsi="黑体" w:eastAsia="黑体"/>
          <w:sz w:val="36"/>
          <w:szCs w:val="36"/>
        </w:rPr>
      </w:pPr>
    </w:p>
    <w:p w14:paraId="14A41932">
      <w:pPr>
        <w:jc w:val="center"/>
        <w:rPr>
          <w:rFonts w:ascii="黑体" w:hAnsi="黑体" w:eastAsia="黑体"/>
          <w:sz w:val="36"/>
          <w:szCs w:val="36"/>
        </w:rPr>
      </w:pPr>
    </w:p>
    <w:p w14:paraId="0AA02A88">
      <w:pPr>
        <w:jc w:val="center"/>
        <w:rPr>
          <w:rFonts w:ascii="黑体" w:hAnsi="黑体" w:eastAsia="黑体"/>
          <w:sz w:val="36"/>
          <w:szCs w:val="36"/>
        </w:rPr>
      </w:pPr>
    </w:p>
    <w:p w14:paraId="296A944F">
      <w:pPr>
        <w:jc w:val="center"/>
        <w:rPr>
          <w:rFonts w:ascii="黑体" w:hAnsi="黑体" w:eastAsia="黑体"/>
          <w:sz w:val="36"/>
          <w:szCs w:val="36"/>
        </w:rPr>
      </w:pPr>
    </w:p>
    <w:p w14:paraId="672D0508">
      <w:pPr>
        <w:jc w:val="center"/>
        <w:rPr>
          <w:rFonts w:ascii="黑体" w:hAnsi="黑体" w:eastAsia="黑体"/>
          <w:sz w:val="36"/>
          <w:szCs w:val="36"/>
        </w:rPr>
      </w:pPr>
    </w:p>
    <w:p w14:paraId="4E786119">
      <w:pPr>
        <w:jc w:val="center"/>
        <w:rPr>
          <w:rFonts w:ascii="黑体" w:hAnsi="黑体" w:eastAsia="黑体"/>
          <w:sz w:val="36"/>
          <w:szCs w:val="36"/>
        </w:rPr>
      </w:pPr>
    </w:p>
    <w:p w14:paraId="003AA119">
      <w:pPr>
        <w:jc w:val="center"/>
        <w:rPr>
          <w:rFonts w:ascii="黑体" w:hAnsi="黑体" w:eastAsia="黑体"/>
          <w:sz w:val="36"/>
          <w:szCs w:val="36"/>
        </w:rPr>
      </w:pPr>
    </w:p>
    <w:p w14:paraId="43A699EA">
      <w:pPr>
        <w:jc w:val="center"/>
        <w:rPr>
          <w:rFonts w:ascii="黑体" w:hAnsi="黑体" w:eastAsia="黑体"/>
          <w:sz w:val="36"/>
          <w:szCs w:val="36"/>
        </w:rPr>
      </w:pPr>
    </w:p>
    <w:p w14:paraId="1C421E02">
      <w:pPr>
        <w:jc w:val="center"/>
        <w:rPr>
          <w:rFonts w:ascii="黑体" w:hAnsi="黑体" w:eastAsia="黑体"/>
          <w:sz w:val="36"/>
          <w:szCs w:val="36"/>
        </w:rPr>
      </w:pPr>
    </w:p>
    <w:p w14:paraId="372F9D8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§1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全区一般公共预算收支安排说明</w:t>
      </w:r>
    </w:p>
    <w:p w14:paraId="76A3EFE4">
      <w:pPr>
        <w:spacing w:line="560" w:lineRule="exact"/>
        <w:jc w:val="center"/>
        <w:rPr>
          <w:rFonts w:ascii="仿宋" w:hAnsi="仿宋" w:eastAsia="仿宋" w:cs="楷体"/>
          <w:b/>
          <w:color w:val="000000"/>
          <w:sz w:val="32"/>
          <w:szCs w:val="32"/>
        </w:rPr>
      </w:pPr>
    </w:p>
    <w:p w14:paraId="0ED4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一、</w:t>
      </w:r>
      <w:r>
        <w:rPr>
          <w:rFonts w:hint="eastAsia" w:ascii="楷体_GB2312" w:hAnsi="楷体" w:eastAsia="楷体_GB2312"/>
          <w:b/>
          <w:sz w:val="32"/>
          <w:szCs w:val="32"/>
          <w:lang w:eastAsia="zh-CN"/>
        </w:rPr>
        <w:t>2024年</w:t>
      </w:r>
      <w:r>
        <w:rPr>
          <w:rFonts w:hint="eastAsia" w:ascii="楷体_GB2312" w:hAnsi="楷体" w:eastAsia="楷体_GB2312"/>
          <w:b/>
          <w:sz w:val="32"/>
          <w:szCs w:val="32"/>
        </w:rPr>
        <w:t>全区一般公共预算收入的说明</w:t>
      </w:r>
    </w:p>
    <w:p w14:paraId="157D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按照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预算编制指导思想，结合我区实际，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一般公共预算收入按照下列口径安排：</w:t>
      </w:r>
    </w:p>
    <w:p w14:paraId="7AEE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一般公共预算收入安排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346599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万元，同比增长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 w14:paraId="3CFF3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二、</w:t>
      </w:r>
      <w:r>
        <w:rPr>
          <w:rFonts w:hint="eastAsia" w:ascii="楷体_GB2312" w:hAnsi="楷体" w:eastAsia="楷体_GB2312"/>
          <w:b/>
          <w:sz w:val="32"/>
          <w:szCs w:val="32"/>
          <w:lang w:eastAsia="zh-CN"/>
        </w:rPr>
        <w:t>2024年</w:t>
      </w:r>
      <w:r>
        <w:rPr>
          <w:rFonts w:hint="eastAsia" w:ascii="楷体_GB2312" w:hAnsi="楷体" w:eastAsia="楷体_GB2312"/>
          <w:b/>
          <w:sz w:val="32"/>
          <w:szCs w:val="32"/>
        </w:rPr>
        <w:t>全区一般公共预算支出的说明</w:t>
      </w:r>
    </w:p>
    <w:p w14:paraId="0534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我区按照“保工资、保运转、保基本民生”的支出顺序，进一步调整优化财政支出结构。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，全区一般公共预算支出安排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85132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63293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公共安全支出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1576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万元，教育支出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60084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万元，科学技术支出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2316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万元，文化旅游体育与传媒支出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389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万元，社会保障和就业支出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60615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万元，卫生健康支出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26490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万元，节能环保支出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2707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万元，城乡社区支出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21919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万元，农林水支出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6583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万元，资源勘探工业信息等支出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173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万元，金融支出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188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万元、自然资源海洋气象等支出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884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万元，住房保障支出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11569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万元，粮油物资储备支出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万元，灾害防治及应急管理支出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19245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万元，预备费</w:t>
      </w:r>
      <w:r>
        <w:rPr>
          <w:rFonts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00万元，债务付息支出</w:t>
      </w:r>
      <w:r>
        <w:rPr>
          <w:rFonts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 w14:paraId="72EB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sectPr>
          <w:footerReference r:id="rId5" w:type="default"/>
          <w:pgSz w:w="11906" w:h="16838"/>
          <w:pgMar w:top="2098" w:right="1588" w:bottom="2098" w:left="1588" w:header="851" w:footer="1134" w:gutter="0"/>
          <w:pgNumType w:fmt="decimal"/>
          <w:cols w:space="720" w:num="1"/>
          <w:docGrid w:type="lines" w:linePitch="312" w:charSpace="0"/>
        </w:sectPr>
      </w:pPr>
    </w:p>
    <w:p w14:paraId="67F0CB2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§2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全区一般公共预算收入（草案）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207"/>
      </w:tblGrid>
      <w:tr w14:paraId="3209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"/>
            <w:vAlign w:val="center"/>
          </w:tcPr>
          <w:p w14:paraId="443D3B8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一般公共预算收入</w:t>
            </w:r>
          </w:p>
        </w:tc>
      </w:tr>
      <w:tr w14:paraId="5172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78" w:type="pct"/>
            <w:tcBorders>
              <w:bottom w:val="single" w:color="000000" w:sz="4" w:space="0"/>
            </w:tcBorders>
            <w:vAlign w:val="center"/>
          </w:tcPr>
          <w:p w14:paraId="5187A0BB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21" w:type="pct"/>
            <w:tcBorders>
              <w:bottom w:val="single" w:color="000000" w:sz="4" w:space="0"/>
            </w:tcBorders>
            <w:vAlign w:val="center"/>
          </w:tcPr>
          <w:p w14:paraId="5BDB4E14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单位：万元</w:t>
            </w:r>
          </w:p>
        </w:tc>
      </w:tr>
      <w:tr w14:paraId="2C26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38BC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    目</w:t>
            </w:r>
          </w:p>
        </w:tc>
        <w:tc>
          <w:tcPr>
            <w:tcW w:w="2321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C4061F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预算数</w:t>
            </w:r>
          </w:p>
        </w:tc>
      </w:tr>
      <w:tr w14:paraId="54E8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1B9C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一般公共预算收入</w:t>
            </w:r>
          </w:p>
        </w:tc>
        <w:tc>
          <w:tcPr>
            <w:tcW w:w="2321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F33EE19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346599</w:t>
            </w:r>
          </w:p>
        </w:tc>
      </w:tr>
    </w:tbl>
    <w:p w14:paraId="2009F1E6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0FB5D5A1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434FEE48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36EF5EBB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7B3B106E">
      <w:pPr>
        <w:spacing w:line="58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38ACBB57">
      <w:pPr>
        <w:spacing w:line="580" w:lineRule="exact"/>
        <w:jc w:val="center"/>
        <w:rPr>
          <w:rFonts w:ascii="黑体" w:hAnsi="黑体" w:eastAsia="黑体" w:cs="楷体_GB2312"/>
          <w:b/>
          <w:bCs/>
          <w:sz w:val="32"/>
          <w:szCs w:val="32"/>
        </w:rPr>
      </w:pPr>
    </w:p>
    <w:p w14:paraId="2F06269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财政收入预算说明</w:t>
      </w:r>
    </w:p>
    <w:p w14:paraId="752133CC">
      <w:pPr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F7E5E2">
      <w:pPr>
        <w:spacing w:line="560" w:lineRule="exact"/>
        <w:ind w:firstLine="720" w:firstLineChars="22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年，全区一般公共预算收入完成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20888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一般公共预算收入安排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346599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%左右。</w:t>
      </w:r>
    </w:p>
    <w:p w14:paraId="100C8A17">
      <w:pPr>
        <w:spacing w:line="580" w:lineRule="exact"/>
        <w:ind w:firstLine="640" w:firstLineChars="200"/>
        <w:textAlignment w:val="center"/>
        <w:rPr>
          <w:rFonts w:ascii="仿宋_GB2312" w:hAnsi="仿宋" w:eastAsia="仿宋_GB2312"/>
          <w:kern w:val="0"/>
          <w:sz w:val="32"/>
          <w:szCs w:val="32"/>
        </w:rPr>
      </w:pPr>
    </w:p>
    <w:p w14:paraId="467E2044">
      <w:pPr>
        <w:spacing w:line="560" w:lineRule="exact"/>
        <w:ind w:firstLine="420" w:firstLineChars="200"/>
        <w:textAlignment w:val="center"/>
        <w:sectPr>
          <w:footerReference r:id="rId6" w:type="default"/>
          <w:pgSz w:w="11906" w:h="16838"/>
          <w:pgMar w:top="1985" w:right="1588" w:bottom="1814" w:left="1474" w:header="851" w:footer="1304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1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0"/>
        <w:gridCol w:w="1786"/>
      </w:tblGrid>
      <w:tr w14:paraId="620F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F9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§3  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2024年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全区一般公共预算支出（草案）</w:t>
            </w:r>
          </w:p>
        </w:tc>
      </w:tr>
      <w:tr w14:paraId="26E2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55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A53EC"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880D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5EFD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一般公共支出预算表</w:t>
            </w:r>
          </w:p>
        </w:tc>
      </w:tr>
    </w:tbl>
    <w:p w14:paraId="3BBF88DF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单位：万元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240"/>
        <w:gridCol w:w="1947"/>
      </w:tblGrid>
      <w:tr w14:paraId="6CFD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款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285132</w:t>
            </w:r>
          </w:p>
        </w:tc>
      </w:tr>
      <w:tr w14:paraId="76AF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6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63293</w:t>
            </w:r>
          </w:p>
        </w:tc>
      </w:tr>
      <w:tr w14:paraId="32E5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A27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</w:tr>
      <w:tr w14:paraId="53E1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5F4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</w:tr>
      <w:tr w14:paraId="61C0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03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50384</w:t>
            </w:r>
          </w:p>
        </w:tc>
      </w:tr>
      <w:tr w14:paraId="138F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C68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发展与改革事务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</w:tr>
      <w:tr w14:paraId="0292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147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 w14:paraId="70F4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E95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</w:tr>
      <w:tr w14:paraId="7D42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507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 w14:paraId="36EF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5A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</w:tr>
      <w:tr w14:paraId="0F7E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0FC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 w14:paraId="0822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20126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310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 w14:paraId="16BA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F6C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</w:tr>
      <w:tr w14:paraId="49FF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3F1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党委办公厅（室）及相关机构事务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</w:tr>
      <w:tr w14:paraId="1A53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DE4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 w14:paraId="0681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7BC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</w:tr>
      <w:tr w14:paraId="4A5B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092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 w14:paraId="042A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5FA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网信事务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24C6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535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</w:tr>
      <w:tr w14:paraId="60B8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90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外交管理事务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25F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</w:tr>
      <w:tr w14:paraId="1BAE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FC0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</w:tr>
      <w:tr w14:paraId="151A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20406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28C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</w:tr>
      <w:tr w14:paraId="34AC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60084</w:t>
            </w:r>
          </w:p>
        </w:tc>
      </w:tr>
      <w:tr w14:paraId="51A5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71D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 w14:paraId="4BB7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C1F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56253</w:t>
            </w:r>
          </w:p>
        </w:tc>
      </w:tr>
      <w:tr w14:paraId="6096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B30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</w:tr>
      <w:tr w14:paraId="5E63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ECB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AF4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864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2C37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</w:tr>
      <w:tr w14:paraId="5B93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DB7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</w:tr>
      <w:tr w14:paraId="73AA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3F1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782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E32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8D0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</w:tr>
      <w:tr w14:paraId="470B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F62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</w:tr>
      <w:tr w14:paraId="13D8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7BC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4025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F51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9C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60615</w:t>
            </w:r>
          </w:p>
        </w:tc>
      </w:tr>
      <w:tr w14:paraId="1D97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856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</w:tr>
      <w:tr w14:paraId="13CB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E7C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2EC8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40C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</w:t>
            </w:r>
          </w:p>
        </w:tc>
      </w:tr>
      <w:tr w14:paraId="0A12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111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5811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505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抚恤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</w:tr>
      <w:tr w14:paraId="6EB0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2B1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 w14:paraId="0E77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20810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2F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</w:tr>
      <w:tr w14:paraId="7D4E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B4C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</w:tr>
      <w:tr w14:paraId="31ED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3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</w:tr>
      <w:tr w14:paraId="0B33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20820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71D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532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964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20826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1F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财政对基本养老保险基金的补助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</w:t>
            </w:r>
          </w:p>
        </w:tc>
      </w:tr>
      <w:tr w14:paraId="62D1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20828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DE8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</w:tr>
      <w:tr w14:paraId="2C18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F73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96F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E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26490</w:t>
            </w:r>
          </w:p>
        </w:tc>
      </w:tr>
      <w:tr w14:paraId="30B4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327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</w:tr>
      <w:tr w14:paraId="3D59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A39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 w14:paraId="43B8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CE5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7861</w:t>
            </w:r>
          </w:p>
        </w:tc>
      </w:tr>
      <w:tr w14:paraId="4870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41A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</w:tr>
      <w:tr w14:paraId="6E79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476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</w:tr>
      <w:tr w14:paraId="7272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A7A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7452</w:t>
            </w:r>
          </w:p>
        </w:tc>
      </w:tr>
      <w:tr w14:paraId="464D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5DD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DDA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893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优恤对象医疗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84C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FFE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0556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9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</w:tr>
      <w:tr w14:paraId="0673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FD7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环境监测与监察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4F3A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D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污染防治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</w:tr>
      <w:tr w14:paraId="72A3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21919</w:t>
            </w:r>
          </w:p>
        </w:tc>
      </w:tr>
      <w:tr w14:paraId="0969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EAB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21919</w:t>
            </w:r>
          </w:p>
        </w:tc>
      </w:tr>
      <w:tr w14:paraId="3DE4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7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6583</w:t>
            </w:r>
          </w:p>
        </w:tc>
      </w:tr>
      <w:tr w14:paraId="7347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AD6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</w:tr>
      <w:tr w14:paraId="7999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CED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5CA0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CE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685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F62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巩固脱贫衔接乡村振兴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0BDE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0BC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</w:tr>
      <w:tr w14:paraId="53C2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其他农林水支出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8A8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576C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21505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3BB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工业和信息产业监管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60B7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1087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80B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76EA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C88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金融部门监管支出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671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</w:tr>
      <w:tr w14:paraId="7669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E3A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</w:tr>
      <w:tr w14:paraId="3923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11569</w:t>
            </w:r>
          </w:p>
        </w:tc>
      </w:tr>
      <w:tr w14:paraId="2302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</w:tr>
      <w:tr w14:paraId="2AC6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52F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 w14:paraId="7A41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96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74E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粮油物资事务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8C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19245</w:t>
            </w:r>
          </w:p>
        </w:tc>
      </w:tr>
      <w:tr w14:paraId="2631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22401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55B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</w:tr>
      <w:tr w14:paraId="083A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E8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消防救援事务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66E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584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自然灾害救灾及恢复重建支出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18782</w:t>
            </w:r>
          </w:p>
        </w:tc>
      </w:tr>
      <w:tr w14:paraId="48B3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C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 w14:paraId="353D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B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F6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5EBC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23203</w:t>
            </w:r>
          </w:p>
        </w:tc>
        <w:tc>
          <w:tcPr>
            <w:tcW w:w="2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地方政府一般债券付息支出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</w:tbl>
    <w:p w14:paraId="4238FEE2"/>
    <w:p w14:paraId="6E94F787"/>
    <w:p w14:paraId="1FE1A50E"/>
    <w:p w14:paraId="56374D22"/>
    <w:p w14:paraId="2224340C"/>
    <w:p w14:paraId="6E62C789"/>
    <w:p w14:paraId="07BB16ED"/>
    <w:p w14:paraId="5FDCFBE0"/>
    <w:p w14:paraId="7DFDDA5E"/>
    <w:p w14:paraId="65D2FAF1"/>
    <w:p w14:paraId="0B443D00"/>
    <w:p w14:paraId="09ACD1A0"/>
    <w:p w14:paraId="2449160C"/>
    <w:p w14:paraId="226770C8"/>
    <w:p w14:paraId="7948E36B"/>
    <w:p w14:paraId="675B2EC1"/>
    <w:p w14:paraId="1E6D4CFA"/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4390"/>
      </w:tblGrid>
      <w:tr w14:paraId="2E37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25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一般公共预算基本支出经济分类表</w:t>
            </w:r>
          </w:p>
        </w:tc>
      </w:tr>
      <w:tr w14:paraId="61E1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B82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538E6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47C6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9208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         目</w:t>
            </w:r>
          </w:p>
        </w:tc>
        <w:tc>
          <w:tcPr>
            <w:tcW w:w="24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87AB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预算安排</w:t>
            </w:r>
          </w:p>
        </w:tc>
      </w:tr>
      <w:tr w14:paraId="43D18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C296E7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一、工资福利支出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A23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156104</w:t>
            </w:r>
          </w:p>
        </w:tc>
      </w:tr>
      <w:tr w14:paraId="1A9C4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7F48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 基本工资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5B9D85">
            <w:pPr>
              <w:widowControl/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53248</w:t>
            </w:r>
          </w:p>
        </w:tc>
      </w:tr>
      <w:tr w14:paraId="2BAD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6CFF5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津贴补贴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F16D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11231</w:t>
            </w:r>
          </w:p>
        </w:tc>
      </w:tr>
      <w:tr w14:paraId="4AE40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4F2B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绩效工资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A71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20503</w:t>
            </w:r>
          </w:p>
        </w:tc>
      </w:tr>
      <w:tr w14:paraId="1B8A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F4C0B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机关事业单位基本养老保险缴费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930D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28845</w:t>
            </w:r>
          </w:p>
        </w:tc>
      </w:tr>
      <w:tr w14:paraId="38F14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DC22AE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职业年金缴费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5B36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844</w:t>
            </w:r>
          </w:p>
        </w:tc>
      </w:tr>
      <w:tr w14:paraId="76A2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782B6C">
            <w:pPr>
              <w:widowControl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职工基本医疗保险缴费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D201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7819</w:t>
            </w:r>
          </w:p>
        </w:tc>
      </w:tr>
      <w:tr w14:paraId="1AC5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7F513D">
            <w:pPr>
              <w:widowControl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其他社会保障缴费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089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4481</w:t>
            </w:r>
          </w:p>
        </w:tc>
      </w:tr>
      <w:tr w14:paraId="15E42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9A215B">
            <w:pPr>
              <w:widowControl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6F8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9300</w:t>
            </w:r>
          </w:p>
        </w:tc>
      </w:tr>
      <w:tr w14:paraId="5F849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BDB055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二、商品和福利支出</w:t>
            </w:r>
          </w:p>
        </w:tc>
        <w:tc>
          <w:tcPr>
            <w:tcW w:w="2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C90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4213</w:t>
            </w:r>
          </w:p>
        </w:tc>
      </w:tr>
      <w:tr w14:paraId="5622A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A459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其中：办公费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52B2D7">
            <w:pPr>
              <w:widowControl/>
              <w:ind w:firstLine="1920" w:firstLineChars="8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</w:tr>
      <w:tr w14:paraId="3E76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9F52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邮电费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D320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681</w:t>
            </w:r>
          </w:p>
        </w:tc>
      </w:tr>
      <w:tr w14:paraId="5FF2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4B2564"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工会费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55B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710</w:t>
            </w:r>
          </w:p>
        </w:tc>
      </w:tr>
      <w:tr w14:paraId="0569B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BE56D8"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福利费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9FC8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1001</w:t>
            </w:r>
          </w:p>
        </w:tc>
      </w:tr>
      <w:tr w14:paraId="4045B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C2C252"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公车运行费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92C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</w:tr>
      <w:tr w14:paraId="2DB3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6B8DDF">
            <w:pPr>
              <w:widowControl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交通费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E4C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816</w:t>
            </w:r>
          </w:p>
        </w:tc>
      </w:tr>
      <w:tr w14:paraId="7C48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6926F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三、对个人和家庭补助支出</w:t>
            </w:r>
          </w:p>
        </w:tc>
        <w:tc>
          <w:tcPr>
            <w:tcW w:w="24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F0A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6531</w:t>
            </w:r>
          </w:p>
        </w:tc>
      </w:tr>
      <w:tr w14:paraId="08897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9B561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其中：离退休费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BCF3C4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17180</w:t>
            </w:r>
          </w:p>
        </w:tc>
      </w:tr>
      <w:tr w14:paraId="6D56D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B341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生活补助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17D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5236</w:t>
            </w:r>
          </w:p>
        </w:tc>
      </w:tr>
      <w:tr w14:paraId="3233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77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9849A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其他对个人和家庭补助支出</w:t>
            </w:r>
          </w:p>
        </w:tc>
        <w:tc>
          <w:tcPr>
            <w:tcW w:w="24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E76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14115</w:t>
            </w:r>
          </w:p>
        </w:tc>
      </w:tr>
    </w:tbl>
    <w:p w14:paraId="79454473">
      <w:pPr>
        <w:sectPr>
          <w:footerReference r:id="rId7" w:type="default"/>
          <w:pgSz w:w="11906" w:h="16838"/>
          <w:pgMar w:top="1985" w:right="1588" w:bottom="1814" w:left="1474" w:header="851" w:footer="1304" w:gutter="0"/>
          <w:pgNumType w:fmt="decimal"/>
          <w:cols w:space="720" w:num="1"/>
          <w:docGrid w:type="lines" w:linePitch="312" w:charSpace="0"/>
        </w:sectPr>
      </w:pPr>
    </w:p>
    <w:p w14:paraId="635CFA5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一般公共预算支出说明</w:t>
      </w:r>
    </w:p>
    <w:p w14:paraId="4F823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E73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，一般公共预算支出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285132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B0E9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一般公共预算支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出构成：</w:t>
      </w:r>
    </w:p>
    <w:p w14:paraId="62BE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一、预备费安排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5500万元。</w:t>
      </w:r>
    </w:p>
    <w:p w14:paraId="0FBF9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二、行政事业单位人员工资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及保基本民生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201585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保障各项基本民生项目区级配套资金和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行政事业单位在职及退休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人员工资、保险、公积金支出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以及财政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人员如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社区工作者、村干部、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劳动保障员、公安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巡特警、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公益岗等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8CB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三、日常公用经费安排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4213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万元，用于保障全区基本运转。</w:t>
      </w:r>
    </w:p>
    <w:p w14:paraId="18E020E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四、专项公用经费安排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50799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足额落实义务教育阶段、学前教育生均公用经费，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进义务教育均衡发展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；落实城乡居民医疗保险制度、公共卫生服务政策,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改善就医环境，提升医疗救治水平，有效保障全区人民生命健康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支持企业创新驱动发展，持续提升县域科技创新能力，落实好真金白银的扶持政策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加快和美乡村建设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，提升城乡人居环境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加大环保领域投入，推动空气质量稳定向好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；全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面提升城市风貌、城市功能、城市活力、城市管理效能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让城市更加宜居、更有韧性、更富智慧。</w:t>
      </w:r>
    </w:p>
    <w:p w14:paraId="702FB451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五、预留专项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资金安排23035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万元，主要用于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社会事业高质量发展和改善民生福祉。</w:t>
      </w:r>
    </w:p>
    <w:p w14:paraId="620AC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§4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全区一般公共预算收支平衡情况（草案）</w:t>
      </w:r>
    </w:p>
    <w:p w14:paraId="67F3A80F">
      <w:pPr>
        <w:spacing w:line="560" w:lineRule="exact"/>
        <w:ind w:firstLine="720" w:firstLineChars="225"/>
        <w:rPr>
          <w:rFonts w:ascii="仿宋" w:hAnsi="仿宋" w:eastAsia="仿宋"/>
          <w:kern w:val="0"/>
          <w:sz w:val="32"/>
          <w:szCs w:val="32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1395"/>
        <w:gridCol w:w="3071"/>
        <w:gridCol w:w="1343"/>
      </w:tblGrid>
      <w:tr w14:paraId="35A7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2EA4"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一般公共预算平衡预算</w:t>
            </w:r>
          </w:p>
        </w:tc>
      </w:tr>
      <w:tr w14:paraId="565C0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64" w:type="pct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2FA37B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 w14:paraId="3C8863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14:paraId="17D2A1B0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0CD92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D0E4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收 入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8D285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BD09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支 出</w:t>
            </w: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FE8A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预算数</w:t>
            </w:r>
          </w:p>
        </w:tc>
      </w:tr>
      <w:tr w14:paraId="53F7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3F481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一般公共预算收入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9A7B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346599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09D6E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一般公共预算支出</w:t>
            </w: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2DE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285132</w:t>
            </w:r>
          </w:p>
        </w:tc>
      </w:tr>
      <w:tr w14:paraId="0F68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BA123B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上级补助收入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8C6B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141751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51ED5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其中：债券付息支出</w:t>
            </w: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CB4A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00</w:t>
            </w:r>
          </w:p>
        </w:tc>
      </w:tr>
      <w:tr w14:paraId="34492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C5B04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其中：提前下达专款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AD12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46751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BD560A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49D2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146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D07051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调入资金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C74B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50000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FAAE71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133D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336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65A332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上年结转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9E9B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27145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72DF8E">
            <w:pP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上解支出</w:t>
            </w: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2D8D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280363</w:t>
            </w:r>
          </w:p>
        </w:tc>
      </w:tr>
      <w:tr w14:paraId="66AB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C6E4A5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一般公共预算总收入</w:t>
            </w:r>
          </w:p>
        </w:tc>
        <w:tc>
          <w:tcPr>
            <w:tcW w:w="7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B804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565495</w:t>
            </w:r>
          </w:p>
        </w:tc>
        <w:tc>
          <w:tcPr>
            <w:tcW w:w="169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55905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一般公共预算总支出</w:t>
            </w:r>
          </w:p>
        </w:tc>
        <w:tc>
          <w:tcPr>
            <w:tcW w:w="74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B051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565495</w:t>
            </w:r>
          </w:p>
        </w:tc>
      </w:tr>
    </w:tbl>
    <w:p w14:paraId="19BCEFA4">
      <w:pPr>
        <w:spacing w:line="560" w:lineRule="exact"/>
      </w:pPr>
    </w:p>
    <w:p w14:paraId="4C099356">
      <w:pPr>
        <w:spacing w:line="360" w:lineRule="auto"/>
        <w:jc w:val="both"/>
        <w:rPr>
          <w:rFonts w:cs="楷体_GB2312" w:asciiTheme="majorEastAsia" w:hAnsiTheme="majorEastAsia" w:eastAsiaTheme="majorEastAsia"/>
          <w:b/>
          <w:bCs/>
          <w:sz w:val="32"/>
          <w:szCs w:val="32"/>
        </w:rPr>
      </w:pPr>
    </w:p>
    <w:p w14:paraId="2357F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4F6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5E91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8F6F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B41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8FCA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997A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C5FC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01C5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36399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3013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一般公共预算平衡说明</w:t>
      </w:r>
    </w:p>
    <w:p w14:paraId="138F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B478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全区一般公共预算总收入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565495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万元，其构成是：一般公共预算收入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346599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141751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调入资金50000万元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上年结转27145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。一般公共预算总支出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565495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万元，其构成是：一般公共预算支出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285132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万元，上解支出280363万元。</w:t>
      </w:r>
    </w:p>
    <w:p w14:paraId="1E9F6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1906" w:h="16838"/>
          <w:pgMar w:top="1985" w:right="1588" w:bottom="1814" w:left="1474" w:header="851" w:footer="1304" w:gutter="0"/>
          <w:pgNumType w:fmt="decimal"/>
          <w:cols w:space="720" w:num="1"/>
          <w:docGrid w:type="lines" w:linePitch="312" w:charSpace="0"/>
        </w:sectPr>
      </w:pPr>
    </w:p>
    <w:p w14:paraId="09C67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§5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全区政府性基金收支预算（草案）</w:t>
      </w:r>
    </w:p>
    <w:p w14:paraId="533E18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126F4A5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政府性基金收支预算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418"/>
        <w:gridCol w:w="3118"/>
        <w:gridCol w:w="1701"/>
      </w:tblGrid>
      <w:tr w14:paraId="741A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CC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</w:tc>
      </w:tr>
      <w:tr w14:paraId="34067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EC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D2C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94E3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AA79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5B47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8E0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13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051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930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14:paraId="6833E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301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一、政府性基金收入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DCD3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126000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4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一、政府性基金支出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396D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130085</w:t>
            </w:r>
          </w:p>
        </w:tc>
      </w:tr>
      <w:tr w14:paraId="6691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0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国有土地使用权出让收入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F1F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125622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63A8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00F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C1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A8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专项债券对应专项收入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9E49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7A2C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债务付息及服务费支出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AA04AE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54000</w:t>
            </w:r>
          </w:p>
        </w:tc>
      </w:tr>
      <w:tr w14:paraId="567DB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21FCC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二、提前下达专款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7524E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82354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628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A4F5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301</w:t>
            </w:r>
          </w:p>
        </w:tc>
      </w:tr>
      <w:tr w14:paraId="1D171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D4B1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三、上年结转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43A5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26032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BFC49A"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四、调出资金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846C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</w:tr>
      <w:tr w14:paraId="31F3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EB659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本年收入合计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06648C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234386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1D1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本年支出合计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713F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234386</w:t>
            </w:r>
          </w:p>
        </w:tc>
      </w:tr>
    </w:tbl>
    <w:p w14:paraId="187C3193"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 w14:paraId="65DD8651">
      <w:pPr>
        <w:spacing w:line="560" w:lineRule="exact"/>
        <w:ind w:firstLine="640" w:firstLineChars="200"/>
        <w:textAlignment w:val="center"/>
        <w:rPr>
          <w:rFonts w:ascii="仿宋_GB2312" w:hAnsi="仿宋" w:eastAsia="仿宋_GB2312"/>
          <w:sz w:val="32"/>
          <w:szCs w:val="32"/>
        </w:rPr>
      </w:pPr>
    </w:p>
    <w:p w14:paraId="4B4A4BB7">
      <w:pPr>
        <w:spacing w:line="560" w:lineRule="exact"/>
        <w:ind w:firstLine="640" w:firstLineChars="200"/>
        <w:textAlignment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政府性基金收入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234386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政府性基金支出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234386</w:t>
      </w:r>
      <w:r>
        <w:rPr>
          <w:rFonts w:hint="eastAsia" w:ascii="仿宋_GB2312" w:hAnsi="仿宋" w:eastAsia="仿宋_GB2312"/>
          <w:sz w:val="32"/>
          <w:szCs w:val="32"/>
        </w:rPr>
        <w:t>万元，实现收支平衡。</w:t>
      </w:r>
    </w:p>
    <w:p w14:paraId="272BE3D6">
      <w:pPr>
        <w:jc w:val="left"/>
      </w:pPr>
    </w:p>
    <w:p w14:paraId="7249F758">
      <w:pPr>
        <w:jc w:val="left"/>
      </w:pPr>
    </w:p>
    <w:p w14:paraId="06883851">
      <w:pPr>
        <w:jc w:val="left"/>
      </w:pPr>
    </w:p>
    <w:p w14:paraId="2E5BCB2E">
      <w:pPr>
        <w:jc w:val="left"/>
      </w:pPr>
    </w:p>
    <w:p w14:paraId="586AA902">
      <w:pPr>
        <w:jc w:val="left"/>
      </w:pPr>
    </w:p>
    <w:p w14:paraId="410723AC">
      <w:pPr>
        <w:jc w:val="left"/>
      </w:pPr>
    </w:p>
    <w:p w14:paraId="474F71C2">
      <w:pPr>
        <w:jc w:val="left"/>
      </w:pPr>
    </w:p>
    <w:p w14:paraId="36AC91A9">
      <w:pPr>
        <w:jc w:val="left"/>
      </w:pPr>
    </w:p>
    <w:p w14:paraId="066503B7">
      <w:pPr>
        <w:jc w:val="left"/>
      </w:pPr>
    </w:p>
    <w:p w14:paraId="2C6C6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§6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全区社会保险基金收支预算</w:t>
      </w:r>
    </w:p>
    <w:p w14:paraId="697C3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（草案）</w:t>
      </w:r>
    </w:p>
    <w:p w14:paraId="3EBA951A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1225B906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77794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社会保险基金预算编制基本情况</w:t>
      </w:r>
    </w:p>
    <w:p w14:paraId="58C2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B99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根据《中华人民共和国预算法》《中华人民共和国社会保险法》和《国务院关于试行社会保险基金预算的意见》等有关规定，编制我区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社会保险基金预算。</w:t>
      </w:r>
    </w:p>
    <w:p w14:paraId="38FCCAC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4"/>
        <w:gridCol w:w="2414"/>
      </w:tblGrid>
      <w:tr w14:paraId="7521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667" w:type="pct"/>
            <w:tcBorders>
              <w:bottom w:val="single" w:color="auto" w:sz="4" w:space="0"/>
            </w:tcBorders>
            <w:vAlign w:val="center"/>
          </w:tcPr>
          <w:p w14:paraId="4CA017CF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收入预算</w:t>
            </w:r>
          </w:p>
        </w:tc>
        <w:tc>
          <w:tcPr>
            <w:tcW w:w="1332" w:type="pct"/>
            <w:tcBorders>
              <w:bottom w:val="single" w:color="auto" w:sz="4" w:space="0"/>
            </w:tcBorders>
            <w:vAlign w:val="center"/>
          </w:tcPr>
          <w:p w14:paraId="52B592D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14:paraId="3C227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74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　目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D63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预算数</w:t>
            </w:r>
          </w:p>
        </w:tc>
      </w:tr>
      <w:tr w14:paraId="25837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992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全区社会保险基金收入合计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DA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47344</w:t>
            </w:r>
          </w:p>
        </w:tc>
      </w:tr>
      <w:tr w14:paraId="57014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2D0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其中：保险费收入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70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21146</w:t>
            </w:r>
          </w:p>
        </w:tc>
      </w:tr>
      <w:tr w14:paraId="71129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05D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财政补贴收入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01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22085</w:t>
            </w:r>
          </w:p>
        </w:tc>
      </w:tr>
      <w:tr w14:paraId="37F3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2A91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利息收入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09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</w:tr>
      <w:tr w14:paraId="37F0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E6CD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一、城乡居民基本养老保险基金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98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12393</w:t>
            </w:r>
          </w:p>
        </w:tc>
      </w:tr>
      <w:tr w14:paraId="48D1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60FA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其中：保险费收入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AC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3080</w:t>
            </w:r>
          </w:p>
        </w:tc>
      </w:tr>
      <w:tr w14:paraId="333B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9601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财政补贴收入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9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8572</w:t>
            </w:r>
          </w:p>
        </w:tc>
      </w:tr>
      <w:tr w14:paraId="7A3C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052A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利息收入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0B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</w:tr>
      <w:tr w14:paraId="482E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EAF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二、机关事业单位基本养老保险基金收入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428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34951</w:t>
            </w:r>
          </w:p>
        </w:tc>
      </w:tr>
      <w:tr w14:paraId="380A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009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其中：保险费收入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5BF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18066</w:t>
            </w:r>
          </w:p>
        </w:tc>
      </w:tr>
      <w:tr w14:paraId="48225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49A0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财政补贴收入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5DC0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13513</w:t>
            </w:r>
          </w:p>
        </w:tc>
      </w:tr>
      <w:tr w14:paraId="0A720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8B88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利息收入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8F2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 w14:paraId="4B37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7" w:type="pct"/>
            <w:tcBorders>
              <w:top w:val="single" w:color="auto" w:sz="4" w:space="0"/>
            </w:tcBorders>
            <w:vAlign w:val="center"/>
          </w:tcPr>
          <w:p w14:paraId="313FDD8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color="auto" w:sz="4" w:space="0"/>
            </w:tcBorders>
            <w:vAlign w:val="center"/>
          </w:tcPr>
          <w:p w14:paraId="01A130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EE7BA3F">
      <w:pPr>
        <w:spacing w:line="400" w:lineRule="exact"/>
        <w:ind w:firstLine="482" w:firstLineChars="200"/>
        <w:rPr>
          <w:rFonts w:asciiTheme="majorEastAsia" w:hAnsiTheme="majorEastAsia" w:eastAsiaTheme="majorEastAsia"/>
          <w:b/>
          <w:sz w:val="24"/>
        </w:rPr>
      </w:pPr>
    </w:p>
    <w:p w14:paraId="406DCDAC">
      <w:pPr>
        <w:spacing w:line="400" w:lineRule="exact"/>
        <w:rPr>
          <w:rFonts w:asciiTheme="majorEastAsia" w:hAnsiTheme="majorEastAsia" w:eastAsiaTheme="majorEastAsia"/>
          <w:b/>
          <w:sz w:val="24"/>
        </w:rPr>
      </w:pPr>
    </w:p>
    <w:p w14:paraId="2EAC79B8">
      <w:pPr>
        <w:spacing w:line="400" w:lineRule="exact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支出预算                            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单位：万元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1"/>
        <w:gridCol w:w="3019"/>
      </w:tblGrid>
      <w:tr w14:paraId="17D7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  <w:vAlign w:val="center"/>
          </w:tcPr>
          <w:p w14:paraId="44DE68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　目</w:t>
            </w:r>
          </w:p>
        </w:tc>
        <w:tc>
          <w:tcPr>
            <w:tcW w:w="1666" w:type="pct"/>
            <w:vAlign w:val="center"/>
          </w:tcPr>
          <w:p w14:paraId="5EDA94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预算数</w:t>
            </w:r>
          </w:p>
        </w:tc>
      </w:tr>
      <w:tr w14:paraId="6CF0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</w:tcPr>
          <w:p w14:paraId="1BBDF5F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全区社会保险基金支出合计</w:t>
            </w:r>
          </w:p>
        </w:tc>
        <w:tc>
          <w:tcPr>
            <w:tcW w:w="1666" w:type="pct"/>
            <w:vAlign w:val="center"/>
          </w:tcPr>
          <w:p w14:paraId="2E7543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43322</w:t>
            </w:r>
          </w:p>
        </w:tc>
      </w:tr>
      <w:tr w14:paraId="5183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</w:tcPr>
          <w:p w14:paraId="44FA1479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其中：社会保险待遇支出</w:t>
            </w:r>
          </w:p>
        </w:tc>
        <w:tc>
          <w:tcPr>
            <w:tcW w:w="1666" w:type="pct"/>
            <w:vAlign w:val="center"/>
          </w:tcPr>
          <w:p w14:paraId="382A83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43034</w:t>
            </w:r>
          </w:p>
        </w:tc>
      </w:tr>
      <w:tr w14:paraId="0B0E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</w:tcPr>
          <w:p w14:paraId="4A422B2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一、城乡居民基本养老保险基金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666" w:type="pct"/>
            <w:vAlign w:val="center"/>
          </w:tcPr>
          <w:p w14:paraId="0FAFB0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8901</w:t>
            </w:r>
          </w:p>
        </w:tc>
      </w:tr>
      <w:tr w14:paraId="7087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</w:tcPr>
          <w:p w14:paraId="6BC8559C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其中：基本养老金支出</w:t>
            </w:r>
          </w:p>
        </w:tc>
        <w:tc>
          <w:tcPr>
            <w:tcW w:w="1666" w:type="pct"/>
            <w:vAlign w:val="center"/>
          </w:tcPr>
          <w:p w14:paraId="51D953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8880</w:t>
            </w:r>
          </w:p>
        </w:tc>
      </w:tr>
      <w:tr w14:paraId="4C01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</w:tcPr>
          <w:p w14:paraId="228DB67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二、机关事业单位基本养老保险基金支出</w:t>
            </w:r>
          </w:p>
        </w:tc>
        <w:tc>
          <w:tcPr>
            <w:tcW w:w="1666" w:type="pct"/>
            <w:vAlign w:val="center"/>
          </w:tcPr>
          <w:p w14:paraId="4B98B2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34421</w:t>
            </w:r>
          </w:p>
        </w:tc>
      </w:tr>
      <w:tr w14:paraId="0C4B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3" w:type="pct"/>
          </w:tcPr>
          <w:p w14:paraId="20E63C3E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其中：基本养老金支出</w:t>
            </w:r>
          </w:p>
        </w:tc>
        <w:tc>
          <w:tcPr>
            <w:tcW w:w="1666" w:type="pct"/>
            <w:vAlign w:val="center"/>
          </w:tcPr>
          <w:p w14:paraId="27FB305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34154</w:t>
            </w:r>
          </w:p>
        </w:tc>
      </w:tr>
    </w:tbl>
    <w:p w14:paraId="2A50B660">
      <w:pPr>
        <w:spacing w:line="400" w:lineRule="exact"/>
        <w:rPr>
          <w:rFonts w:asciiTheme="majorEastAsia" w:hAnsiTheme="majorEastAsia" w:eastAsiaTheme="majorEastAsia"/>
          <w:sz w:val="24"/>
        </w:rPr>
      </w:pPr>
    </w:p>
    <w:p w14:paraId="4E21E7C4">
      <w:pPr>
        <w:spacing w:line="400" w:lineRule="exact"/>
        <w:rPr>
          <w:rFonts w:ascii="仿宋" w:hAnsi="仿宋" w:eastAsia="仿宋"/>
          <w:sz w:val="32"/>
          <w:szCs w:val="32"/>
        </w:rPr>
      </w:pPr>
    </w:p>
    <w:p w14:paraId="7F8DDF43">
      <w:pPr>
        <w:spacing w:line="40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预算平衡                                              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b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单位：万元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1660"/>
        <w:gridCol w:w="1508"/>
        <w:gridCol w:w="1509"/>
      </w:tblGrid>
      <w:tr w14:paraId="60FC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pct"/>
            <w:vAlign w:val="center"/>
          </w:tcPr>
          <w:p w14:paraId="21F695E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      目</w:t>
            </w:r>
          </w:p>
        </w:tc>
        <w:tc>
          <w:tcPr>
            <w:tcW w:w="916" w:type="pct"/>
            <w:vAlign w:val="center"/>
          </w:tcPr>
          <w:p w14:paraId="01C0D34B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收入</w:t>
            </w:r>
          </w:p>
        </w:tc>
        <w:tc>
          <w:tcPr>
            <w:tcW w:w="832" w:type="pct"/>
            <w:vAlign w:val="center"/>
          </w:tcPr>
          <w:p w14:paraId="6682D05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支出</w:t>
            </w:r>
          </w:p>
        </w:tc>
        <w:tc>
          <w:tcPr>
            <w:tcW w:w="833" w:type="pct"/>
            <w:vAlign w:val="center"/>
          </w:tcPr>
          <w:p w14:paraId="2AE12AC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当期结余</w:t>
            </w:r>
          </w:p>
        </w:tc>
      </w:tr>
      <w:tr w14:paraId="4FA4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pct"/>
            <w:vAlign w:val="center"/>
          </w:tcPr>
          <w:p w14:paraId="03FD4C20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 计</w:t>
            </w:r>
          </w:p>
        </w:tc>
        <w:tc>
          <w:tcPr>
            <w:tcW w:w="916" w:type="pct"/>
            <w:vAlign w:val="center"/>
          </w:tcPr>
          <w:p w14:paraId="1FA7432C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  <w:t>47344</w:t>
            </w:r>
          </w:p>
        </w:tc>
        <w:tc>
          <w:tcPr>
            <w:tcW w:w="832" w:type="pct"/>
            <w:vAlign w:val="center"/>
          </w:tcPr>
          <w:p w14:paraId="32A27CD4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3322</w:t>
            </w:r>
          </w:p>
        </w:tc>
        <w:tc>
          <w:tcPr>
            <w:tcW w:w="833" w:type="pct"/>
            <w:vAlign w:val="center"/>
          </w:tcPr>
          <w:p w14:paraId="6F8D7A89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4022</w:t>
            </w:r>
          </w:p>
        </w:tc>
      </w:tr>
      <w:tr w14:paraId="4CBE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pct"/>
          </w:tcPr>
          <w:p w14:paraId="26EE7FDE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一、城乡居民基本养老保险基金</w:t>
            </w:r>
          </w:p>
        </w:tc>
        <w:tc>
          <w:tcPr>
            <w:tcW w:w="916" w:type="pct"/>
            <w:vAlign w:val="center"/>
          </w:tcPr>
          <w:p w14:paraId="795563EF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  <w:t>12393</w:t>
            </w:r>
          </w:p>
        </w:tc>
        <w:tc>
          <w:tcPr>
            <w:tcW w:w="832" w:type="pct"/>
            <w:vAlign w:val="center"/>
          </w:tcPr>
          <w:p w14:paraId="702EA010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8901</w:t>
            </w:r>
          </w:p>
        </w:tc>
        <w:tc>
          <w:tcPr>
            <w:tcW w:w="833" w:type="pct"/>
            <w:vAlign w:val="center"/>
          </w:tcPr>
          <w:p w14:paraId="1801950D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3492</w:t>
            </w:r>
          </w:p>
        </w:tc>
      </w:tr>
      <w:tr w14:paraId="7BB8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pct"/>
          </w:tcPr>
          <w:p w14:paraId="3717ABC5"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二、机关事业单位基本养老保险基金</w:t>
            </w:r>
          </w:p>
        </w:tc>
        <w:tc>
          <w:tcPr>
            <w:tcW w:w="916" w:type="pct"/>
            <w:vAlign w:val="center"/>
          </w:tcPr>
          <w:p w14:paraId="576BCA8C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lang w:val="en-US" w:eastAsia="zh-CN"/>
              </w:rPr>
              <w:t>34951</w:t>
            </w:r>
          </w:p>
        </w:tc>
        <w:tc>
          <w:tcPr>
            <w:tcW w:w="832" w:type="pct"/>
            <w:vAlign w:val="center"/>
          </w:tcPr>
          <w:p w14:paraId="4298F6D5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34421</w:t>
            </w:r>
          </w:p>
        </w:tc>
        <w:tc>
          <w:tcPr>
            <w:tcW w:w="833" w:type="pct"/>
            <w:vAlign w:val="center"/>
          </w:tcPr>
          <w:p w14:paraId="5EF70590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530</w:t>
            </w:r>
          </w:p>
        </w:tc>
      </w:tr>
    </w:tbl>
    <w:p w14:paraId="479BB341">
      <w:pPr>
        <w:spacing w:line="400" w:lineRule="exact"/>
        <w:rPr>
          <w:rFonts w:asciiTheme="minorEastAsia" w:hAnsiTheme="minorEastAsia" w:eastAsiaTheme="minorEastAsia"/>
          <w:sz w:val="24"/>
        </w:rPr>
      </w:pPr>
    </w:p>
    <w:p w14:paraId="64EB3BFE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53D2D217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022DF0A8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011B5EB4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4191ACB2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6229184C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55269128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181F5CAA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40977B46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76377D85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3363C499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3EE5F7C1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5493BDD8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080E4780"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p w14:paraId="49B2EB5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2024年</w:t>
      </w:r>
      <w:r>
        <w:rPr>
          <w:rFonts w:hint="eastAsia" w:ascii="黑体" w:hAnsi="黑体" w:eastAsia="黑体" w:cs="黑体"/>
          <w:sz w:val="32"/>
          <w:szCs w:val="32"/>
        </w:rPr>
        <w:t>全区社会保险基金预算说明</w:t>
      </w:r>
    </w:p>
    <w:p w14:paraId="6BDEE88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7CC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全区社会保险基金预算包括2项：城乡居民基本养老保险基金和机关事业单位基本养老保险基金。收入预算为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47344</w:t>
      </w:r>
      <w:r>
        <w:rPr>
          <w:rFonts w:hint="eastAsia" w:ascii="仿宋_GB2312" w:hAnsi="仿宋" w:eastAsia="仿宋_GB2312"/>
          <w:sz w:val="32"/>
          <w:szCs w:val="32"/>
        </w:rPr>
        <w:t>万元，支出预算为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43322</w:t>
      </w:r>
      <w:r>
        <w:rPr>
          <w:rFonts w:hint="eastAsia" w:ascii="仿宋_GB2312" w:hAnsi="仿宋" w:eastAsia="仿宋_GB2312"/>
          <w:sz w:val="32"/>
          <w:szCs w:val="32"/>
        </w:rPr>
        <w:t>万元，收支相抵，结余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4022</w:t>
      </w:r>
      <w:r>
        <w:rPr>
          <w:rFonts w:hint="eastAsia" w:ascii="仿宋_GB2312" w:hAnsi="仿宋" w:eastAsia="仿宋_GB2312"/>
          <w:sz w:val="32"/>
          <w:szCs w:val="32"/>
        </w:rPr>
        <w:t>万元。具体情况如下：</w:t>
      </w:r>
    </w:p>
    <w:p w14:paraId="6565E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一、城乡居民基本养老保险基金：</w:t>
      </w:r>
      <w:r>
        <w:rPr>
          <w:rFonts w:hint="eastAsia" w:ascii="仿宋_GB2312" w:hAnsi="仿宋" w:eastAsia="仿宋_GB2312"/>
          <w:sz w:val="32"/>
          <w:szCs w:val="32"/>
        </w:rPr>
        <w:t>实行县级统筹，个人缴费与政府补助相结合的筹资机制。收入预算为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12393</w:t>
      </w:r>
      <w:r>
        <w:rPr>
          <w:rFonts w:hint="eastAsia" w:ascii="仿宋_GB2312" w:hAnsi="仿宋" w:eastAsia="仿宋_GB2312"/>
          <w:sz w:val="32"/>
          <w:szCs w:val="32"/>
        </w:rPr>
        <w:t>万元，其中：保险费收入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3080</w:t>
      </w:r>
      <w:r>
        <w:rPr>
          <w:rFonts w:hint="eastAsia" w:ascii="仿宋_GB2312" w:hAnsi="仿宋" w:eastAsia="仿宋_GB2312"/>
          <w:sz w:val="32"/>
          <w:szCs w:val="32"/>
        </w:rPr>
        <w:t>万元，财政补贴收入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8572</w:t>
      </w:r>
      <w:r>
        <w:rPr>
          <w:rFonts w:hint="eastAsia" w:ascii="仿宋_GB2312" w:hAnsi="仿宋" w:eastAsia="仿宋_GB2312"/>
          <w:sz w:val="32"/>
          <w:szCs w:val="32"/>
        </w:rPr>
        <w:t>万元，利息收入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305</w:t>
      </w:r>
      <w:r>
        <w:rPr>
          <w:rFonts w:hint="eastAsia" w:ascii="仿宋_GB2312" w:hAnsi="仿宋" w:eastAsia="仿宋_GB2312"/>
          <w:sz w:val="32"/>
          <w:szCs w:val="32"/>
        </w:rPr>
        <w:t>万元。支出预算为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8901</w:t>
      </w:r>
      <w:r>
        <w:rPr>
          <w:rFonts w:hint="eastAsia" w:ascii="仿宋_GB2312" w:hAnsi="仿宋" w:eastAsia="仿宋_GB2312"/>
          <w:sz w:val="32"/>
          <w:szCs w:val="32"/>
        </w:rPr>
        <w:t>万元。当年结余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3492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 w14:paraId="51D22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二、机关事业单位基本养老保险基金:</w:t>
      </w:r>
      <w:r>
        <w:rPr>
          <w:rFonts w:hint="eastAsia" w:ascii="仿宋_GB2312" w:hAnsi="仿宋" w:eastAsia="仿宋_GB2312"/>
          <w:sz w:val="32"/>
          <w:szCs w:val="32"/>
        </w:rPr>
        <w:t>收入预算为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34951</w:t>
      </w:r>
      <w:r>
        <w:rPr>
          <w:rFonts w:hint="eastAsia" w:ascii="仿宋_GB2312" w:hAnsi="仿宋" w:eastAsia="仿宋_GB2312"/>
          <w:sz w:val="32"/>
          <w:szCs w:val="32"/>
        </w:rPr>
        <w:t>万元，其中：保险费收入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18066</w:t>
      </w:r>
      <w:r>
        <w:rPr>
          <w:rFonts w:hint="eastAsia" w:ascii="仿宋_GB2312" w:hAnsi="仿宋" w:eastAsia="仿宋_GB2312"/>
          <w:sz w:val="32"/>
          <w:szCs w:val="32"/>
        </w:rPr>
        <w:t xml:space="preserve">万元，财政补贴收入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13513</w:t>
      </w:r>
      <w:r>
        <w:rPr>
          <w:rFonts w:hint="eastAsia" w:ascii="仿宋_GB2312" w:hAnsi="仿宋" w:eastAsia="仿宋_GB2312"/>
          <w:sz w:val="32"/>
          <w:szCs w:val="32"/>
        </w:rPr>
        <w:t>万元，利息收入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 xml:space="preserve"> 万元。支出预算为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34421</w:t>
      </w:r>
      <w:r>
        <w:rPr>
          <w:rFonts w:hint="eastAsia" w:ascii="仿宋_GB2312" w:hAnsi="仿宋" w:eastAsia="仿宋_GB2312"/>
          <w:sz w:val="32"/>
          <w:szCs w:val="32"/>
        </w:rPr>
        <w:t>万元。当年结余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530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 w14:paraId="3D14B8B2">
      <w:pPr>
        <w:rPr>
          <w:rFonts w:ascii="仿宋_GB2312" w:eastAsia="仿宋_GB2312"/>
        </w:rPr>
      </w:pPr>
    </w:p>
    <w:p w14:paraId="63116D2A"/>
    <w:p w14:paraId="3DA86F82">
      <w:pPr>
        <w:spacing w:line="580" w:lineRule="exact"/>
        <w:jc w:val="center"/>
        <w:rPr>
          <w:rFonts w:ascii="楷体" w:hAnsi="楷体" w:eastAsia="楷体"/>
          <w:sz w:val="36"/>
          <w:szCs w:val="36"/>
        </w:rPr>
      </w:pPr>
    </w:p>
    <w:p w14:paraId="6CA992DA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5C3DA7A3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63603288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1EC3CBBB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428EF7E9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549D70BF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255986F9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5C2457BA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0907CF81">
      <w:pPr>
        <w:spacing w:line="4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045ED88D">
      <w:pPr>
        <w:spacing w:line="580" w:lineRule="exact"/>
        <w:jc w:val="both"/>
        <w:rPr>
          <w:rFonts w:cs="楷体_GB2312" w:asciiTheme="majorEastAsia" w:hAnsiTheme="majorEastAsia" w:eastAsiaTheme="majorEastAsia"/>
          <w:b/>
          <w:bCs/>
          <w:sz w:val="36"/>
          <w:szCs w:val="36"/>
        </w:rPr>
      </w:pPr>
    </w:p>
    <w:p w14:paraId="2585D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§7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全区国有资本经营预算说明</w:t>
      </w:r>
    </w:p>
    <w:p w14:paraId="1D5CA0AE"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15F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全区国有资本经营预算编制范围应包括：区属国有及国有控股、国有参股企业。</w:t>
      </w:r>
    </w:p>
    <w:p w14:paraId="5DCB6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收入预算303万元，其中</w:t>
      </w:r>
      <w:r>
        <w:rPr>
          <w:rFonts w:hint="eastAsia" w:ascii="仿宋_GB2312" w:hAnsi="仿宋" w:eastAsia="仿宋_GB2312"/>
          <w:sz w:val="32"/>
          <w:szCs w:val="32"/>
        </w:rPr>
        <w:t>结转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专款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上级补助收入135万元；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303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为解决历史遗留问题及改革成本支出</w:t>
      </w:r>
      <w:r>
        <w:rPr>
          <w:rFonts w:hint="eastAsia" w:ascii="仿宋_GB2312" w:hAnsi="仿宋" w:eastAsia="仿宋_GB2312"/>
          <w:sz w:val="32"/>
          <w:szCs w:val="32"/>
        </w:rPr>
        <w:t>。根据我区国有企业经营的实际情况，无其他国有资本经营预算，特此说明。</w:t>
      </w:r>
    </w:p>
    <w:p w14:paraId="359B6164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1CE6DC82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2D374B84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6065CCF8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2118EF42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50475A81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7FB6B899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263FB05D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700BE8A3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5D8295DC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592A9F01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0EE7A91F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453001E5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26A4256B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27D54488">
      <w:pPr>
        <w:spacing w:line="360" w:lineRule="auto"/>
        <w:jc w:val="center"/>
        <w:rPr>
          <w:rFonts w:ascii="楷体" w:hAnsi="楷体" w:eastAsia="楷体"/>
          <w:sz w:val="36"/>
          <w:szCs w:val="36"/>
        </w:rPr>
      </w:pPr>
    </w:p>
    <w:p w14:paraId="29A31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§8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河北保定经济开发区预算（草案）</w:t>
      </w:r>
    </w:p>
    <w:p w14:paraId="45F63F7C"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 w14:paraId="4E033AE3">
      <w:pPr>
        <w:spacing w:line="360" w:lineRule="auto"/>
        <w:ind w:firstLine="7440" w:firstLineChars="3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单位：万元</w:t>
      </w:r>
    </w:p>
    <w:tbl>
      <w:tblPr>
        <w:tblStyle w:val="7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694"/>
        <w:gridCol w:w="2985"/>
        <w:gridCol w:w="691"/>
        <w:gridCol w:w="869"/>
        <w:gridCol w:w="701"/>
      </w:tblGrid>
      <w:tr w14:paraId="766A9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4AD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收入项目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A7C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金额</w:t>
            </w:r>
          </w:p>
        </w:tc>
        <w:tc>
          <w:tcPr>
            <w:tcW w:w="1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886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支出项目</w:t>
            </w:r>
          </w:p>
        </w:tc>
        <w:tc>
          <w:tcPr>
            <w:tcW w:w="3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B253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一般公共预算财政拨款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399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政府性基金预算财政拨款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2A2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国有资本经营预算财政拨款</w:t>
            </w:r>
          </w:p>
        </w:tc>
      </w:tr>
      <w:tr w14:paraId="3160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6BE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一、一般公共预算财政拨款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9B48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16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7408F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一、一般公共服务支出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FE8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0DD4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C73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ABDE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03B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二、政府性基金预算财政拨款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651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397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二、外交支出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801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21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452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CF6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8088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三、国有资本经营预算财政拨款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32B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2408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三、国防支出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1D5D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A4F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A9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2011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99F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BF73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2772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四、公共安全支出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6EE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64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B03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274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0B208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8604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964F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五、教育支出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547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E7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F1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4194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728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70C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392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六、科学技术支出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2D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1070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70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8B3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66FE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1F48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17A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F88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七、文化体育与传媒支出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81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02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57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58792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A76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2A2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D107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八、社会保障和就业支出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06E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3B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E06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4FD92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EFD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E72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AF8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九、医疗卫生与计划生育支出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92D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1C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A7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361BE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CD4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F396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48A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十、节能环保支出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5D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38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97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9A3D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E1E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BE59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9BB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十一、城乡社区支出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58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5B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FB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899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B8D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A89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45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十二、农林水支出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C8F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CC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93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33F3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A24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6203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96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十三、交通运输支出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22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0AF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1A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1E4EE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921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9ED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141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十四、资源勘探信息等支出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9D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C17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8C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68E0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8E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51C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40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十五、商业服务业等支出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CB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6AE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79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737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65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A13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57E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十六、金融支出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A7E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C03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4F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5F6D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FA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2F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EA3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十七、援助其他地区支出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4B8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4C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94F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4B4E1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1EA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BC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82F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十八、国土海洋气象等支出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38C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F9F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60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6130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27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A92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90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十九、住房保障支出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E0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61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29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2529C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682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D4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EAE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二十、国有土地出让收入安排的支出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B6A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51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F6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0F72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34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5E64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A0C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二十一、国债付息及服务费支出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1F14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10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DA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01EB8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E1D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236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05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二十二、国债发行费用支出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1484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FDF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22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1F52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17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本年收入合计</w:t>
            </w: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12CF5"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1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FD77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本年支出合计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219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B74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43B3B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</w:tbl>
    <w:p w14:paraId="579D74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0D56DB9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209AD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河北保定经济开发区预算（草案）说明</w:t>
      </w:r>
    </w:p>
    <w:p w14:paraId="638A9FD2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C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，河北保定经济开发区一般公共预算安排1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政府性基金预算，无国有资本经营预算，无社会保险基金预算。</w:t>
      </w:r>
    </w:p>
    <w:p w14:paraId="6C36803B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2834B550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3CF3F052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478DD46B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02BC182B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0AC96BB8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02FEBBE3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52984C8D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05C2B367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2D264EB3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20CA01A9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42AE23CE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621AA983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6DFC2A99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62BB18F4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075F2917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367C2D9E">
      <w:pPr>
        <w:spacing w:line="58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sectPr>
      <w:footerReference r:id="rId9" w:type="default"/>
      <w:pgSz w:w="11906" w:h="16838"/>
      <w:pgMar w:top="1985" w:right="1588" w:bottom="1814" w:left="1474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00347">
    <w:pPr>
      <w:pStyle w:val="5"/>
      <w:ind w:right="36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00660"/>
              <wp:effectExtent l="0" t="0" r="0" b="0"/>
              <wp:wrapNone/>
              <wp:docPr id="10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625502"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5.8pt;width:9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h43v0QAAAAMBAAAPAAAAAAAAAAEAIAAAACIAAABkcnMvZG93&#10;bnJldi54bWxQSwECFAAUAAAACACHTuJAOTFLCAcCAAAG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625502">
                    <w:pPr>
                      <w:pStyle w:val="5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12C2E">
    <w:pPr>
      <w:pStyle w:val="5"/>
      <w:ind w:right="360"/>
      <w:rPr>
        <w:sz w:val="20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7495" cy="162560"/>
              <wp:effectExtent l="0" t="0" r="0" b="0"/>
              <wp:wrapNone/>
              <wp:docPr id="9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54419D">
                          <w:pPr>
                            <w:snapToGrid w:val="0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t>- 10 -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2.8pt;width:21.85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8VzLSAAAAAwEAAA8AAAAAAAAAAQAgAAAA&#10;IgAAAGRycy9kb3ducmV2LnhtbFBLAQIUABQAAAAIAIdO4kBr0XQSEQIAABEEAAAOAAAAAAAAAAEA&#10;IAAAACE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4419D">
                    <w:pPr>
                      <w:snapToGrid w:val="0"/>
                      <w:jc w:val="right"/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t>- 10 -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00660"/>
              <wp:effectExtent l="0" t="0" r="0" b="0"/>
              <wp:wrapNone/>
              <wp:docPr id="8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C2F249"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1" o:spid="_x0000_s1026" o:spt="1" style="position:absolute;left:0pt;margin-top:0pt;height:15.8pt;width:9.05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IeN79EAAAADAQAADwAAAAAAAAABACAAAAAiAAAAZHJzL2Rvd25yZXYueG1sUEsBAhQA&#10;FAAAAAgAh07iQLhdoMb5AQAABw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C2F249">
                    <w:pPr>
                      <w:pStyle w:val="5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4AAB3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7495" cy="162560"/>
              <wp:effectExtent l="0" t="0" r="0" b="0"/>
              <wp:wrapNone/>
              <wp:docPr id="7" name="文本框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3E9136">
                          <w:pPr>
                            <w:snapToGrid w:val="0"/>
                            <w:rPr>
                              <w:rFonts w:asci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4" o:spid="_x0000_s1026" o:spt="1" style="position:absolute;left:0pt;margin-top:0pt;height:12.8pt;width:21.8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ub7udIAAAADAQAADwAAAAAAAAABACAAAAAiAAAAZHJz&#10;L2Rvd25yZXYueG1sUEsBAhQAFAAAAAgAh07iQNDtkVQKAgAAB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E9136">
                    <w:pPr>
                      <w:snapToGrid w:val="0"/>
                      <w:rPr>
                        <w:rFonts w:ascii="宋体" w:cs="宋体"/>
                        <w:sz w:val="24"/>
                        <w:szCs w:val="40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00660"/>
              <wp:effectExtent l="0" t="0" r="0" b="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473307"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o:spt="1" style="position:absolute;left:0pt;margin-top:0pt;height:15.8pt;width:9.05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h43v0QAAAAMBAAAPAAAAAAAAAAEAIAAAACIAAABkcnMvZG93bnJldi54bWxQSwECFAAU&#10;AAAACACHTuJAlUjQafgBAAAG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473307">
                    <w:pPr>
                      <w:pStyle w:val="5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CCFB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7495" cy="162560"/>
              <wp:effectExtent l="0" t="0" r="0" b="0"/>
              <wp:wrapNone/>
              <wp:docPr id="5" name="文本框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790E84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t>- 19 -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6" o:spid="_x0000_s1026" o:spt="1" style="position:absolute;left:0pt;margin-top:0pt;height:12.8pt;width:21.8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5vu50gAAAAMBAAAPAAAAAAAAAAEAIAAAACIAAABkcnMv&#10;ZG93bnJldi54bWxQSwECFAAUAAAACACHTuJATj/ZIAkCAAAG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90E84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t>- 19 -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00660"/>
              <wp:effectExtent l="0" t="0" r="0" b="0"/>
              <wp:wrapNone/>
              <wp:docPr id="4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57A603"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o:spt="1" style="position:absolute;left:0pt;margin-top:0pt;height:15.8pt;width:9.0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IeN79EAAAADAQAADwAAAAAAAAABACAAAAAiAAAAZHJzL2Rvd25yZXYueG1sUEsBAhQA&#10;FAAAAAgAh07iQGwocCL5AQAABg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7A603">
                    <w:pPr>
                      <w:pStyle w:val="5"/>
                    </w:pP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C1687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7495" cy="162560"/>
              <wp:effectExtent l="0" t="0" r="0" b="0"/>
              <wp:wrapNone/>
              <wp:docPr id="3" name="文本框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F8DC63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t>- 21 -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9" o:spid="_x0000_s1026" o:spt="1" style="position:absolute;left:0pt;margin-top:0pt;height:12.8pt;width:21.85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7m+7nSAAAAAwEAAA8AAAAAAAAAAQAgAAAAIgAAAGRy&#10;cy9kb3ducmV2LnhtbFBLAQIUABQAAAAIAIdO4kCYIKRxCwIAAAY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8DC63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t>- 21 -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00660"/>
              <wp:effectExtent l="0" t="0" r="0" b="0"/>
              <wp:wrapNone/>
              <wp:docPr id="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4DCE63"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2" o:spid="_x0000_s1026" o:spt="1" style="position:absolute;left:0pt;margin-top:0pt;height:15.8pt;width:9.05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IeN79EAAAADAQAADwAAAAAAAAABACAAAAAiAAAAZHJzL2Rvd25yZXYueG1sUEsBAhQA&#10;FAAAAAgAh07iQGp303z5AQAABw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DCE63">
                    <w:pPr>
                      <w:pStyle w:val="5"/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E83AE">
    <w:pPr>
      <w:pStyle w:val="5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7495" cy="162560"/>
              <wp:effectExtent l="0" t="0" r="0" b="0"/>
              <wp:wrapNone/>
              <wp:docPr id="1" name="文本框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862E3F">
                          <w:pPr>
                            <w:snapToGrid w:val="0"/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t>- 23 -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1" o:spid="_x0000_s1026" o:spt="1" style="position:absolute;left:0pt;margin-top:0pt;height:12.8pt;width:21.8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5vu50gAAAAMBAAAPAAAAAAAAAAEAIAAAACIAAABkcnMv&#10;ZG93bnJldi54bWxQSwECFAAUAAAACACHTuJAT+M2HwkCAAAG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862E3F">
                    <w:pPr>
                      <w:snapToGrid w:val="0"/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t>- 23 -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D3DE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116E0"/>
    <w:multiLevelType w:val="singleLevel"/>
    <w:tmpl w:val="F7C116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ZGMxN2E1MzEzNWViNGU2NjljYmIzNTE2MTJiNDcifQ=="/>
  </w:docVars>
  <w:rsids>
    <w:rsidRoot w:val="00854A94"/>
    <w:rsid w:val="000002CF"/>
    <w:rsid w:val="000011B1"/>
    <w:rsid w:val="00001492"/>
    <w:rsid w:val="00003AEE"/>
    <w:rsid w:val="000049A6"/>
    <w:rsid w:val="00007FFA"/>
    <w:rsid w:val="00012CB2"/>
    <w:rsid w:val="00012E53"/>
    <w:rsid w:val="000139DE"/>
    <w:rsid w:val="00016794"/>
    <w:rsid w:val="00016E15"/>
    <w:rsid w:val="0002023A"/>
    <w:rsid w:val="0002179A"/>
    <w:rsid w:val="00023D3F"/>
    <w:rsid w:val="00025392"/>
    <w:rsid w:val="0002583D"/>
    <w:rsid w:val="0002618A"/>
    <w:rsid w:val="00031B64"/>
    <w:rsid w:val="00031EC0"/>
    <w:rsid w:val="00032FFC"/>
    <w:rsid w:val="00036D0A"/>
    <w:rsid w:val="00040838"/>
    <w:rsid w:val="00040FA8"/>
    <w:rsid w:val="0004111D"/>
    <w:rsid w:val="000414C9"/>
    <w:rsid w:val="0004508F"/>
    <w:rsid w:val="0004768D"/>
    <w:rsid w:val="00051C9F"/>
    <w:rsid w:val="00052C85"/>
    <w:rsid w:val="00055E4D"/>
    <w:rsid w:val="0005621A"/>
    <w:rsid w:val="00062EEF"/>
    <w:rsid w:val="00064588"/>
    <w:rsid w:val="00065015"/>
    <w:rsid w:val="00065030"/>
    <w:rsid w:val="000673D4"/>
    <w:rsid w:val="00067DF5"/>
    <w:rsid w:val="000701F9"/>
    <w:rsid w:val="0007125F"/>
    <w:rsid w:val="00076791"/>
    <w:rsid w:val="000815BE"/>
    <w:rsid w:val="0008576B"/>
    <w:rsid w:val="00092D22"/>
    <w:rsid w:val="0009663B"/>
    <w:rsid w:val="000A08A3"/>
    <w:rsid w:val="000A1BF8"/>
    <w:rsid w:val="000A5027"/>
    <w:rsid w:val="000A697F"/>
    <w:rsid w:val="000A7171"/>
    <w:rsid w:val="000B08C9"/>
    <w:rsid w:val="000B09EE"/>
    <w:rsid w:val="000B2C45"/>
    <w:rsid w:val="000B4EB4"/>
    <w:rsid w:val="000B612F"/>
    <w:rsid w:val="000B7FB2"/>
    <w:rsid w:val="000C2342"/>
    <w:rsid w:val="000C2CA0"/>
    <w:rsid w:val="000C7B06"/>
    <w:rsid w:val="000D089E"/>
    <w:rsid w:val="000D10ED"/>
    <w:rsid w:val="000D22A4"/>
    <w:rsid w:val="000D6890"/>
    <w:rsid w:val="000D73BE"/>
    <w:rsid w:val="000E0816"/>
    <w:rsid w:val="000E15D5"/>
    <w:rsid w:val="000E231B"/>
    <w:rsid w:val="000E2AF0"/>
    <w:rsid w:val="000E4247"/>
    <w:rsid w:val="000E44E6"/>
    <w:rsid w:val="000F5F5D"/>
    <w:rsid w:val="000F6B05"/>
    <w:rsid w:val="001033A8"/>
    <w:rsid w:val="00103C4A"/>
    <w:rsid w:val="00104E79"/>
    <w:rsid w:val="00106083"/>
    <w:rsid w:val="00107413"/>
    <w:rsid w:val="00107899"/>
    <w:rsid w:val="001151DD"/>
    <w:rsid w:val="00120C3D"/>
    <w:rsid w:val="00121848"/>
    <w:rsid w:val="00122F71"/>
    <w:rsid w:val="00132CDB"/>
    <w:rsid w:val="00133545"/>
    <w:rsid w:val="00133F5C"/>
    <w:rsid w:val="001340AB"/>
    <w:rsid w:val="001411D2"/>
    <w:rsid w:val="00142DAA"/>
    <w:rsid w:val="00143C43"/>
    <w:rsid w:val="00143C73"/>
    <w:rsid w:val="00144DB1"/>
    <w:rsid w:val="00146FDC"/>
    <w:rsid w:val="00150E08"/>
    <w:rsid w:val="001513FE"/>
    <w:rsid w:val="001541CF"/>
    <w:rsid w:val="00154443"/>
    <w:rsid w:val="0015495B"/>
    <w:rsid w:val="00157112"/>
    <w:rsid w:val="00160149"/>
    <w:rsid w:val="00160334"/>
    <w:rsid w:val="00160E2A"/>
    <w:rsid w:val="00162087"/>
    <w:rsid w:val="001629E4"/>
    <w:rsid w:val="001629EC"/>
    <w:rsid w:val="0016487C"/>
    <w:rsid w:val="00166976"/>
    <w:rsid w:val="001706C9"/>
    <w:rsid w:val="001712DD"/>
    <w:rsid w:val="001712FA"/>
    <w:rsid w:val="001774F9"/>
    <w:rsid w:val="00187C1F"/>
    <w:rsid w:val="001931BC"/>
    <w:rsid w:val="001965C6"/>
    <w:rsid w:val="00196C72"/>
    <w:rsid w:val="001A00DA"/>
    <w:rsid w:val="001A43ED"/>
    <w:rsid w:val="001A5085"/>
    <w:rsid w:val="001A6487"/>
    <w:rsid w:val="001B0426"/>
    <w:rsid w:val="001B21F1"/>
    <w:rsid w:val="001B3C7A"/>
    <w:rsid w:val="001B4688"/>
    <w:rsid w:val="001B6F68"/>
    <w:rsid w:val="001D114D"/>
    <w:rsid w:val="001D2586"/>
    <w:rsid w:val="001D27B3"/>
    <w:rsid w:val="001D2DC1"/>
    <w:rsid w:val="001D3E00"/>
    <w:rsid w:val="001D7BC3"/>
    <w:rsid w:val="001E12FE"/>
    <w:rsid w:val="001E23D5"/>
    <w:rsid w:val="001E4747"/>
    <w:rsid w:val="001F3703"/>
    <w:rsid w:val="001F67A9"/>
    <w:rsid w:val="00200FD6"/>
    <w:rsid w:val="00201F5B"/>
    <w:rsid w:val="002037B7"/>
    <w:rsid w:val="00203B0F"/>
    <w:rsid w:val="00203CC0"/>
    <w:rsid w:val="002048D8"/>
    <w:rsid w:val="002060A1"/>
    <w:rsid w:val="00211667"/>
    <w:rsid w:val="00211AA9"/>
    <w:rsid w:val="00212B14"/>
    <w:rsid w:val="0021391A"/>
    <w:rsid w:val="00214E7C"/>
    <w:rsid w:val="002169B8"/>
    <w:rsid w:val="00216DCE"/>
    <w:rsid w:val="002175AD"/>
    <w:rsid w:val="0022204C"/>
    <w:rsid w:val="00225054"/>
    <w:rsid w:val="00226392"/>
    <w:rsid w:val="0022646D"/>
    <w:rsid w:val="0023074F"/>
    <w:rsid w:val="00233410"/>
    <w:rsid w:val="00233962"/>
    <w:rsid w:val="00237878"/>
    <w:rsid w:val="00240C22"/>
    <w:rsid w:val="0024196E"/>
    <w:rsid w:val="002444A1"/>
    <w:rsid w:val="00252684"/>
    <w:rsid w:val="00253A60"/>
    <w:rsid w:val="002540AA"/>
    <w:rsid w:val="00262086"/>
    <w:rsid w:val="00262BB7"/>
    <w:rsid w:val="00262EEA"/>
    <w:rsid w:val="00264C27"/>
    <w:rsid w:val="0026654F"/>
    <w:rsid w:val="002666CC"/>
    <w:rsid w:val="00267E58"/>
    <w:rsid w:val="00274B51"/>
    <w:rsid w:val="00275561"/>
    <w:rsid w:val="00280112"/>
    <w:rsid w:val="002816EE"/>
    <w:rsid w:val="0028186D"/>
    <w:rsid w:val="00283A2C"/>
    <w:rsid w:val="00283A4A"/>
    <w:rsid w:val="002871C1"/>
    <w:rsid w:val="0028720A"/>
    <w:rsid w:val="00287B2F"/>
    <w:rsid w:val="00290406"/>
    <w:rsid w:val="002914C9"/>
    <w:rsid w:val="00291BEA"/>
    <w:rsid w:val="00291E1F"/>
    <w:rsid w:val="00293496"/>
    <w:rsid w:val="002953CC"/>
    <w:rsid w:val="002A1112"/>
    <w:rsid w:val="002A2583"/>
    <w:rsid w:val="002A27DA"/>
    <w:rsid w:val="002A4F26"/>
    <w:rsid w:val="002B10E4"/>
    <w:rsid w:val="002B7798"/>
    <w:rsid w:val="002C055B"/>
    <w:rsid w:val="002C26EF"/>
    <w:rsid w:val="002C5921"/>
    <w:rsid w:val="002C6897"/>
    <w:rsid w:val="002C7C97"/>
    <w:rsid w:val="002D106E"/>
    <w:rsid w:val="002D1B82"/>
    <w:rsid w:val="002D2AEB"/>
    <w:rsid w:val="002D7D80"/>
    <w:rsid w:val="002D7D81"/>
    <w:rsid w:val="002D7F40"/>
    <w:rsid w:val="002E4C24"/>
    <w:rsid w:val="002E5D0C"/>
    <w:rsid w:val="002F3584"/>
    <w:rsid w:val="002F380B"/>
    <w:rsid w:val="0030127D"/>
    <w:rsid w:val="003014C0"/>
    <w:rsid w:val="00301BF2"/>
    <w:rsid w:val="00304E41"/>
    <w:rsid w:val="003069CB"/>
    <w:rsid w:val="00313892"/>
    <w:rsid w:val="003147F8"/>
    <w:rsid w:val="00315259"/>
    <w:rsid w:val="003211FA"/>
    <w:rsid w:val="003232E3"/>
    <w:rsid w:val="003268C7"/>
    <w:rsid w:val="00330107"/>
    <w:rsid w:val="003311D1"/>
    <w:rsid w:val="00337D15"/>
    <w:rsid w:val="003401F4"/>
    <w:rsid w:val="00340AB3"/>
    <w:rsid w:val="00343B8D"/>
    <w:rsid w:val="00345C14"/>
    <w:rsid w:val="003462BE"/>
    <w:rsid w:val="00350528"/>
    <w:rsid w:val="00351A48"/>
    <w:rsid w:val="00354199"/>
    <w:rsid w:val="00357614"/>
    <w:rsid w:val="0036272A"/>
    <w:rsid w:val="003658B1"/>
    <w:rsid w:val="00371030"/>
    <w:rsid w:val="00371A91"/>
    <w:rsid w:val="00373D66"/>
    <w:rsid w:val="00373FEA"/>
    <w:rsid w:val="00374DC1"/>
    <w:rsid w:val="00375EA2"/>
    <w:rsid w:val="00377C19"/>
    <w:rsid w:val="003832A4"/>
    <w:rsid w:val="00383423"/>
    <w:rsid w:val="0038398A"/>
    <w:rsid w:val="00384BAC"/>
    <w:rsid w:val="003866AC"/>
    <w:rsid w:val="00390323"/>
    <w:rsid w:val="00390734"/>
    <w:rsid w:val="0039080B"/>
    <w:rsid w:val="00391378"/>
    <w:rsid w:val="0039158F"/>
    <w:rsid w:val="00391B75"/>
    <w:rsid w:val="003933E6"/>
    <w:rsid w:val="003937FE"/>
    <w:rsid w:val="00394265"/>
    <w:rsid w:val="003949DE"/>
    <w:rsid w:val="003A08A7"/>
    <w:rsid w:val="003A0CA4"/>
    <w:rsid w:val="003A0F11"/>
    <w:rsid w:val="003A1495"/>
    <w:rsid w:val="003A1655"/>
    <w:rsid w:val="003A1CE2"/>
    <w:rsid w:val="003A67B1"/>
    <w:rsid w:val="003B1066"/>
    <w:rsid w:val="003B1585"/>
    <w:rsid w:val="003B1CEA"/>
    <w:rsid w:val="003B5117"/>
    <w:rsid w:val="003C1551"/>
    <w:rsid w:val="003C1720"/>
    <w:rsid w:val="003C39FA"/>
    <w:rsid w:val="003C4482"/>
    <w:rsid w:val="003C55C0"/>
    <w:rsid w:val="003C56E5"/>
    <w:rsid w:val="003C74E2"/>
    <w:rsid w:val="003D08EE"/>
    <w:rsid w:val="003D0A5E"/>
    <w:rsid w:val="003D11F8"/>
    <w:rsid w:val="003D17DC"/>
    <w:rsid w:val="003D1B79"/>
    <w:rsid w:val="003D233A"/>
    <w:rsid w:val="003D3902"/>
    <w:rsid w:val="003D46D3"/>
    <w:rsid w:val="003D6189"/>
    <w:rsid w:val="003D6DF2"/>
    <w:rsid w:val="003E0898"/>
    <w:rsid w:val="003E2F6B"/>
    <w:rsid w:val="003E5F2E"/>
    <w:rsid w:val="003E65F9"/>
    <w:rsid w:val="003F2DF7"/>
    <w:rsid w:val="003F38EB"/>
    <w:rsid w:val="003F51EF"/>
    <w:rsid w:val="003F64EC"/>
    <w:rsid w:val="003F6A94"/>
    <w:rsid w:val="003F7201"/>
    <w:rsid w:val="00403125"/>
    <w:rsid w:val="00403F4D"/>
    <w:rsid w:val="00404A7A"/>
    <w:rsid w:val="00405CF2"/>
    <w:rsid w:val="00410336"/>
    <w:rsid w:val="00416D37"/>
    <w:rsid w:val="0042170C"/>
    <w:rsid w:val="00421874"/>
    <w:rsid w:val="00421F83"/>
    <w:rsid w:val="00424204"/>
    <w:rsid w:val="004264DD"/>
    <w:rsid w:val="00426E79"/>
    <w:rsid w:val="00431F79"/>
    <w:rsid w:val="004377CF"/>
    <w:rsid w:val="004408AA"/>
    <w:rsid w:val="0044464D"/>
    <w:rsid w:val="00444B83"/>
    <w:rsid w:val="00446C68"/>
    <w:rsid w:val="0046447C"/>
    <w:rsid w:val="00464F46"/>
    <w:rsid w:val="00466799"/>
    <w:rsid w:val="004716B0"/>
    <w:rsid w:val="00471E6B"/>
    <w:rsid w:val="0047327E"/>
    <w:rsid w:val="00480266"/>
    <w:rsid w:val="00481B5B"/>
    <w:rsid w:val="00481BE8"/>
    <w:rsid w:val="0048697C"/>
    <w:rsid w:val="004914CF"/>
    <w:rsid w:val="004961C0"/>
    <w:rsid w:val="0049721D"/>
    <w:rsid w:val="004A0315"/>
    <w:rsid w:val="004A20A9"/>
    <w:rsid w:val="004A4500"/>
    <w:rsid w:val="004A4ED4"/>
    <w:rsid w:val="004A6ADC"/>
    <w:rsid w:val="004B044B"/>
    <w:rsid w:val="004B13CA"/>
    <w:rsid w:val="004B6CEA"/>
    <w:rsid w:val="004B6D3B"/>
    <w:rsid w:val="004B7093"/>
    <w:rsid w:val="004B7E7E"/>
    <w:rsid w:val="004C1E2B"/>
    <w:rsid w:val="004C4E8A"/>
    <w:rsid w:val="004C6CBC"/>
    <w:rsid w:val="004C7A3C"/>
    <w:rsid w:val="004C7FCE"/>
    <w:rsid w:val="004D47BC"/>
    <w:rsid w:val="004D6FD1"/>
    <w:rsid w:val="004E3755"/>
    <w:rsid w:val="004E658E"/>
    <w:rsid w:val="004E7D29"/>
    <w:rsid w:val="004F31AE"/>
    <w:rsid w:val="004F6AB5"/>
    <w:rsid w:val="005028FE"/>
    <w:rsid w:val="005048B6"/>
    <w:rsid w:val="00504A44"/>
    <w:rsid w:val="00505A50"/>
    <w:rsid w:val="00505BF7"/>
    <w:rsid w:val="00506111"/>
    <w:rsid w:val="00506F59"/>
    <w:rsid w:val="0051024F"/>
    <w:rsid w:val="0051084B"/>
    <w:rsid w:val="00513709"/>
    <w:rsid w:val="00515FA9"/>
    <w:rsid w:val="00516261"/>
    <w:rsid w:val="005163DA"/>
    <w:rsid w:val="00522916"/>
    <w:rsid w:val="00523D56"/>
    <w:rsid w:val="005244EE"/>
    <w:rsid w:val="00527B9D"/>
    <w:rsid w:val="00527C03"/>
    <w:rsid w:val="00527FF5"/>
    <w:rsid w:val="005302D8"/>
    <w:rsid w:val="00532AFD"/>
    <w:rsid w:val="00537D8F"/>
    <w:rsid w:val="005408ED"/>
    <w:rsid w:val="0055189B"/>
    <w:rsid w:val="0055199D"/>
    <w:rsid w:val="00555DDB"/>
    <w:rsid w:val="00556534"/>
    <w:rsid w:val="00557522"/>
    <w:rsid w:val="005603CF"/>
    <w:rsid w:val="00560B54"/>
    <w:rsid w:val="00560C25"/>
    <w:rsid w:val="00562113"/>
    <w:rsid w:val="005624C5"/>
    <w:rsid w:val="00564D55"/>
    <w:rsid w:val="00564DAE"/>
    <w:rsid w:val="0056549A"/>
    <w:rsid w:val="0057073D"/>
    <w:rsid w:val="00570888"/>
    <w:rsid w:val="005715D2"/>
    <w:rsid w:val="00575DAA"/>
    <w:rsid w:val="00576CA0"/>
    <w:rsid w:val="005773A8"/>
    <w:rsid w:val="00581463"/>
    <w:rsid w:val="005814CD"/>
    <w:rsid w:val="00584ACD"/>
    <w:rsid w:val="00587E49"/>
    <w:rsid w:val="0059109B"/>
    <w:rsid w:val="00592160"/>
    <w:rsid w:val="0059338C"/>
    <w:rsid w:val="005A17B2"/>
    <w:rsid w:val="005A2276"/>
    <w:rsid w:val="005A37EA"/>
    <w:rsid w:val="005A76F2"/>
    <w:rsid w:val="005B0930"/>
    <w:rsid w:val="005B145A"/>
    <w:rsid w:val="005B206D"/>
    <w:rsid w:val="005B2490"/>
    <w:rsid w:val="005B4245"/>
    <w:rsid w:val="005C1DBF"/>
    <w:rsid w:val="005C3564"/>
    <w:rsid w:val="005C3678"/>
    <w:rsid w:val="005D16B8"/>
    <w:rsid w:val="005D2644"/>
    <w:rsid w:val="005D30E6"/>
    <w:rsid w:val="005D4FFF"/>
    <w:rsid w:val="005D5BD3"/>
    <w:rsid w:val="005D6A6E"/>
    <w:rsid w:val="005D7024"/>
    <w:rsid w:val="005D711F"/>
    <w:rsid w:val="005E43E1"/>
    <w:rsid w:val="005E5219"/>
    <w:rsid w:val="005F7C52"/>
    <w:rsid w:val="00600DD8"/>
    <w:rsid w:val="00601B96"/>
    <w:rsid w:val="00603706"/>
    <w:rsid w:val="00603EE5"/>
    <w:rsid w:val="00604C08"/>
    <w:rsid w:val="00605AE9"/>
    <w:rsid w:val="00606A6C"/>
    <w:rsid w:val="00607CF7"/>
    <w:rsid w:val="006100A2"/>
    <w:rsid w:val="00612F4B"/>
    <w:rsid w:val="00617E56"/>
    <w:rsid w:val="00622DF1"/>
    <w:rsid w:val="0062411B"/>
    <w:rsid w:val="00625143"/>
    <w:rsid w:val="00625EAE"/>
    <w:rsid w:val="00625F82"/>
    <w:rsid w:val="00630F70"/>
    <w:rsid w:val="006316DF"/>
    <w:rsid w:val="00631C88"/>
    <w:rsid w:val="006331DA"/>
    <w:rsid w:val="00640222"/>
    <w:rsid w:val="00641461"/>
    <w:rsid w:val="00641780"/>
    <w:rsid w:val="0064184B"/>
    <w:rsid w:val="00642399"/>
    <w:rsid w:val="00644042"/>
    <w:rsid w:val="0064420B"/>
    <w:rsid w:val="00646720"/>
    <w:rsid w:val="00651822"/>
    <w:rsid w:val="00653447"/>
    <w:rsid w:val="00663358"/>
    <w:rsid w:val="0066446A"/>
    <w:rsid w:val="006647D6"/>
    <w:rsid w:val="00665287"/>
    <w:rsid w:val="00665FAA"/>
    <w:rsid w:val="006676E6"/>
    <w:rsid w:val="006735CC"/>
    <w:rsid w:val="00675B22"/>
    <w:rsid w:val="00676591"/>
    <w:rsid w:val="00676D9C"/>
    <w:rsid w:val="00677D8E"/>
    <w:rsid w:val="006807C6"/>
    <w:rsid w:val="00686B4D"/>
    <w:rsid w:val="00687993"/>
    <w:rsid w:val="00697B46"/>
    <w:rsid w:val="006A0A28"/>
    <w:rsid w:val="006A0FC9"/>
    <w:rsid w:val="006A0FD9"/>
    <w:rsid w:val="006A5C27"/>
    <w:rsid w:val="006A6194"/>
    <w:rsid w:val="006A7B6E"/>
    <w:rsid w:val="006A7BB9"/>
    <w:rsid w:val="006B2A22"/>
    <w:rsid w:val="006B3440"/>
    <w:rsid w:val="006C1489"/>
    <w:rsid w:val="006C158D"/>
    <w:rsid w:val="006C2FEA"/>
    <w:rsid w:val="006C37BE"/>
    <w:rsid w:val="006D01F3"/>
    <w:rsid w:val="006D200C"/>
    <w:rsid w:val="006D4A9D"/>
    <w:rsid w:val="006E216F"/>
    <w:rsid w:val="006E3A6B"/>
    <w:rsid w:val="006E48C4"/>
    <w:rsid w:val="006E5EC5"/>
    <w:rsid w:val="006E6FCC"/>
    <w:rsid w:val="006F02D4"/>
    <w:rsid w:val="006F514A"/>
    <w:rsid w:val="006F5D13"/>
    <w:rsid w:val="006F77E3"/>
    <w:rsid w:val="00700BFC"/>
    <w:rsid w:val="00701FC0"/>
    <w:rsid w:val="00704770"/>
    <w:rsid w:val="00707494"/>
    <w:rsid w:val="007122CB"/>
    <w:rsid w:val="0071493B"/>
    <w:rsid w:val="00715EEE"/>
    <w:rsid w:val="00717D6D"/>
    <w:rsid w:val="0072115B"/>
    <w:rsid w:val="00721277"/>
    <w:rsid w:val="007243F0"/>
    <w:rsid w:val="00727674"/>
    <w:rsid w:val="007305A2"/>
    <w:rsid w:val="007305CD"/>
    <w:rsid w:val="00730D63"/>
    <w:rsid w:val="00731DB4"/>
    <w:rsid w:val="007328D2"/>
    <w:rsid w:val="00733A8A"/>
    <w:rsid w:val="00734329"/>
    <w:rsid w:val="00734968"/>
    <w:rsid w:val="0073575A"/>
    <w:rsid w:val="007373A5"/>
    <w:rsid w:val="0074122C"/>
    <w:rsid w:val="00741565"/>
    <w:rsid w:val="0074163F"/>
    <w:rsid w:val="00745316"/>
    <w:rsid w:val="00752D3B"/>
    <w:rsid w:val="00752F13"/>
    <w:rsid w:val="0075321D"/>
    <w:rsid w:val="007532D2"/>
    <w:rsid w:val="00753DA6"/>
    <w:rsid w:val="00754297"/>
    <w:rsid w:val="007600C2"/>
    <w:rsid w:val="007610D8"/>
    <w:rsid w:val="007611AF"/>
    <w:rsid w:val="007701ED"/>
    <w:rsid w:val="007761C1"/>
    <w:rsid w:val="00781054"/>
    <w:rsid w:val="007853D1"/>
    <w:rsid w:val="0078565D"/>
    <w:rsid w:val="00790179"/>
    <w:rsid w:val="00790BC6"/>
    <w:rsid w:val="00790E06"/>
    <w:rsid w:val="00790E20"/>
    <w:rsid w:val="00796CB0"/>
    <w:rsid w:val="007A1BA9"/>
    <w:rsid w:val="007A3220"/>
    <w:rsid w:val="007A339B"/>
    <w:rsid w:val="007A4EEB"/>
    <w:rsid w:val="007A5102"/>
    <w:rsid w:val="007A5841"/>
    <w:rsid w:val="007A7B03"/>
    <w:rsid w:val="007B242D"/>
    <w:rsid w:val="007C1D7E"/>
    <w:rsid w:val="007C4793"/>
    <w:rsid w:val="007C53EF"/>
    <w:rsid w:val="007C5D0E"/>
    <w:rsid w:val="007C7B68"/>
    <w:rsid w:val="007D0ABD"/>
    <w:rsid w:val="007D444F"/>
    <w:rsid w:val="007D4617"/>
    <w:rsid w:val="007D4976"/>
    <w:rsid w:val="007D6F45"/>
    <w:rsid w:val="007D7E31"/>
    <w:rsid w:val="007E1724"/>
    <w:rsid w:val="007E3298"/>
    <w:rsid w:val="007E6F17"/>
    <w:rsid w:val="007F0E7E"/>
    <w:rsid w:val="007F38A1"/>
    <w:rsid w:val="00802CBA"/>
    <w:rsid w:val="008044AE"/>
    <w:rsid w:val="00807106"/>
    <w:rsid w:val="00810BF2"/>
    <w:rsid w:val="0081131A"/>
    <w:rsid w:val="00816EBE"/>
    <w:rsid w:val="008175F7"/>
    <w:rsid w:val="0082246C"/>
    <w:rsid w:val="008238A9"/>
    <w:rsid w:val="00823B67"/>
    <w:rsid w:val="00825C8C"/>
    <w:rsid w:val="00827795"/>
    <w:rsid w:val="00830AFD"/>
    <w:rsid w:val="00833B78"/>
    <w:rsid w:val="0083582D"/>
    <w:rsid w:val="008361B8"/>
    <w:rsid w:val="0083739C"/>
    <w:rsid w:val="0084106C"/>
    <w:rsid w:val="00844A43"/>
    <w:rsid w:val="0084606F"/>
    <w:rsid w:val="008461D6"/>
    <w:rsid w:val="00847C5F"/>
    <w:rsid w:val="00847D6A"/>
    <w:rsid w:val="00850B69"/>
    <w:rsid w:val="0085299F"/>
    <w:rsid w:val="00853D31"/>
    <w:rsid w:val="00854A94"/>
    <w:rsid w:val="00855746"/>
    <w:rsid w:val="00855CBB"/>
    <w:rsid w:val="00856017"/>
    <w:rsid w:val="008606F1"/>
    <w:rsid w:val="00861FF4"/>
    <w:rsid w:val="008628CB"/>
    <w:rsid w:val="008660A9"/>
    <w:rsid w:val="00872ACE"/>
    <w:rsid w:val="00873398"/>
    <w:rsid w:val="00873F27"/>
    <w:rsid w:val="0087577D"/>
    <w:rsid w:val="00877495"/>
    <w:rsid w:val="00877C25"/>
    <w:rsid w:val="00880CD0"/>
    <w:rsid w:val="0088220E"/>
    <w:rsid w:val="0088334D"/>
    <w:rsid w:val="00883D0F"/>
    <w:rsid w:val="00890622"/>
    <w:rsid w:val="008952C7"/>
    <w:rsid w:val="00896DF0"/>
    <w:rsid w:val="008A1503"/>
    <w:rsid w:val="008A35AF"/>
    <w:rsid w:val="008A41DC"/>
    <w:rsid w:val="008A5634"/>
    <w:rsid w:val="008A56DE"/>
    <w:rsid w:val="008B22E1"/>
    <w:rsid w:val="008B2348"/>
    <w:rsid w:val="008B38A7"/>
    <w:rsid w:val="008B695D"/>
    <w:rsid w:val="008C00D1"/>
    <w:rsid w:val="008C0253"/>
    <w:rsid w:val="008C126C"/>
    <w:rsid w:val="008C5D6C"/>
    <w:rsid w:val="008D00A5"/>
    <w:rsid w:val="008D084D"/>
    <w:rsid w:val="008D382D"/>
    <w:rsid w:val="008D3B6D"/>
    <w:rsid w:val="008D6A77"/>
    <w:rsid w:val="008E1A2D"/>
    <w:rsid w:val="008E3997"/>
    <w:rsid w:val="008E4ADE"/>
    <w:rsid w:val="008E4B2E"/>
    <w:rsid w:val="008E5473"/>
    <w:rsid w:val="008E7C19"/>
    <w:rsid w:val="008F0B42"/>
    <w:rsid w:val="008F2E21"/>
    <w:rsid w:val="008F36D5"/>
    <w:rsid w:val="008F39EE"/>
    <w:rsid w:val="008F45D1"/>
    <w:rsid w:val="008F7560"/>
    <w:rsid w:val="00901D49"/>
    <w:rsid w:val="00904FF4"/>
    <w:rsid w:val="00905593"/>
    <w:rsid w:val="00907D24"/>
    <w:rsid w:val="00907FDB"/>
    <w:rsid w:val="00910319"/>
    <w:rsid w:val="00911066"/>
    <w:rsid w:val="009120E0"/>
    <w:rsid w:val="009128C2"/>
    <w:rsid w:val="009175D7"/>
    <w:rsid w:val="009221F7"/>
    <w:rsid w:val="00924689"/>
    <w:rsid w:val="0092549E"/>
    <w:rsid w:val="00932E09"/>
    <w:rsid w:val="00941780"/>
    <w:rsid w:val="009447FC"/>
    <w:rsid w:val="00945AD2"/>
    <w:rsid w:val="00953BEA"/>
    <w:rsid w:val="00954BEB"/>
    <w:rsid w:val="009566D5"/>
    <w:rsid w:val="00956C38"/>
    <w:rsid w:val="00961B8C"/>
    <w:rsid w:val="00962EF1"/>
    <w:rsid w:val="00964649"/>
    <w:rsid w:val="00967BF1"/>
    <w:rsid w:val="00970872"/>
    <w:rsid w:val="0097182B"/>
    <w:rsid w:val="00974BA9"/>
    <w:rsid w:val="009756A0"/>
    <w:rsid w:val="009758C7"/>
    <w:rsid w:val="00977634"/>
    <w:rsid w:val="009805B6"/>
    <w:rsid w:val="009810D8"/>
    <w:rsid w:val="00981519"/>
    <w:rsid w:val="00982DB3"/>
    <w:rsid w:val="0098380A"/>
    <w:rsid w:val="0098725B"/>
    <w:rsid w:val="00991528"/>
    <w:rsid w:val="00992652"/>
    <w:rsid w:val="009933F9"/>
    <w:rsid w:val="0099489A"/>
    <w:rsid w:val="009960CD"/>
    <w:rsid w:val="009A0EDA"/>
    <w:rsid w:val="009A5689"/>
    <w:rsid w:val="009B02A3"/>
    <w:rsid w:val="009B0A18"/>
    <w:rsid w:val="009B482A"/>
    <w:rsid w:val="009B559C"/>
    <w:rsid w:val="009C004A"/>
    <w:rsid w:val="009C03C7"/>
    <w:rsid w:val="009C2380"/>
    <w:rsid w:val="009C54AE"/>
    <w:rsid w:val="009C6E46"/>
    <w:rsid w:val="009D1891"/>
    <w:rsid w:val="009D2A2C"/>
    <w:rsid w:val="009D388A"/>
    <w:rsid w:val="009D3CFE"/>
    <w:rsid w:val="009D4594"/>
    <w:rsid w:val="009D54AE"/>
    <w:rsid w:val="009D5E3D"/>
    <w:rsid w:val="009D6341"/>
    <w:rsid w:val="009D6D44"/>
    <w:rsid w:val="009D713A"/>
    <w:rsid w:val="009E7F8E"/>
    <w:rsid w:val="009F2ABB"/>
    <w:rsid w:val="009F2DB9"/>
    <w:rsid w:val="009F2E66"/>
    <w:rsid w:val="009F32C1"/>
    <w:rsid w:val="009F6AD1"/>
    <w:rsid w:val="009F7EC4"/>
    <w:rsid w:val="00A04858"/>
    <w:rsid w:val="00A059D2"/>
    <w:rsid w:val="00A075A2"/>
    <w:rsid w:val="00A07C69"/>
    <w:rsid w:val="00A07F84"/>
    <w:rsid w:val="00A1126A"/>
    <w:rsid w:val="00A14919"/>
    <w:rsid w:val="00A16764"/>
    <w:rsid w:val="00A17D52"/>
    <w:rsid w:val="00A20CFA"/>
    <w:rsid w:val="00A22A14"/>
    <w:rsid w:val="00A2373E"/>
    <w:rsid w:val="00A2690C"/>
    <w:rsid w:val="00A31C3C"/>
    <w:rsid w:val="00A34A9F"/>
    <w:rsid w:val="00A35737"/>
    <w:rsid w:val="00A35AC6"/>
    <w:rsid w:val="00A35C64"/>
    <w:rsid w:val="00A42B96"/>
    <w:rsid w:val="00A4382C"/>
    <w:rsid w:val="00A43848"/>
    <w:rsid w:val="00A44581"/>
    <w:rsid w:val="00A458C0"/>
    <w:rsid w:val="00A4750D"/>
    <w:rsid w:val="00A47B38"/>
    <w:rsid w:val="00A54402"/>
    <w:rsid w:val="00A61AD6"/>
    <w:rsid w:val="00A62AA2"/>
    <w:rsid w:val="00A63516"/>
    <w:rsid w:val="00A63B8D"/>
    <w:rsid w:val="00A64571"/>
    <w:rsid w:val="00A70355"/>
    <w:rsid w:val="00A709D2"/>
    <w:rsid w:val="00A7729D"/>
    <w:rsid w:val="00A85083"/>
    <w:rsid w:val="00A85649"/>
    <w:rsid w:val="00A87ED9"/>
    <w:rsid w:val="00AA0E48"/>
    <w:rsid w:val="00AA1DF8"/>
    <w:rsid w:val="00AA2393"/>
    <w:rsid w:val="00AA2BC3"/>
    <w:rsid w:val="00AA3DCF"/>
    <w:rsid w:val="00AB0E1A"/>
    <w:rsid w:val="00AB181A"/>
    <w:rsid w:val="00AB6E00"/>
    <w:rsid w:val="00AB7D01"/>
    <w:rsid w:val="00AC0F55"/>
    <w:rsid w:val="00AD0460"/>
    <w:rsid w:val="00AD05A6"/>
    <w:rsid w:val="00AD14BA"/>
    <w:rsid w:val="00AD31B1"/>
    <w:rsid w:val="00AD6ED7"/>
    <w:rsid w:val="00AE37BD"/>
    <w:rsid w:val="00AE477F"/>
    <w:rsid w:val="00AE6BDF"/>
    <w:rsid w:val="00AE7FA7"/>
    <w:rsid w:val="00AF032E"/>
    <w:rsid w:val="00AF055D"/>
    <w:rsid w:val="00AF3B80"/>
    <w:rsid w:val="00AF41AB"/>
    <w:rsid w:val="00AF4E2C"/>
    <w:rsid w:val="00AF563D"/>
    <w:rsid w:val="00AF5CE7"/>
    <w:rsid w:val="00AF7A85"/>
    <w:rsid w:val="00B01F1F"/>
    <w:rsid w:val="00B03A9E"/>
    <w:rsid w:val="00B049B8"/>
    <w:rsid w:val="00B07B69"/>
    <w:rsid w:val="00B11D6F"/>
    <w:rsid w:val="00B12D0F"/>
    <w:rsid w:val="00B16E89"/>
    <w:rsid w:val="00B2025D"/>
    <w:rsid w:val="00B20743"/>
    <w:rsid w:val="00B22D65"/>
    <w:rsid w:val="00B23FA8"/>
    <w:rsid w:val="00B25B4C"/>
    <w:rsid w:val="00B2660D"/>
    <w:rsid w:val="00B3001A"/>
    <w:rsid w:val="00B30535"/>
    <w:rsid w:val="00B30E39"/>
    <w:rsid w:val="00B310A2"/>
    <w:rsid w:val="00B33945"/>
    <w:rsid w:val="00B33E03"/>
    <w:rsid w:val="00B34951"/>
    <w:rsid w:val="00B355D4"/>
    <w:rsid w:val="00B43287"/>
    <w:rsid w:val="00B449A8"/>
    <w:rsid w:val="00B4644F"/>
    <w:rsid w:val="00B46E03"/>
    <w:rsid w:val="00B50293"/>
    <w:rsid w:val="00B50C65"/>
    <w:rsid w:val="00B51221"/>
    <w:rsid w:val="00B53B38"/>
    <w:rsid w:val="00B54A6D"/>
    <w:rsid w:val="00B6031C"/>
    <w:rsid w:val="00B64CAD"/>
    <w:rsid w:val="00B6506C"/>
    <w:rsid w:val="00B6781B"/>
    <w:rsid w:val="00B70226"/>
    <w:rsid w:val="00B70C13"/>
    <w:rsid w:val="00B71BEE"/>
    <w:rsid w:val="00B7247D"/>
    <w:rsid w:val="00B733BC"/>
    <w:rsid w:val="00B746E3"/>
    <w:rsid w:val="00B76EAE"/>
    <w:rsid w:val="00B77B03"/>
    <w:rsid w:val="00B83CEF"/>
    <w:rsid w:val="00B840B1"/>
    <w:rsid w:val="00B84A47"/>
    <w:rsid w:val="00B84E9E"/>
    <w:rsid w:val="00B87A1E"/>
    <w:rsid w:val="00B95519"/>
    <w:rsid w:val="00B97618"/>
    <w:rsid w:val="00BA014F"/>
    <w:rsid w:val="00BA155D"/>
    <w:rsid w:val="00BA3C92"/>
    <w:rsid w:val="00BA5520"/>
    <w:rsid w:val="00BA6DB4"/>
    <w:rsid w:val="00BB16C9"/>
    <w:rsid w:val="00BB3F44"/>
    <w:rsid w:val="00BB534A"/>
    <w:rsid w:val="00BB60F1"/>
    <w:rsid w:val="00BC099E"/>
    <w:rsid w:val="00BC2E05"/>
    <w:rsid w:val="00BC37CC"/>
    <w:rsid w:val="00BD501E"/>
    <w:rsid w:val="00BE327E"/>
    <w:rsid w:val="00BE3CFC"/>
    <w:rsid w:val="00BE423F"/>
    <w:rsid w:val="00BE46DE"/>
    <w:rsid w:val="00BE52AD"/>
    <w:rsid w:val="00BE5CF2"/>
    <w:rsid w:val="00BE79AE"/>
    <w:rsid w:val="00BF7FCA"/>
    <w:rsid w:val="00C0048F"/>
    <w:rsid w:val="00C0158B"/>
    <w:rsid w:val="00C02071"/>
    <w:rsid w:val="00C04986"/>
    <w:rsid w:val="00C05BD9"/>
    <w:rsid w:val="00C14697"/>
    <w:rsid w:val="00C20E46"/>
    <w:rsid w:val="00C22567"/>
    <w:rsid w:val="00C22A76"/>
    <w:rsid w:val="00C253E5"/>
    <w:rsid w:val="00C26636"/>
    <w:rsid w:val="00C30594"/>
    <w:rsid w:val="00C316F2"/>
    <w:rsid w:val="00C332B1"/>
    <w:rsid w:val="00C37522"/>
    <w:rsid w:val="00C401B7"/>
    <w:rsid w:val="00C406D8"/>
    <w:rsid w:val="00C413F4"/>
    <w:rsid w:val="00C4249A"/>
    <w:rsid w:val="00C42BDC"/>
    <w:rsid w:val="00C42D95"/>
    <w:rsid w:val="00C44173"/>
    <w:rsid w:val="00C455C6"/>
    <w:rsid w:val="00C513A2"/>
    <w:rsid w:val="00C518B3"/>
    <w:rsid w:val="00C52EDD"/>
    <w:rsid w:val="00C542E9"/>
    <w:rsid w:val="00C54648"/>
    <w:rsid w:val="00C55FAB"/>
    <w:rsid w:val="00C56EA4"/>
    <w:rsid w:val="00C6276F"/>
    <w:rsid w:val="00C64083"/>
    <w:rsid w:val="00C64F9D"/>
    <w:rsid w:val="00C70E70"/>
    <w:rsid w:val="00C736FE"/>
    <w:rsid w:val="00C73D1D"/>
    <w:rsid w:val="00C741DC"/>
    <w:rsid w:val="00C76643"/>
    <w:rsid w:val="00C76CCE"/>
    <w:rsid w:val="00C81732"/>
    <w:rsid w:val="00C8276E"/>
    <w:rsid w:val="00C830C0"/>
    <w:rsid w:val="00C905C2"/>
    <w:rsid w:val="00C921C5"/>
    <w:rsid w:val="00CA02AF"/>
    <w:rsid w:val="00CA1B99"/>
    <w:rsid w:val="00CA3AFF"/>
    <w:rsid w:val="00CA4536"/>
    <w:rsid w:val="00CA6676"/>
    <w:rsid w:val="00CB1AD9"/>
    <w:rsid w:val="00CB2C3E"/>
    <w:rsid w:val="00CB4D4C"/>
    <w:rsid w:val="00CC0DB7"/>
    <w:rsid w:val="00CC2A26"/>
    <w:rsid w:val="00CC2ED5"/>
    <w:rsid w:val="00CC33E0"/>
    <w:rsid w:val="00CC4193"/>
    <w:rsid w:val="00CC4C13"/>
    <w:rsid w:val="00CC710D"/>
    <w:rsid w:val="00CC7F3C"/>
    <w:rsid w:val="00CD10B3"/>
    <w:rsid w:val="00CD15B9"/>
    <w:rsid w:val="00CD5037"/>
    <w:rsid w:val="00CE0B2D"/>
    <w:rsid w:val="00CE3833"/>
    <w:rsid w:val="00CE4C22"/>
    <w:rsid w:val="00CE6C59"/>
    <w:rsid w:val="00CF1671"/>
    <w:rsid w:val="00CF1A09"/>
    <w:rsid w:val="00CF1DBA"/>
    <w:rsid w:val="00CF2F4F"/>
    <w:rsid w:val="00CF4C5C"/>
    <w:rsid w:val="00CF53F8"/>
    <w:rsid w:val="00CF6E7A"/>
    <w:rsid w:val="00D00840"/>
    <w:rsid w:val="00D0453A"/>
    <w:rsid w:val="00D145CF"/>
    <w:rsid w:val="00D1466E"/>
    <w:rsid w:val="00D14D06"/>
    <w:rsid w:val="00D26BFC"/>
    <w:rsid w:val="00D27249"/>
    <w:rsid w:val="00D27387"/>
    <w:rsid w:val="00D32DA2"/>
    <w:rsid w:val="00D33E8A"/>
    <w:rsid w:val="00D372F4"/>
    <w:rsid w:val="00D4114C"/>
    <w:rsid w:val="00D4327D"/>
    <w:rsid w:val="00D43FEF"/>
    <w:rsid w:val="00D470AB"/>
    <w:rsid w:val="00D47F91"/>
    <w:rsid w:val="00D51F56"/>
    <w:rsid w:val="00D52695"/>
    <w:rsid w:val="00D538FF"/>
    <w:rsid w:val="00D56EED"/>
    <w:rsid w:val="00D62C99"/>
    <w:rsid w:val="00D63EA4"/>
    <w:rsid w:val="00D648CA"/>
    <w:rsid w:val="00D66786"/>
    <w:rsid w:val="00D70CE8"/>
    <w:rsid w:val="00D7289A"/>
    <w:rsid w:val="00D73066"/>
    <w:rsid w:val="00D73A43"/>
    <w:rsid w:val="00D76E72"/>
    <w:rsid w:val="00D802AE"/>
    <w:rsid w:val="00D80C0B"/>
    <w:rsid w:val="00D82DE7"/>
    <w:rsid w:val="00D83A95"/>
    <w:rsid w:val="00D83D42"/>
    <w:rsid w:val="00D84DF2"/>
    <w:rsid w:val="00D86057"/>
    <w:rsid w:val="00D87FD0"/>
    <w:rsid w:val="00D92E32"/>
    <w:rsid w:val="00D950AB"/>
    <w:rsid w:val="00D95817"/>
    <w:rsid w:val="00D95A76"/>
    <w:rsid w:val="00D973E9"/>
    <w:rsid w:val="00DA71F1"/>
    <w:rsid w:val="00DB0C65"/>
    <w:rsid w:val="00DB2C33"/>
    <w:rsid w:val="00DB3C2A"/>
    <w:rsid w:val="00DB4069"/>
    <w:rsid w:val="00DB7033"/>
    <w:rsid w:val="00DC16B3"/>
    <w:rsid w:val="00DC4725"/>
    <w:rsid w:val="00DD0B11"/>
    <w:rsid w:val="00DD1E71"/>
    <w:rsid w:val="00DD332B"/>
    <w:rsid w:val="00DD540C"/>
    <w:rsid w:val="00DD5A0C"/>
    <w:rsid w:val="00DD6E06"/>
    <w:rsid w:val="00DD72DD"/>
    <w:rsid w:val="00DE0E72"/>
    <w:rsid w:val="00DE213A"/>
    <w:rsid w:val="00DE6929"/>
    <w:rsid w:val="00DE7B77"/>
    <w:rsid w:val="00DF5758"/>
    <w:rsid w:val="00E04EFF"/>
    <w:rsid w:val="00E05327"/>
    <w:rsid w:val="00E060F7"/>
    <w:rsid w:val="00E07721"/>
    <w:rsid w:val="00E0784B"/>
    <w:rsid w:val="00E10C42"/>
    <w:rsid w:val="00E12136"/>
    <w:rsid w:val="00E127CB"/>
    <w:rsid w:val="00E13039"/>
    <w:rsid w:val="00E13686"/>
    <w:rsid w:val="00E13C2F"/>
    <w:rsid w:val="00E142A6"/>
    <w:rsid w:val="00E14DFA"/>
    <w:rsid w:val="00E14EBB"/>
    <w:rsid w:val="00E15069"/>
    <w:rsid w:val="00E17304"/>
    <w:rsid w:val="00E2352D"/>
    <w:rsid w:val="00E269DF"/>
    <w:rsid w:val="00E26E78"/>
    <w:rsid w:val="00E27343"/>
    <w:rsid w:val="00E3042C"/>
    <w:rsid w:val="00E31BDE"/>
    <w:rsid w:val="00E31E29"/>
    <w:rsid w:val="00E3439D"/>
    <w:rsid w:val="00E4441F"/>
    <w:rsid w:val="00E44DD6"/>
    <w:rsid w:val="00E45E5C"/>
    <w:rsid w:val="00E4755F"/>
    <w:rsid w:val="00E5124E"/>
    <w:rsid w:val="00E520D3"/>
    <w:rsid w:val="00E52C44"/>
    <w:rsid w:val="00E612C7"/>
    <w:rsid w:val="00E65C73"/>
    <w:rsid w:val="00E66400"/>
    <w:rsid w:val="00E665EB"/>
    <w:rsid w:val="00E7620C"/>
    <w:rsid w:val="00E7718C"/>
    <w:rsid w:val="00E80BE9"/>
    <w:rsid w:val="00E81ADD"/>
    <w:rsid w:val="00E8407B"/>
    <w:rsid w:val="00E84968"/>
    <w:rsid w:val="00E85692"/>
    <w:rsid w:val="00E8640E"/>
    <w:rsid w:val="00E8666E"/>
    <w:rsid w:val="00E91294"/>
    <w:rsid w:val="00E92A27"/>
    <w:rsid w:val="00E9536C"/>
    <w:rsid w:val="00E96503"/>
    <w:rsid w:val="00EA4F98"/>
    <w:rsid w:val="00EB3E60"/>
    <w:rsid w:val="00EB4F28"/>
    <w:rsid w:val="00EB6EF3"/>
    <w:rsid w:val="00EC12E9"/>
    <w:rsid w:val="00EC161D"/>
    <w:rsid w:val="00EC16DA"/>
    <w:rsid w:val="00EC7676"/>
    <w:rsid w:val="00ED0729"/>
    <w:rsid w:val="00ED584D"/>
    <w:rsid w:val="00ED5F96"/>
    <w:rsid w:val="00ED7E9C"/>
    <w:rsid w:val="00EE22F2"/>
    <w:rsid w:val="00EE2F9A"/>
    <w:rsid w:val="00EE56E6"/>
    <w:rsid w:val="00EE6499"/>
    <w:rsid w:val="00EE666A"/>
    <w:rsid w:val="00EE723F"/>
    <w:rsid w:val="00EE734C"/>
    <w:rsid w:val="00EF0405"/>
    <w:rsid w:val="00EF0B4C"/>
    <w:rsid w:val="00EF2CC2"/>
    <w:rsid w:val="00F00846"/>
    <w:rsid w:val="00F00B2F"/>
    <w:rsid w:val="00F02E06"/>
    <w:rsid w:val="00F03F18"/>
    <w:rsid w:val="00F04A10"/>
    <w:rsid w:val="00F058CD"/>
    <w:rsid w:val="00F1253A"/>
    <w:rsid w:val="00F1488E"/>
    <w:rsid w:val="00F15DD9"/>
    <w:rsid w:val="00F20789"/>
    <w:rsid w:val="00F22F0F"/>
    <w:rsid w:val="00F251D8"/>
    <w:rsid w:val="00F32AA0"/>
    <w:rsid w:val="00F351EF"/>
    <w:rsid w:val="00F371E3"/>
    <w:rsid w:val="00F403A6"/>
    <w:rsid w:val="00F422C5"/>
    <w:rsid w:val="00F42A5B"/>
    <w:rsid w:val="00F43DE6"/>
    <w:rsid w:val="00F5223D"/>
    <w:rsid w:val="00F56413"/>
    <w:rsid w:val="00F57795"/>
    <w:rsid w:val="00F60EED"/>
    <w:rsid w:val="00F62C0B"/>
    <w:rsid w:val="00F63DD1"/>
    <w:rsid w:val="00F65761"/>
    <w:rsid w:val="00F6662E"/>
    <w:rsid w:val="00F66808"/>
    <w:rsid w:val="00F67ED1"/>
    <w:rsid w:val="00F70EC9"/>
    <w:rsid w:val="00F737C9"/>
    <w:rsid w:val="00F746BF"/>
    <w:rsid w:val="00F7672F"/>
    <w:rsid w:val="00F77D2F"/>
    <w:rsid w:val="00F8172F"/>
    <w:rsid w:val="00F81957"/>
    <w:rsid w:val="00F840EC"/>
    <w:rsid w:val="00F844F1"/>
    <w:rsid w:val="00F84967"/>
    <w:rsid w:val="00F84E92"/>
    <w:rsid w:val="00F85231"/>
    <w:rsid w:val="00F855DC"/>
    <w:rsid w:val="00F963FB"/>
    <w:rsid w:val="00F97111"/>
    <w:rsid w:val="00F97B2B"/>
    <w:rsid w:val="00FA12ED"/>
    <w:rsid w:val="00FA24CA"/>
    <w:rsid w:val="00FA4DEF"/>
    <w:rsid w:val="00FB0349"/>
    <w:rsid w:val="00FB04D8"/>
    <w:rsid w:val="00FB1260"/>
    <w:rsid w:val="00FB28A8"/>
    <w:rsid w:val="00FB34ED"/>
    <w:rsid w:val="00FC4F60"/>
    <w:rsid w:val="00FC7CEE"/>
    <w:rsid w:val="00FD059F"/>
    <w:rsid w:val="00FD1D30"/>
    <w:rsid w:val="00FD2412"/>
    <w:rsid w:val="00FD2468"/>
    <w:rsid w:val="00FD26FD"/>
    <w:rsid w:val="00FE239D"/>
    <w:rsid w:val="00FE23E5"/>
    <w:rsid w:val="00FE3EAD"/>
    <w:rsid w:val="00FE47BC"/>
    <w:rsid w:val="00FE489C"/>
    <w:rsid w:val="00FE65E4"/>
    <w:rsid w:val="00FF0B49"/>
    <w:rsid w:val="00FF3F39"/>
    <w:rsid w:val="00FF404C"/>
    <w:rsid w:val="013B3036"/>
    <w:rsid w:val="01CC7C92"/>
    <w:rsid w:val="024E2CA6"/>
    <w:rsid w:val="02693733"/>
    <w:rsid w:val="03A8028B"/>
    <w:rsid w:val="03C926DB"/>
    <w:rsid w:val="03E5503B"/>
    <w:rsid w:val="04427C76"/>
    <w:rsid w:val="04601D6A"/>
    <w:rsid w:val="04672E82"/>
    <w:rsid w:val="04AC7907"/>
    <w:rsid w:val="04CA4DE0"/>
    <w:rsid w:val="05B55C2C"/>
    <w:rsid w:val="07041810"/>
    <w:rsid w:val="07A11279"/>
    <w:rsid w:val="07F9321E"/>
    <w:rsid w:val="0A4E393A"/>
    <w:rsid w:val="0A9A3852"/>
    <w:rsid w:val="0C743400"/>
    <w:rsid w:val="0D6B4803"/>
    <w:rsid w:val="0DE90D3C"/>
    <w:rsid w:val="0F1B4006"/>
    <w:rsid w:val="0F2D3060"/>
    <w:rsid w:val="1081433D"/>
    <w:rsid w:val="109C0AEA"/>
    <w:rsid w:val="128F2D41"/>
    <w:rsid w:val="134C54F8"/>
    <w:rsid w:val="14EA7F29"/>
    <w:rsid w:val="16184DFC"/>
    <w:rsid w:val="187622AE"/>
    <w:rsid w:val="1BBC0B9D"/>
    <w:rsid w:val="1CDC4DD5"/>
    <w:rsid w:val="1F6D3AB5"/>
    <w:rsid w:val="1F764281"/>
    <w:rsid w:val="20184083"/>
    <w:rsid w:val="2167118E"/>
    <w:rsid w:val="216D06F2"/>
    <w:rsid w:val="21D3427B"/>
    <w:rsid w:val="225B49EE"/>
    <w:rsid w:val="227635D6"/>
    <w:rsid w:val="240D6D0D"/>
    <w:rsid w:val="250248D8"/>
    <w:rsid w:val="264D0AF2"/>
    <w:rsid w:val="28403F16"/>
    <w:rsid w:val="29B844D4"/>
    <w:rsid w:val="2A6B3708"/>
    <w:rsid w:val="2B4116A1"/>
    <w:rsid w:val="2BDA2E28"/>
    <w:rsid w:val="2E5D6C0F"/>
    <w:rsid w:val="2FB73C02"/>
    <w:rsid w:val="30210275"/>
    <w:rsid w:val="313B0B99"/>
    <w:rsid w:val="315845B0"/>
    <w:rsid w:val="318F1FBE"/>
    <w:rsid w:val="319B6BB5"/>
    <w:rsid w:val="34B561E0"/>
    <w:rsid w:val="37A260FE"/>
    <w:rsid w:val="380A6843"/>
    <w:rsid w:val="382C5C4E"/>
    <w:rsid w:val="38706B1C"/>
    <w:rsid w:val="3905525C"/>
    <w:rsid w:val="3A9248CD"/>
    <w:rsid w:val="3BF82E56"/>
    <w:rsid w:val="3D25645D"/>
    <w:rsid w:val="3DDD0E7A"/>
    <w:rsid w:val="3F1F7AF9"/>
    <w:rsid w:val="3FB84DD6"/>
    <w:rsid w:val="415D593F"/>
    <w:rsid w:val="42C615B8"/>
    <w:rsid w:val="43326C4D"/>
    <w:rsid w:val="47AB046A"/>
    <w:rsid w:val="47CF7ACF"/>
    <w:rsid w:val="496D771F"/>
    <w:rsid w:val="4BBD5522"/>
    <w:rsid w:val="4BDE3E16"/>
    <w:rsid w:val="4BF97E41"/>
    <w:rsid w:val="4C152E18"/>
    <w:rsid w:val="4C9C283A"/>
    <w:rsid w:val="4E0A3BEF"/>
    <w:rsid w:val="4E140172"/>
    <w:rsid w:val="4E1E04FA"/>
    <w:rsid w:val="4E5A52AA"/>
    <w:rsid w:val="4E7520E4"/>
    <w:rsid w:val="4F365D17"/>
    <w:rsid w:val="501C792F"/>
    <w:rsid w:val="51880306"/>
    <w:rsid w:val="5188593A"/>
    <w:rsid w:val="51E363B1"/>
    <w:rsid w:val="535A3282"/>
    <w:rsid w:val="5364271E"/>
    <w:rsid w:val="53BD6A07"/>
    <w:rsid w:val="577949F3"/>
    <w:rsid w:val="59696EAC"/>
    <w:rsid w:val="5A67147B"/>
    <w:rsid w:val="5BA8050F"/>
    <w:rsid w:val="5BDB256E"/>
    <w:rsid w:val="5D4930BA"/>
    <w:rsid w:val="5ED40B3B"/>
    <w:rsid w:val="5F2177AA"/>
    <w:rsid w:val="61B56F70"/>
    <w:rsid w:val="61BC1737"/>
    <w:rsid w:val="63C94F54"/>
    <w:rsid w:val="63DC6A36"/>
    <w:rsid w:val="6853303E"/>
    <w:rsid w:val="68603163"/>
    <w:rsid w:val="698B77A1"/>
    <w:rsid w:val="69C26D41"/>
    <w:rsid w:val="6B623CC4"/>
    <w:rsid w:val="6C186663"/>
    <w:rsid w:val="6CBB6063"/>
    <w:rsid w:val="6E16620A"/>
    <w:rsid w:val="6E7C126C"/>
    <w:rsid w:val="6F547DC8"/>
    <w:rsid w:val="70FE623D"/>
    <w:rsid w:val="712F3BAE"/>
    <w:rsid w:val="7161067E"/>
    <w:rsid w:val="725953D7"/>
    <w:rsid w:val="73CC7691"/>
    <w:rsid w:val="746638E2"/>
    <w:rsid w:val="77650B82"/>
    <w:rsid w:val="77B969BE"/>
    <w:rsid w:val="78774B27"/>
    <w:rsid w:val="7920620B"/>
    <w:rsid w:val="7B572C86"/>
    <w:rsid w:val="7B8F1775"/>
    <w:rsid w:val="7BFC48AE"/>
    <w:rsid w:val="7C29438A"/>
    <w:rsid w:val="7C9C65D2"/>
    <w:rsid w:val="7D6146EA"/>
    <w:rsid w:val="7D8E1087"/>
    <w:rsid w:val="7EBE58DC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4"/>
      <w:szCs w:val="24"/>
    </w:rPr>
  </w:style>
  <w:style w:type="paragraph" w:styleId="6">
    <w:name w:val="Title"/>
    <w:basedOn w:val="1"/>
    <w:next w:val="1"/>
    <w:link w:val="15"/>
    <w:autoRedefine/>
    <w:qFormat/>
    <w:uiPriority w:val="0"/>
    <w:pPr>
      <w:adjustRightInd w:val="0"/>
      <w:spacing w:before="240" w:after="120" w:line="600" w:lineRule="atLeast"/>
      <w:jc w:val="center"/>
      <w:textAlignment w:val="baseline"/>
    </w:pPr>
    <w:rPr>
      <w:rFonts w:ascii="Times New Roman" w:hAnsi="Times New Roman" w:eastAsia="黑体" w:cs="Times New Roman"/>
      <w:kern w:val="0"/>
      <w:sz w:val="20"/>
      <w:szCs w:val="20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标题 Char"/>
    <w:basedOn w:val="9"/>
    <w:link w:val="6"/>
    <w:autoRedefine/>
    <w:qFormat/>
    <w:uiPriority w:val="0"/>
    <w:rPr>
      <w:rFonts w:ascii="Times New Roman" w:hAnsi="Times New Roman" w:eastAsia="黑体" w:cs="Times New Roman"/>
      <w:kern w:val="0"/>
      <w:sz w:val="20"/>
      <w:szCs w:val="20"/>
    </w:rPr>
  </w:style>
  <w:style w:type="paragraph" w:customStyle="1" w:styleId="16">
    <w:name w:val="批注框文本 Char Char"/>
    <w:basedOn w:val="1"/>
    <w:link w:val="17"/>
    <w:autoRedefine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7">
    <w:name w:val="批注框文本 Char Char Char Char"/>
    <w:basedOn w:val="9"/>
    <w:link w:val="1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19">
    <w:name w:val="Normal (Web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21">
    <w:name w:val="！正文（30磅）"/>
    <w:basedOn w:val="1"/>
    <w:autoRedefine/>
    <w:qFormat/>
    <w:uiPriority w:val="0"/>
    <w:pPr>
      <w:spacing w:line="600" w:lineRule="exact"/>
      <w:ind w:firstLine="581" w:firstLineChars="200"/>
    </w:pPr>
    <w:rPr>
      <w:rFonts w:ascii="Times New Roman" w:hAnsi="Times New Roman" w:eastAsia="仿宋_GB2312" w:cs="Times New Roman"/>
      <w:b/>
      <w:bCs/>
      <w:kern w:val="0"/>
      <w:sz w:val="32"/>
      <w:szCs w:val="20"/>
    </w:rPr>
  </w:style>
  <w:style w:type="character" w:customStyle="1" w:styleId="22">
    <w:name w:val="Page Number1"/>
    <w:basedOn w:val="9"/>
    <w:autoRedefine/>
    <w:qFormat/>
    <w:uiPriority w:val="0"/>
    <w:rPr>
      <w:rFonts w:cs="Times New Roman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35">
    <w:name w:val="xl73"/>
    <w:basedOn w:val="1"/>
    <w:autoRedefine/>
    <w:qFormat/>
    <w:uiPriority w:val="0"/>
    <w:pPr>
      <w:widowControl/>
      <w:spacing w:before="100" w:beforeAutospacing="1" w:after="100" w:afterAutospacing="1"/>
      <w:jc w:val="right"/>
    </w:pPr>
    <w:rPr>
      <w:rFonts w:ascii="仿宋" w:hAnsi="仿宋" w:eastAsia="仿宋" w:cs="宋体"/>
      <w:b/>
      <w:bCs/>
      <w:color w:val="000000"/>
      <w:kern w:val="0"/>
      <w:sz w:val="22"/>
    </w:rPr>
  </w:style>
  <w:style w:type="paragraph" w:customStyle="1" w:styleId="36">
    <w:name w:val="xl7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批注框文本 Char"/>
    <w:basedOn w:val="9"/>
    <w:link w:val="3"/>
    <w:autoRedefine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65998-FCF2-43E6-846F-483D03A9ED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24</Pages>
  <Words>5587</Words>
  <Characters>6946</Characters>
  <Lines>82</Lines>
  <Paragraphs>23</Paragraphs>
  <TotalTime>5</TotalTime>
  <ScaleCrop>false</ScaleCrop>
  <LinksUpToDate>false</LinksUpToDate>
  <CharactersWithSpaces>7516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2023-01-30T03:10:00Z</dcterms:created>
  <dc:creator>dreamsummit</dc:creator>
  <cp:lastModifiedBy>Administrator</cp:lastModifiedBy>
  <cp:lastPrinted>2024-01-19T12:39:00Z</cp:lastPrinted>
  <dcterms:modified xsi:type="dcterms:W3CDTF">2024-10-23T01:17:45Z</dcterms:modified>
  <dc:title>Administrator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B405CF14DD0C4972B7A1470B0F2B22F1_13</vt:lpwstr>
  </property>
</Properties>
</file>