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560" w:lineRule="exact"/>
        <w:ind w:firstLine="420"/>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保定市莲池区西关街道办事处</w:t>
      </w:r>
    </w:p>
    <w:p>
      <w:pPr>
        <w:widowControl/>
        <w:shd w:val="clear" w:color="auto" w:fill="FFFFFF"/>
        <w:snapToGrid w:val="0"/>
        <w:spacing w:line="560" w:lineRule="exact"/>
        <w:ind w:firstLine="420"/>
        <w:jc w:val="center"/>
        <w:rPr>
          <w:rFonts w:ascii="方正小标宋_GBK" w:hAnsi="微软雅黑" w:eastAsia="方正小标宋_GBK"/>
          <w:b/>
          <w:bCs/>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2024年政府信息公开工作年度报告</w:t>
      </w:r>
    </w:p>
    <w:p>
      <w:pPr>
        <w:widowControl/>
        <w:shd w:val="clear" w:color="auto" w:fill="FFFFFF"/>
        <w:snapToGrid w:val="0"/>
        <w:spacing w:line="560" w:lineRule="exact"/>
        <w:ind w:firstLine="420"/>
        <w:jc w:val="center"/>
        <w:rPr>
          <w:rFonts w:ascii="方正小标宋_GBK" w:hAnsi="微软雅黑" w:eastAsia="方正小标宋_GBK"/>
          <w:b/>
          <w:bCs/>
          <w:sz w:val="44"/>
          <w:szCs w:val="44"/>
          <w:shd w:val="clear" w:color="auto" w:fill="FFFFFF"/>
        </w:rPr>
      </w:pPr>
    </w:p>
    <w:p>
      <w:pPr>
        <w:widowControl/>
        <w:shd w:val="clear" w:color="auto" w:fill="FFFFFF"/>
        <w:snapToGrid w:val="0"/>
        <w:spacing w:line="52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根据《中华人民共和国政府信息公开条例》《河北省实施〈中华人民共和国政府信息公开条例〉办法》等规定，发布本年度报告。报告中所列数据统计期限为2024年1月1日至12月31日。</w:t>
      </w:r>
    </w:p>
    <w:p>
      <w:pPr>
        <w:widowControl/>
        <w:shd w:val="clear" w:color="auto" w:fill="FFFFFF"/>
        <w:spacing w:line="520" w:lineRule="exact"/>
        <w:ind w:firstLine="640" w:firstLineChars="200"/>
        <w:rPr>
          <w:rFonts w:ascii="黑体" w:hAnsi="黑体" w:eastAsia="黑体" w:cs="宋体"/>
          <w:color w:val="000000"/>
          <w:kern w:val="0"/>
          <w:sz w:val="32"/>
          <w:szCs w:val="32"/>
        </w:rPr>
      </w:pPr>
      <w:r>
        <w:rPr>
          <w:rFonts w:ascii="黑体" w:hAnsi="黑体" w:eastAsia="黑体" w:cs="宋体"/>
          <w:color w:val="000000"/>
          <w:kern w:val="0"/>
          <w:sz w:val="32"/>
          <w:szCs w:val="32"/>
        </w:rPr>
        <w:t>一、总体情况</w:t>
      </w:r>
    </w:p>
    <w:p>
      <w:pPr>
        <w:spacing w:line="560" w:lineRule="exact"/>
        <w:ind w:firstLine="640" w:firstLineChars="200"/>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2024年</w:t>
      </w:r>
      <w:r>
        <w:rPr>
          <w:rFonts w:hint="eastAsia" w:ascii="仿宋_GB2312" w:hAnsi="微软雅黑" w:eastAsia="仿宋_GB2312" w:cs="宋体"/>
          <w:color w:val="000000"/>
          <w:kern w:val="0"/>
          <w:sz w:val="32"/>
          <w:szCs w:val="32"/>
          <w:lang w:eastAsia="zh-CN"/>
        </w:rPr>
        <w:t>，</w:t>
      </w:r>
      <w:r>
        <w:rPr>
          <w:rFonts w:ascii="仿宋_GB2312" w:hAnsi="微软雅黑" w:eastAsia="仿宋_GB2312" w:cs="宋体"/>
          <w:color w:val="000000"/>
          <w:kern w:val="0"/>
          <w:sz w:val="32"/>
          <w:szCs w:val="32"/>
        </w:rPr>
        <w:t>西关街道办事处坚持以习近平新时代中国特色社会主义思想为指导</w:t>
      </w:r>
      <w:r>
        <w:rPr>
          <w:rFonts w:hint="eastAsia" w:ascii="仿宋_GB2312" w:hAnsi="微软雅黑" w:eastAsia="仿宋_GB2312" w:cs="宋体"/>
          <w:color w:val="000000"/>
          <w:kern w:val="0"/>
          <w:sz w:val="32"/>
          <w:szCs w:val="32"/>
          <w:lang w:eastAsia="zh-CN"/>
        </w:rPr>
        <w:t>，</w:t>
      </w:r>
      <w:r>
        <w:rPr>
          <w:rFonts w:ascii="仿宋_GB2312" w:hAnsi="微软雅黑" w:eastAsia="仿宋_GB2312" w:cs="宋体"/>
          <w:color w:val="000000"/>
          <w:kern w:val="0"/>
          <w:sz w:val="32"/>
          <w:szCs w:val="32"/>
        </w:rPr>
        <w:t>全面贯彻党的二十大、二十届三中全会精神</w:t>
      </w:r>
      <w:r>
        <w:rPr>
          <w:rFonts w:hint="eastAsia" w:ascii="仿宋_GB2312" w:hAnsi="微软雅黑" w:eastAsia="仿宋_GB2312" w:cs="宋体"/>
          <w:color w:val="000000"/>
          <w:kern w:val="0"/>
          <w:sz w:val="32"/>
          <w:szCs w:val="32"/>
          <w:lang w:eastAsia="zh-CN"/>
        </w:rPr>
        <w:t>，</w:t>
      </w:r>
      <w:r>
        <w:rPr>
          <w:rFonts w:ascii="仿宋_GB2312" w:hAnsi="微软雅黑" w:eastAsia="仿宋_GB2312" w:cs="宋体"/>
          <w:color w:val="000000"/>
          <w:kern w:val="0"/>
          <w:sz w:val="32"/>
          <w:szCs w:val="32"/>
        </w:rPr>
        <w:t>认真贯彻落实《中华人民共和国政府信息公开条例》</w:t>
      </w:r>
      <w:r>
        <w:rPr>
          <w:rFonts w:hint="eastAsia" w:ascii="仿宋_GB2312" w:hAnsi="微软雅黑" w:eastAsia="仿宋_GB2312" w:cs="宋体"/>
          <w:color w:val="000000"/>
          <w:kern w:val="0"/>
          <w:sz w:val="32"/>
          <w:szCs w:val="32"/>
          <w:lang w:eastAsia="zh-CN"/>
        </w:rPr>
        <w:t>，</w:t>
      </w:r>
      <w:r>
        <w:rPr>
          <w:rFonts w:ascii="仿宋_GB2312" w:hAnsi="微软雅黑" w:eastAsia="仿宋_GB2312" w:cs="宋体"/>
          <w:color w:val="000000"/>
          <w:kern w:val="0"/>
          <w:sz w:val="32"/>
          <w:szCs w:val="32"/>
        </w:rPr>
        <w:t>扎实做好政务公开各项工作。现结合我办实际</w:t>
      </w:r>
      <w:r>
        <w:rPr>
          <w:rFonts w:hint="eastAsia" w:ascii="仿宋_GB2312" w:hAnsi="微软雅黑" w:eastAsia="仿宋_GB2312" w:cs="宋体"/>
          <w:color w:val="000000"/>
          <w:kern w:val="0"/>
          <w:sz w:val="32"/>
          <w:szCs w:val="32"/>
          <w:lang w:eastAsia="zh-CN"/>
        </w:rPr>
        <w:t>，</w:t>
      </w:r>
      <w:r>
        <w:rPr>
          <w:rFonts w:ascii="仿宋_GB2312" w:hAnsi="微软雅黑" w:eastAsia="仿宋_GB2312" w:cs="宋体"/>
          <w:color w:val="000000"/>
          <w:kern w:val="0"/>
          <w:sz w:val="32"/>
          <w:szCs w:val="32"/>
        </w:rPr>
        <w:t>对2024年度政府信息公开工作情况进行了梳理、总结</w:t>
      </w:r>
      <w:r>
        <w:rPr>
          <w:rFonts w:hint="eastAsia" w:ascii="仿宋_GB2312" w:hAnsi="微软雅黑" w:eastAsia="仿宋_GB2312" w:cs="宋体"/>
          <w:color w:val="000000"/>
          <w:kern w:val="0"/>
          <w:sz w:val="32"/>
          <w:szCs w:val="32"/>
          <w:lang w:eastAsia="zh-CN"/>
        </w:rPr>
        <w:t>，</w:t>
      </w:r>
      <w:r>
        <w:rPr>
          <w:rFonts w:ascii="仿宋_GB2312" w:hAnsi="微软雅黑" w:eastAsia="仿宋_GB2312" w:cs="宋体"/>
          <w:color w:val="000000"/>
          <w:kern w:val="0"/>
          <w:sz w:val="32"/>
          <w:szCs w:val="32"/>
        </w:rPr>
        <w:t>并向全社会公开。</w:t>
      </w:r>
    </w:p>
    <w:p>
      <w:pPr>
        <w:numPr>
          <w:ilvl w:val="0"/>
          <w:numId w:val="1"/>
        </w:numPr>
        <w:autoSpaceDE w:val="0"/>
        <w:spacing w:line="560" w:lineRule="exact"/>
        <w:ind w:firstLine="640"/>
        <w:rPr>
          <w:rFonts w:ascii="仿宋_GB2312" w:hAnsi="仿宋" w:eastAsia="仿宋_GB2312" w:cs="Times New Roman"/>
          <w:sz w:val="32"/>
          <w:szCs w:val="32"/>
        </w:rPr>
      </w:pPr>
      <w:r>
        <w:rPr>
          <w:rFonts w:hint="eastAsia" w:ascii="仿宋_GB2312" w:hAnsi="仿宋" w:eastAsia="仿宋_GB2312"/>
          <w:b/>
          <w:sz w:val="32"/>
          <w:szCs w:val="32"/>
        </w:rPr>
        <w:t>主动公开方面。</w:t>
      </w:r>
      <w:r>
        <w:rPr>
          <w:rFonts w:hint="eastAsia" w:ascii="仿宋_GB2312" w:hAnsi="仿宋" w:eastAsia="仿宋_GB2312"/>
          <w:sz w:val="32"/>
          <w:szCs w:val="32"/>
        </w:rPr>
        <w:t>聚焦</w:t>
      </w:r>
      <w:r>
        <w:rPr>
          <w:rFonts w:hint="eastAsia" w:ascii="仿宋_GB2312" w:hAnsi="仿宋" w:eastAsia="仿宋_GB2312" w:cs="Times New Roman"/>
          <w:sz w:val="32"/>
          <w:szCs w:val="32"/>
        </w:rPr>
        <w:t>安全生产、生态环境保护、优化营商环境、政务服务等重点工作，加强与区级融媒对接，多领域发布工作动态、政务信息。强化行政执法公示，及时在莲池区人民政府网站行政执法公示板块进行事前公示与事后公示</w:t>
      </w:r>
      <w:r>
        <w:rPr>
          <w:rFonts w:hint="eastAsia" w:ascii="仿宋_GB2312" w:hAnsi="仿宋_GB2312" w:eastAsia="仿宋_GB2312" w:cs="仿宋_GB2312"/>
          <w:sz w:val="32"/>
          <w:szCs w:val="32"/>
        </w:rPr>
        <w:t>。</w:t>
      </w:r>
    </w:p>
    <w:p>
      <w:pPr>
        <w:spacing w:line="540" w:lineRule="exact"/>
        <w:ind w:firstLine="642" w:firstLineChars="200"/>
        <w:jc w:val="left"/>
        <w:rPr>
          <w:rFonts w:ascii="仿宋_GB2312" w:hAnsi="仿宋_GB2312" w:eastAsia="仿宋_GB2312" w:cs="仿宋_GB2312"/>
          <w:color w:val="000000"/>
          <w:sz w:val="32"/>
          <w:szCs w:val="32"/>
          <w:shd w:val="clear" w:color="auto" w:fill="FFFFFF"/>
        </w:rPr>
      </w:pPr>
      <w:r>
        <w:rPr>
          <w:rFonts w:hint="eastAsia" w:ascii="仿宋_GB2312" w:hAnsi="仿宋" w:eastAsia="仿宋_GB2312"/>
          <w:b/>
          <w:sz w:val="32"/>
          <w:szCs w:val="32"/>
        </w:rPr>
        <w:t>（二）依申请公开方面。</w:t>
      </w:r>
      <w:r>
        <w:rPr>
          <w:rFonts w:hint="eastAsia" w:ascii="仿宋_GB2312" w:eastAsia="仿宋_GB2312" w:cs="仿宋_GB2312"/>
          <w:kern w:val="0"/>
          <w:sz w:val="32"/>
          <w:szCs w:val="32"/>
        </w:rPr>
        <w:t>2024年，西关街道办事处未收到政府信息公开申请</w:t>
      </w:r>
      <w:r>
        <w:rPr>
          <w:rFonts w:hint="eastAsia" w:ascii="仿宋_GB2312" w:hAnsi="仿宋_GB2312" w:eastAsia="仿宋_GB2312" w:cs="仿宋_GB2312"/>
          <w:color w:val="000000"/>
          <w:sz w:val="32"/>
          <w:szCs w:val="32"/>
          <w:shd w:val="clear" w:color="auto" w:fill="FFFFFF"/>
        </w:rPr>
        <w:t>。</w:t>
      </w:r>
    </w:p>
    <w:p>
      <w:pPr>
        <w:widowControl/>
        <w:spacing w:line="520" w:lineRule="exact"/>
        <w:ind w:firstLine="642"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（三）</w:t>
      </w:r>
      <w:r>
        <w:rPr>
          <w:rFonts w:hint="eastAsia" w:ascii="仿宋_GB2312" w:hAnsi="仿宋_GB2312" w:eastAsia="仿宋_GB2312" w:cs="仿宋_GB2312"/>
          <w:b/>
          <w:color w:val="000000"/>
          <w:sz w:val="32"/>
          <w:szCs w:val="32"/>
          <w:shd w:val="clear" w:color="auto" w:fill="FFFFFF"/>
        </w:rPr>
        <w:t>政府信息管理方面。</w:t>
      </w:r>
      <w:r>
        <w:rPr>
          <w:rFonts w:hint="eastAsia" w:ascii="仿宋_GB2312" w:hAnsi="仿宋" w:eastAsia="仿宋_GB2312" w:cs="Times New Roman"/>
          <w:bCs/>
          <w:sz w:val="32"/>
          <w:szCs w:val="32"/>
        </w:rPr>
        <w:t>及时在区政府网站、办公场所公示</w:t>
      </w:r>
      <w:r>
        <w:rPr>
          <w:rFonts w:hint="eastAsia" w:ascii="仿宋_GB2312" w:hAnsi="仿宋_GB2312" w:eastAsia="仿宋_GB2312" w:cs="仿宋_GB2312"/>
          <w:bCs/>
          <w:sz w:val="32"/>
          <w:szCs w:val="32"/>
        </w:rPr>
        <w:t>本单位的行政许可、行政处罚事项</w:t>
      </w:r>
      <w:r>
        <w:rPr>
          <w:rFonts w:hint="eastAsia" w:ascii="仿宋_GB2312" w:hAnsi="仿宋" w:eastAsia="仿宋_GB2312" w:cs="Times New Roman"/>
          <w:bCs/>
          <w:sz w:val="32"/>
          <w:szCs w:val="32"/>
        </w:rPr>
        <w:t>等信息。</w:t>
      </w:r>
    </w:p>
    <w:p>
      <w:pPr>
        <w:spacing w:line="560" w:lineRule="exact"/>
        <w:ind w:firstLine="642" w:firstLineChars="200"/>
        <w:jc w:val="left"/>
        <w:rPr>
          <w:rFonts w:ascii="仿宋_GB2312" w:eastAsia="仿宋_GB2312"/>
          <w:sz w:val="32"/>
          <w:szCs w:val="32"/>
        </w:rPr>
      </w:pPr>
      <w:r>
        <w:rPr>
          <w:rFonts w:hint="eastAsia" w:ascii="仿宋_GB2312" w:hAnsi="仿宋_GB2312" w:eastAsia="仿宋_GB2312" w:cs="仿宋_GB2312"/>
          <w:b/>
          <w:bCs/>
          <w:color w:val="000000"/>
          <w:kern w:val="0"/>
          <w:sz w:val="32"/>
          <w:szCs w:val="32"/>
          <w:shd w:val="clear" w:color="auto" w:fill="FFFFFF"/>
        </w:rPr>
        <w:t>（四）政府信息</w:t>
      </w:r>
      <w:r>
        <w:rPr>
          <w:rFonts w:hint="eastAsia" w:ascii="仿宋_GB2312" w:hAnsi="仿宋_GB2312" w:eastAsia="仿宋_GB2312" w:cs="仿宋_GB2312"/>
          <w:b/>
          <w:sz w:val="32"/>
          <w:szCs w:val="32"/>
        </w:rPr>
        <w:t>平台建设方面。</w:t>
      </w:r>
      <w:r>
        <w:rPr>
          <w:rFonts w:hint="eastAsia" w:ascii="仿宋_GB2312" w:eastAsia="仿宋_GB2312"/>
          <w:sz w:val="32"/>
          <w:szCs w:val="32"/>
        </w:rPr>
        <w:t>充分发挥微信公众号等政务新媒体的作用，及时转载党中央和省、市重要决策部署。按要求做好网站清理、规范表述等工作。</w:t>
      </w:r>
    </w:p>
    <w:p>
      <w:pPr>
        <w:autoSpaceDE w:val="0"/>
        <w:spacing w:line="520" w:lineRule="exact"/>
        <w:ind w:firstLine="640"/>
        <w:rPr>
          <w:rFonts w:ascii="仿宋_GB2312" w:eastAsia="仿宋_GB2312"/>
          <w:sz w:val="32"/>
          <w:szCs w:val="32"/>
        </w:rPr>
      </w:pPr>
      <w:r>
        <w:rPr>
          <w:rFonts w:hint="eastAsia" w:ascii="仿宋_GB2312" w:hAnsi="仿宋_GB2312" w:eastAsia="仿宋_GB2312" w:cs="仿宋_GB2312"/>
          <w:b/>
          <w:bCs/>
          <w:color w:val="000000"/>
          <w:kern w:val="0"/>
          <w:sz w:val="32"/>
          <w:szCs w:val="32"/>
          <w:shd w:val="clear" w:color="auto" w:fill="FFFFFF"/>
        </w:rPr>
        <w:t>（五）监督保障方面</w:t>
      </w:r>
      <w:r>
        <w:rPr>
          <w:rFonts w:hint="eastAsia" w:ascii="仿宋_GB2312" w:hAnsi="仿宋" w:eastAsia="仿宋_GB2312" w:cs="Times New Roman"/>
          <w:b/>
          <w:sz w:val="32"/>
          <w:szCs w:val="32"/>
        </w:rPr>
        <w:t>。</w:t>
      </w:r>
      <w:r>
        <w:rPr>
          <w:rFonts w:hint="default" w:ascii="仿宋" w:hAnsi="仿宋" w:eastAsia="仿宋" w:cs="仿宋"/>
          <w:sz w:val="32"/>
          <w:szCs w:val="32"/>
          <w:lang w:val="en-US" w:eastAsia="zh-CN"/>
        </w:rPr>
        <w:t>根据《中华人民共和国保守国家秘密法》和《中华人民共和国政府信息公开条例》的规定，</w:t>
      </w:r>
      <w:r>
        <w:rPr>
          <w:rFonts w:hint="eastAsia" w:ascii="仿宋" w:hAnsi="仿宋" w:eastAsia="仿宋" w:cs="仿宋"/>
          <w:sz w:val="32"/>
          <w:szCs w:val="32"/>
          <w:lang w:val="en-US" w:eastAsia="zh-CN"/>
        </w:rPr>
        <w:t>加强对工作人员的保密安全教育，</w:t>
      </w:r>
      <w:r>
        <w:rPr>
          <w:rFonts w:hint="default" w:ascii="仿宋" w:hAnsi="仿宋" w:eastAsia="仿宋" w:cs="仿宋"/>
          <w:sz w:val="32"/>
          <w:szCs w:val="32"/>
          <w:lang w:val="en-US" w:eastAsia="zh-CN"/>
        </w:rPr>
        <w:t>按照“谁公开、谁审查、谁负责”和“涉密的不公开、公开的不涉密”原则，对拟发布信息内容的准确性、完整性、时效性以及是否涉密，</w:t>
      </w:r>
      <w:r>
        <w:rPr>
          <w:rFonts w:hint="eastAsia" w:ascii="仿宋" w:hAnsi="仿宋" w:eastAsia="仿宋" w:cs="仿宋"/>
          <w:sz w:val="32"/>
          <w:szCs w:val="32"/>
        </w:rPr>
        <w:t>由分管领导、政府信息公开负责人逐级审查</w:t>
      </w:r>
      <w:r>
        <w:rPr>
          <w:rFonts w:hint="default" w:ascii="仿宋" w:hAnsi="仿宋" w:eastAsia="仿宋" w:cs="仿宋"/>
          <w:sz w:val="32"/>
          <w:szCs w:val="32"/>
          <w:lang w:val="en-US" w:eastAsia="zh-CN"/>
        </w:rPr>
        <w:t>进行把关</w:t>
      </w:r>
      <w:r>
        <w:rPr>
          <w:rFonts w:hint="eastAsia" w:ascii="仿宋" w:hAnsi="仿宋" w:eastAsia="仿宋" w:cs="仿宋"/>
          <w:sz w:val="32"/>
          <w:szCs w:val="32"/>
        </w:rPr>
        <w:t>，保证信息公开的准确、安全</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避免出现信息发布泄密、失信、影响社会稳定等问题。</w:t>
      </w:r>
    </w:p>
    <w:tbl>
      <w:tblPr>
        <w:tblStyle w:val="8"/>
        <w:tblpPr w:leftFromText="180" w:rightFromText="180" w:vertAnchor="text" w:horzAnchor="margin" w:tblpXSpec="center" w:tblpY="777"/>
        <w:tblW w:w="9740" w:type="dxa"/>
        <w:tblInd w:w="0" w:type="dxa"/>
        <w:tblLayout w:type="autofit"/>
        <w:tblCellMar>
          <w:top w:w="15" w:type="dxa"/>
          <w:left w:w="15" w:type="dxa"/>
          <w:bottom w:w="15" w:type="dxa"/>
          <w:right w:w="15" w:type="dxa"/>
        </w:tblCellMar>
      </w:tblPr>
      <w:tblGrid>
        <w:gridCol w:w="2435"/>
        <w:gridCol w:w="2435"/>
        <w:gridCol w:w="2435"/>
        <w:gridCol w:w="2435"/>
      </w:tblGrid>
      <w:tr>
        <w:tblPrEx>
          <w:tblCellMar>
            <w:top w:w="15" w:type="dxa"/>
            <w:left w:w="15" w:type="dxa"/>
            <w:bottom w:w="15" w:type="dxa"/>
            <w:right w:w="15"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rPr>
              <w:t>第二十条第（一）项</w:t>
            </w:r>
          </w:p>
        </w:tc>
      </w:tr>
      <w:tr>
        <w:tblPrEx>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noWrap/>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noWrap/>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rPr>
              <w:t>本年</w:t>
            </w:r>
            <w:r>
              <w:rPr>
                <w:rFonts w:hint="eastAsia" w:ascii="宋体" w:hAnsi="宋体" w:eastAsia="宋体" w:cs="宋体"/>
                <w:kern w:val="0"/>
                <w:sz w:val="20"/>
                <w:szCs w:val="20"/>
              </w:rPr>
              <w:t>制发件数</w:t>
            </w:r>
          </w:p>
        </w:tc>
        <w:tc>
          <w:tcPr>
            <w:tcW w:w="2435" w:type="dxa"/>
            <w:tcBorders>
              <w:top w:val="single" w:color="auto" w:sz="8" w:space="0"/>
              <w:left w:val="nil"/>
              <w:bottom w:val="single" w:color="auto" w:sz="8" w:space="0"/>
              <w:right w:val="single" w:color="auto" w:sz="8" w:space="0"/>
            </w:tcBorders>
            <w:noWrap/>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noWrap/>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rPr>
              <w:t>现行有效件</w:t>
            </w:r>
            <w:r>
              <w:rPr>
                <w:rFonts w:hint="eastAsia" w:ascii="宋体" w:hAnsi="宋体" w:eastAsia="宋体" w:cs="宋体"/>
                <w:kern w:val="0"/>
                <w:sz w:val="20"/>
                <w:szCs w:val="20"/>
              </w:rPr>
              <w:t>数</w:t>
            </w:r>
          </w:p>
        </w:tc>
      </w:tr>
      <w:tr>
        <w:tblPrEx>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noWrap/>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widowControl/>
              <w:spacing w:line="500" w:lineRule="exact"/>
              <w:jc w:val="center"/>
              <w:rPr>
                <w:rFonts w:asciiTheme="minorEastAsia" w:hAnsiTheme="minorEastAsia" w:cstheme="minorEastAsia"/>
                <w:sz w:val="24"/>
                <w:szCs w:val="24"/>
              </w:rPr>
            </w:pPr>
            <w:r>
              <w:rPr>
                <w:rFonts w:hint="eastAsia" w:asciiTheme="minorEastAsia" w:hAnsiTheme="minorEastAsia" w:cstheme="minorEastAsia"/>
                <w:color w:val="000000"/>
                <w:kern w:val="0"/>
                <w:sz w:val="24"/>
                <w:szCs w:val="24"/>
              </w:rPr>
              <w:t>0</w:t>
            </w:r>
          </w:p>
        </w:tc>
        <w:tc>
          <w:tcPr>
            <w:tcW w:w="2435"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widowControl/>
              <w:spacing w:line="500" w:lineRule="exact"/>
              <w:jc w:val="center"/>
              <w:rPr>
                <w:rFonts w:asciiTheme="minorEastAsia" w:hAnsiTheme="minorEastAsia" w:cstheme="minorEastAsia"/>
                <w:sz w:val="24"/>
                <w:szCs w:val="24"/>
              </w:rPr>
            </w:pPr>
            <w:r>
              <w:rPr>
                <w:rFonts w:hint="eastAsia" w:asciiTheme="minorEastAsia" w:hAnsiTheme="minorEastAsia" w:cstheme="minorEastAsia"/>
                <w:color w:val="000000"/>
                <w:kern w:val="0"/>
                <w:sz w:val="24"/>
                <w:szCs w:val="24"/>
              </w:rPr>
              <w:t>0</w:t>
            </w:r>
          </w:p>
        </w:tc>
        <w:tc>
          <w:tcPr>
            <w:tcW w:w="2435"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0</w:t>
            </w:r>
          </w:p>
        </w:tc>
      </w:tr>
      <w:tr>
        <w:tblPrEx>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noWrap/>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widowControl/>
              <w:spacing w:line="500" w:lineRule="exact"/>
              <w:jc w:val="center"/>
              <w:rPr>
                <w:rFonts w:asciiTheme="minorEastAsia" w:hAnsiTheme="minorEastAsia" w:cstheme="minorEastAsia"/>
                <w:sz w:val="24"/>
                <w:szCs w:val="24"/>
              </w:rPr>
            </w:pPr>
            <w:r>
              <w:rPr>
                <w:rFonts w:hint="eastAsia" w:asciiTheme="minorEastAsia" w:hAnsiTheme="minorEastAsia" w:cstheme="minorEastAsia"/>
                <w:color w:val="000000"/>
                <w:kern w:val="0"/>
                <w:sz w:val="24"/>
                <w:szCs w:val="24"/>
              </w:rPr>
              <w:t>0</w:t>
            </w:r>
          </w:p>
        </w:tc>
        <w:tc>
          <w:tcPr>
            <w:tcW w:w="2435"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widowControl/>
              <w:spacing w:line="500" w:lineRule="exact"/>
              <w:jc w:val="center"/>
              <w:rPr>
                <w:rFonts w:asciiTheme="minorEastAsia" w:hAnsiTheme="minorEastAsia" w:cstheme="minorEastAsia"/>
                <w:sz w:val="24"/>
                <w:szCs w:val="24"/>
              </w:rPr>
            </w:pPr>
            <w:r>
              <w:rPr>
                <w:rFonts w:hint="eastAsia" w:asciiTheme="minorEastAsia" w:hAnsiTheme="minorEastAsia" w:cstheme="minorEastAsia"/>
                <w:color w:val="000000"/>
                <w:kern w:val="0"/>
                <w:sz w:val="24"/>
                <w:szCs w:val="24"/>
              </w:rPr>
              <w:t>0</w:t>
            </w:r>
          </w:p>
        </w:tc>
        <w:tc>
          <w:tcPr>
            <w:tcW w:w="2435"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0</w:t>
            </w:r>
          </w:p>
        </w:tc>
      </w:tr>
      <w:tr>
        <w:tblPrEx>
          <w:tblCellMar>
            <w:top w:w="15" w:type="dxa"/>
            <w:left w:w="15" w:type="dxa"/>
            <w:bottom w:w="15" w:type="dxa"/>
            <w:right w:w="15"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C6D9F1"/>
            <w:noWrap/>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rPr>
              <w:t>第二十条第（五）项</w:t>
            </w:r>
          </w:p>
        </w:tc>
      </w:tr>
      <w:tr>
        <w:tblPrEx>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noWrap/>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noWrap/>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rPr>
              <w:t>本年处理决定数量</w:t>
            </w:r>
          </w:p>
        </w:tc>
      </w:tr>
      <w:tr>
        <w:tblPrEx>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noWrap/>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2032</w:t>
            </w:r>
          </w:p>
        </w:tc>
      </w:tr>
      <w:tr>
        <w:tblPrEx>
          <w:tblCellMar>
            <w:top w:w="15" w:type="dxa"/>
            <w:left w:w="15" w:type="dxa"/>
            <w:bottom w:w="15" w:type="dxa"/>
            <w:right w:w="15"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C6D9F1"/>
            <w:noWrap/>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rPr>
              <w:t>第二十条第（六）项</w:t>
            </w:r>
          </w:p>
        </w:tc>
      </w:tr>
      <w:tr>
        <w:tblPrEx>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noWrap/>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noWrap/>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rPr>
              <w:t>本年处理决定数量</w:t>
            </w:r>
          </w:p>
        </w:tc>
      </w:tr>
      <w:tr>
        <w:tblPrEx>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noWrap/>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noWrap/>
            <w:tcMar>
              <w:top w:w="0" w:type="dxa"/>
              <w:left w:w="57" w:type="dxa"/>
              <w:bottom w:w="0" w:type="dxa"/>
              <w:right w:w="57" w:type="dxa"/>
            </w:tcMar>
            <w:vAlign w:val="center"/>
          </w:tcPr>
          <w:p>
            <w:pPr>
              <w:widowControl/>
              <w:spacing w:line="500" w:lineRule="exact"/>
              <w:jc w:val="center"/>
            </w:pPr>
            <w:r>
              <w:rPr>
                <w:rFonts w:hint="eastAsia" w:ascii="宋体"/>
                <w:sz w:val="24"/>
                <w:szCs w:val="24"/>
              </w:rPr>
              <w:t>10</w:t>
            </w:r>
          </w:p>
        </w:tc>
      </w:tr>
      <w:tr>
        <w:tblPrEx>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noWrap/>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noWrap/>
            <w:tcMar>
              <w:top w:w="0" w:type="dxa"/>
              <w:left w:w="57" w:type="dxa"/>
              <w:bottom w:w="0" w:type="dxa"/>
              <w:right w:w="57" w:type="dxa"/>
            </w:tcMar>
            <w:vAlign w:val="center"/>
          </w:tcPr>
          <w:p>
            <w:pPr>
              <w:widowControl/>
              <w:spacing w:line="500" w:lineRule="exact"/>
              <w:jc w:val="center"/>
            </w:pPr>
            <w:r>
              <w:rPr>
                <w:rFonts w:hint="eastAsia" w:ascii="宋体"/>
                <w:sz w:val="24"/>
                <w:szCs w:val="24"/>
              </w:rPr>
              <w:t>0</w:t>
            </w:r>
          </w:p>
        </w:tc>
      </w:tr>
      <w:tr>
        <w:tblPrEx>
          <w:tblCellMar>
            <w:top w:w="15" w:type="dxa"/>
            <w:left w:w="15" w:type="dxa"/>
            <w:bottom w:w="15" w:type="dxa"/>
            <w:right w:w="15"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C6D9F1"/>
            <w:noWrap/>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rPr>
              <w:t>第二十条第（八）项</w:t>
            </w:r>
          </w:p>
        </w:tc>
      </w:tr>
      <w:tr>
        <w:tblPrEx>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noWrap/>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noWrap/>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rPr>
              <w:t>本年收费金额（单位：万元）</w:t>
            </w:r>
          </w:p>
        </w:tc>
      </w:tr>
      <w:tr>
        <w:tblPrEx>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noWrap/>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r>
    </w:tbl>
    <w:p>
      <w:pPr>
        <w:autoSpaceDE w:val="0"/>
        <w:spacing w:line="560" w:lineRule="exact"/>
        <w:ind w:firstLine="640"/>
        <w:rPr>
          <w:rFonts w:ascii="黑体" w:hAnsi="黑体" w:eastAsia="黑体" w:cs="宋体"/>
          <w:color w:val="000000"/>
          <w:kern w:val="0"/>
          <w:sz w:val="32"/>
          <w:szCs w:val="32"/>
        </w:rPr>
      </w:pPr>
      <w:r>
        <w:rPr>
          <w:rFonts w:ascii="黑体" w:hAnsi="黑体" w:eastAsia="黑体" w:cs="宋体"/>
          <w:color w:val="000000"/>
          <w:kern w:val="0"/>
          <w:sz w:val="32"/>
          <w:szCs w:val="32"/>
        </w:rPr>
        <w:t>二、主动公开政府信息情况</w:t>
      </w:r>
    </w:p>
    <w:p>
      <w:pPr>
        <w:widowControl/>
        <w:shd w:val="clear" w:color="auto" w:fill="FFFFFF"/>
        <w:spacing w:line="360" w:lineRule="atLeast"/>
        <w:ind w:firstLine="566" w:firstLineChars="177"/>
        <w:rPr>
          <w:rFonts w:ascii="黑体" w:hAnsi="黑体" w:eastAsia="黑体" w:cs="宋体"/>
          <w:color w:val="000000"/>
          <w:kern w:val="0"/>
          <w:sz w:val="32"/>
          <w:szCs w:val="32"/>
        </w:rPr>
      </w:pPr>
      <w:r>
        <w:rPr>
          <w:rFonts w:ascii="黑体" w:hAnsi="黑体" w:eastAsia="黑体" w:cs="宋体"/>
          <w:color w:val="000000"/>
          <w:kern w:val="0"/>
          <w:sz w:val="32"/>
          <w:szCs w:val="32"/>
        </w:rPr>
        <w:t>三、收到和处理政府信息公开申请情况</w:t>
      </w:r>
    </w:p>
    <w:tbl>
      <w:tblPr>
        <w:tblStyle w:val="8"/>
        <w:tblW w:w="9916" w:type="dxa"/>
        <w:tblInd w:w="-459"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553"/>
        <w:gridCol w:w="959"/>
        <w:gridCol w:w="3406"/>
        <w:gridCol w:w="714"/>
        <w:gridCol w:w="714"/>
        <w:gridCol w:w="714"/>
        <w:gridCol w:w="714"/>
        <w:gridCol w:w="714"/>
        <w:gridCol w:w="714"/>
        <w:gridCol w:w="71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918" w:type="dxa"/>
            <w:gridSpan w:val="3"/>
            <w:vMerge w:val="restart"/>
            <w:tcBorders>
              <w:top w:val="single" w:color="auto" w:sz="8" w:space="0"/>
              <w:left w:val="single" w:color="auto" w:sz="8" w:space="0"/>
              <w:bottom w:val="outset" w:color="auto" w:sz="8" w:space="0"/>
              <w:right w:val="single" w:color="auto" w:sz="8" w:space="0"/>
            </w:tcBorders>
            <w:noWrap/>
            <w:tcMar>
              <w:top w:w="0" w:type="dxa"/>
              <w:left w:w="108" w:type="dxa"/>
              <w:bottom w:w="0" w:type="dxa"/>
              <w:right w:w="108" w:type="dxa"/>
            </w:tcMar>
            <w:vAlign w:val="center"/>
          </w:tcPr>
          <w:p>
            <w:pPr>
              <w:widowControl/>
              <w:spacing w:line="500" w:lineRule="exact"/>
              <w:jc w:val="left"/>
            </w:pPr>
            <w:r>
              <w:rPr>
                <w:rFonts w:hint="eastAsia" w:ascii="楷体" w:hAnsi="楷体" w:eastAsia="楷体" w:cs="楷体"/>
                <w:kern w:val="0"/>
                <w:sz w:val="20"/>
                <w:szCs w:val="20"/>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tcMar>
              <w:top w:w="0" w:type="dxa"/>
              <w:left w:w="57" w:type="dxa"/>
              <w:bottom w:w="0" w:type="dxa"/>
              <w:right w:w="57" w:type="dxa"/>
            </w:tcMar>
            <w:vAlign w:val="center"/>
          </w:tcPr>
          <w:p>
            <w:pPr>
              <w:widowControl/>
              <w:spacing w:line="500" w:lineRule="exact"/>
              <w:jc w:val="center"/>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918" w:type="dxa"/>
            <w:gridSpan w:val="3"/>
            <w:vMerge w:val="continue"/>
            <w:tcBorders>
              <w:top w:val="single" w:color="auto" w:sz="8" w:space="0"/>
              <w:left w:val="single" w:color="auto" w:sz="8" w:space="0"/>
              <w:bottom w:val="outset" w:color="auto" w:sz="8" w:space="0"/>
              <w:right w:val="single" w:color="auto" w:sz="8" w:space="0"/>
            </w:tcBorders>
            <w:noWrap/>
            <w:tcMar>
              <w:top w:w="0" w:type="dxa"/>
              <w:left w:w="108" w:type="dxa"/>
              <w:bottom w:w="0" w:type="dxa"/>
              <w:right w:w="108" w:type="dxa"/>
            </w:tcMar>
            <w:vAlign w:val="center"/>
          </w:tcPr>
          <w:p>
            <w:pPr>
              <w:spacing w:line="500" w:lineRule="exact"/>
              <w:rPr>
                <w:rFonts w:ascii="宋体"/>
                <w:sz w:val="24"/>
                <w:szCs w:val="24"/>
              </w:rPr>
            </w:pPr>
          </w:p>
        </w:tc>
        <w:tc>
          <w:tcPr>
            <w:tcW w:w="714" w:type="dxa"/>
            <w:vMerge w:val="restart"/>
            <w:tcBorders>
              <w:top w:val="nil"/>
              <w:left w:val="nil"/>
              <w:bottom w:val="single" w:color="auto" w:sz="8" w:space="0"/>
              <w:right w:val="single" w:color="auto" w:sz="8" w:space="0"/>
            </w:tcBorders>
            <w:noWrap/>
            <w:tcMar>
              <w:top w:w="0" w:type="dxa"/>
              <w:left w:w="57" w:type="dxa"/>
              <w:bottom w:w="0" w:type="dxa"/>
              <w:right w:w="57" w:type="dxa"/>
            </w:tcMar>
            <w:vAlign w:val="center"/>
          </w:tcPr>
          <w:p>
            <w:pPr>
              <w:widowControl/>
              <w:spacing w:line="500" w:lineRule="exact"/>
              <w:jc w:val="center"/>
            </w:pPr>
            <w:r>
              <w:rPr>
                <w:rFonts w:hint="eastAsia" w:ascii="宋体" w:hAnsi="宋体" w:eastAsia="宋体" w:cs="宋体"/>
                <w:kern w:val="0"/>
                <w:sz w:val="20"/>
                <w:szCs w:val="20"/>
              </w:rPr>
              <w:t>自然人</w:t>
            </w:r>
          </w:p>
        </w:tc>
        <w:tc>
          <w:tcPr>
            <w:tcW w:w="3570" w:type="dxa"/>
            <w:gridSpan w:val="5"/>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00" w:lineRule="exact"/>
              <w:jc w:val="center"/>
            </w:pPr>
            <w:r>
              <w:rPr>
                <w:rFonts w:hint="eastAsia" w:ascii="宋体" w:hAnsi="宋体" w:eastAsia="宋体" w:cs="宋体"/>
                <w:kern w:val="0"/>
                <w:sz w:val="20"/>
                <w:szCs w:val="20"/>
              </w:rPr>
              <w:t>法人或其他组织</w:t>
            </w:r>
          </w:p>
        </w:tc>
        <w:tc>
          <w:tcPr>
            <w:tcW w:w="714" w:type="dxa"/>
            <w:vMerge w:val="restart"/>
            <w:tcBorders>
              <w:top w:val="single" w:color="auto" w:sz="8" w:space="0"/>
              <w:left w:val="nil"/>
              <w:bottom w:val="outset" w:color="auto" w:sz="8" w:space="0"/>
              <w:right w:val="single" w:color="auto" w:sz="8" w:space="0"/>
            </w:tcBorders>
            <w:noWrap/>
            <w:tcMar>
              <w:top w:w="0" w:type="dxa"/>
              <w:left w:w="108" w:type="dxa"/>
              <w:bottom w:w="0" w:type="dxa"/>
              <w:right w:w="108" w:type="dxa"/>
            </w:tcMar>
            <w:vAlign w:val="center"/>
          </w:tcPr>
          <w:p>
            <w:pPr>
              <w:widowControl/>
              <w:spacing w:line="500" w:lineRule="exact"/>
              <w:jc w:val="center"/>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918" w:type="dxa"/>
            <w:gridSpan w:val="3"/>
            <w:vMerge w:val="continue"/>
            <w:tcBorders>
              <w:top w:val="single" w:color="auto" w:sz="8" w:space="0"/>
              <w:left w:val="single" w:color="auto" w:sz="8" w:space="0"/>
              <w:bottom w:val="outset" w:color="auto" w:sz="8" w:space="0"/>
              <w:right w:val="single" w:color="auto" w:sz="8" w:space="0"/>
            </w:tcBorders>
            <w:noWrap/>
            <w:tcMar>
              <w:top w:w="0" w:type="dxa"/>
              <w:left w:w="108" w:type="dxa"/>
              <w:bottom w:w="0" w:type="dxa"/>
              <w:right w:w="108" w:type="dxa"/>
            </w:tcMar>
            <w:vAlign w:val="center"/>
          </w:tcPr>
          <w:p>
            <w:pPr>
              <w:spacing w:line="500" w:lineRule="exact"/>
              <w:rPr>
                <w:rFonts w:ascii="宋体"/>
                <w:sz w:val="24"/>
                <w:szCs w:val="24"/>
              </w:rPr>
            </w:pPr>
          </w:p>
        </w:tc>
        <w:tc>
          <w:tcPr>
            <w:tcW w:w="714" w:type="dxa"/>
            <w:vMerge w:val="continue"/>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714" w:type="dxa"/>
            <w:tcBorders>
              <w:top w:val="single" w:color="auto" w:sz="4"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00" w:lineRule="exact"/>
              <w:jc w:val="center"/>
            </w:pPr>
            <w:r>
              <w:rPr>
                <w:rFonts w:hint="eastAsia" w:ascii="宋体" w:hAnsi="宋体" w:eastAsia="宋体" w:cs="宋体"/>
                <w:kern w:val="0"/>
                <w:sz w:val="20"/>
                <w:szCs w:val="20"/>
              </w:rPr>
              <w:t>商业</w:t>
            </w:r>
          </w:p>
          <w:p>
            <w:pPr>
              <w:widowControl/>
              <w:spacing w:line="500" w:lineRule="exact"/>
              <w:jc w:val="center"/>
            </w:pPr>
            <w:r>
              <w:rPr>
                <w:rFonts w:hint="eastAsia" w:ascii="宋体" w:hAnsi="宋体" w:eastAsia="宋体" w:cs="宋体"/>
                <w:kern w:val="0"/>
                <w:sz w:val="20"/>
                <w:szCs w:val="20"/>
              </w:rPr>
              <w:t>企业</w:t>
            </w:r>
          </w:p>
        </w:tc>
        <w:tc>
          <w:tcPr>
            <w:tcW w:w="714" w:type="dxa"/>
            <w:tcBorders>
              <w:top w:val="single" w:color="auto" w:sz="4"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00" w:lineRule="exact"/>
              <w:jc w:val="center"/>
            </w:pPr>
            <w:r>
              <w:rPr>
                <w:rFonts w:hint="eastAsia" w:ascii="宋体" w:hAnsi="宋体" w:eastAsia="宋体" w:cs="宋体"/>
                <w:kern w:val="0"/>
                <w:sz w:val="20"/>
                <w:szCs w:val="20"/>
              </w:rPr>
              <w:t>科研</w:t>
            </w:r>
          </w:p>
          <w:p>
            <w:pPr>
              <w:widowControl/>
              <w:spacing w:line="500" w:lineRule="exact"/>
              <w:jc w:val="center"/>
            </w:pPr>
            <w:r>
              <w:rPr>
                <w:rFonts w:hint="eastAsia" w:ascii="宋体" w:hAnsi="宋体" w:eastAsia="宋体" w:cs="宋体"/>
                <w:kern w:val="0"/>
                <w:sz w:val="20"/>
                <w:szCs w:val="20"/>
              </w:rPr>
              <w:t>机构</w:t>
            </w:r>
          </w:p>
        </w:tc>
        <w:tc>
          <w:tcPr>
            <w:tcW w:w="71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00" w:lineRule="exact"/>
              <w:jc w:val="center"/>
            </w:pPr>
            <w:r>
              <w:rPr>
                <w:rFonts w:hint="eastAsia" w:ascii="宋体" w:hAnsi="宋体" w:eastAsia="宋体" w:cs="宋体"/>
                <w:kern w:val="0"/>
                <w:sz w:val="20"/>
                <w:szCs w:val="20"/>
              </w:rPr>
              <w:t>社会公益组织</w:t>
            </w:r>
          </w:p>
        </w:tc>
        <w:tc>
          <w:tcPr>
            <w:tcW w:w="71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00" w:lineRule="exact"/>
              <w:jc w:val="center"/>
            </w:pPr>
            <w:r>
              <w:rPr>
                <w:rFonts w:hint="eastAsia" w:ascii="宋体" w:hAnsi="宋体" w:eastAsia="宋体" w:cs="宋体"/>
                <w:kern w:val="0"/>
                <w:sz w:val="20"/>
                <w:szCs w:val="20"/>
              </w:rPr>
              <w:t>法律服务机构</w:t>
            </w:r>
          </w:p>
        </w:tc>
        <w:tc>
          <w:tcPr>
            <w:tcW w:w="71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00" w:lineRule="exact"/>
              <w:jc w:val="center"/>
            </w:pPr>
            <w:r>
              <w:rPr>
                <w:rFonts w:hint="eastAsia" w:ascii="宋体" w:hAnsi="宋体" w:eastAsia="宋体" w:cs="宋体"/>
                <w:kern w:val="0"/>
                <w:sz w:val="20"/>
                <w:szCs w:val="20"/>
              </w:rPr>
              <w:t>其他</w:t>
            </w:r>
          </w:p>
        </w:tc>
        <w:tc>
          <w:tcPr>
            <w:tcW w:w="714" w:type="dxa"/>
            <w:vMerge w:val="continue"/>
            <w:tcBorders>
              <w:top w:val="single" w:color="auto" w:sz="8" w:space="0"/>
              <w:left w:val="nil"/>
              <w:bottom w:val="outset" w:color="auto" w:sz="8" w:space="0"/>
              <w:right w:val="single" w:color="auto" w:sz="8" w:space="0"/>
            </w:tcBorders>
            <w:noWrap/>
            <w:tcMar>
              <w:top w:w="0" w:type="dxa"/>
              <w:left w:w="108" w:type="dxa"/>
              <w:bottom w:w="0" w:type="dxa"/>
              <w:right w:w="108" w:type="dxa"/>
            </w:tcMar>
            <w:vAlign w:val="center"/>
          </w:tcPr>
          <w:p>
            <w:pPr>
              <w:spacing w:line="500" w:lineRule="exact"/>
              <w:rPr>
                <w:rFonts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918" w:type="dxa"/>
            <w:gridSpan w:val="3"/>
            <w:tcBorders>
              <w:top w:val="single" w:color="auto" w:sz="4" w:space="0"/>
              <w:left w:val="single" w:color="auto" w:sz="8" w:space="0"/>
              <w:bottom w:val="single" w:color="auto" w:sz="8" w:space="0"/>
              <w:right w:val="single" w:color="auto" w:sz="8" w:space="0"/>
            </w:tcBorders>
            <w:noWrap/>
            <w:tcMar>
              <w:top w:w="0" w:type="dxa"/>
              <w:left w:w="57" w:type="dxa"/>
              <w:bottom w:w="0" w:type="dxa"/>
              <w:right w:w="57" w:type="dxa"/>
            </w:tcMar>
            <w:vAlign w:val="center"/>
          </w:tcPr>
          <w:p>
            <w:pPr>
              <w:widowControl/>
              <w:spacing w:line="500" w:lineRule="exact"/>
              <w:jc w:val="left"/>
            </w:pPr>
            <w:r>
              <w:rPr>
                <w:rFonts w:hint="eastAsia" w:ascii="宋体" w:hAnsi="宋体" w:eastAsia="宋体" w:cs="宋体"/>
                <w:kern w:val="0"/>
                <w:sz w:val="20"/>
                <w:szCs w:val="20"/>
              </w:rPr>
              <w:t>一、本年新收政府信息公开申请数量</w:t>
            </w:r>
          </w:p>
        </w:tc>
        <w:tc>
          <w:tcPr>
            <w:tcW w:w="714" w:type="dxa"/>
            <w:tcBorders>
              <w:top w:val="single" w:color="auto" w:sz="4" w:space="0"/>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single" w:color="auto" w:sz="4" w:space="0"/>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single" w:color="auto" w:sz="4" w:space="0"/>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single" w:color="auto" w:sz="4" w:space="0"/>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single" w:color="auto" w:sz="4" w:space="0"/>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single" w:color="auto" w:sz="4" w:space="0"/>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single" w:color="auto" w:sz="4" w:space="0"/>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918" w:type="dxa"/>
            <w:gridSpan w:val="3"/>
            <w:tcBorders>
              <w:top w:val="nil"/>
              <w:left w:val="single" w:color="auto" w:sz="8" w:space="0"/>
              <w:bottom w:val="single" w:color="auto" w:sz="8" w:space="0"/>
              <w:right w:val="single" w:color="auto" w:sz="8" w:space="0"/>
            </w:tcBorders>
            <w:noWrap/>
            <w:tcMar>
              <w:top w:w="0" w:type="dxa"/>
              <w:left w:w="57" w:type="dxa"/>
              <w:bottom w:w="0" w:type="dxa"/>
              <w:right w:w="57" w:type="dxa"/>
            </w:tcMar>
            <w:vAlign w:val="center"/>
          </w:tcPr>
          <w:p>
            <w:pPr>
              <w:widowControl/>
              <w:spacing w:line="500" w:lineRule="exact"/>
              <w:jc w:val="left"/>
            </w:pPr>
            <w:r>
              <w:rPr>
                <w:rFonts w:hint="eastAsia" w:ascii="宋体" w:hAnsi="宋体" w:eastAsia="宋体" w:cs="宋体"/>
                <w:kern w:val="0"/>
                <w:sz w:val="20"/>
                <w:szCs w:val="20"/>
              </w:rPr>
              <w:t>二、上年结转政府信息公开申请数量</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53" w:type="dxa"/>
            <w:vMerge w:val="restart"/>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pPr>
              <w:widowControl/>
              <w:spacing w:line="500" w:lineRule="exact"/>
              <w:jc w:val="left"/>
            </w:pPr>
            <w:r>
              <w:rPr>
                <w:rFonts w:hint="eastAsia" w:ascii="宋体" w:hAnsi="宋体" w:eastAsia="宋体" w:cs="宋体"/>
                <w:kern w:val="0"/>
                <w:sz w:val="20"/>
                <w:szCs w:val="20"/>
              </w:rPr>
              <w:t>三、本年度办理结果</w:t>
            </w:r>
          </w:p>
        </w:tc>
        <w:tc>
          <w:tcPr>
            <w:tcW w:w="4365" w:type="dxa"/>
            <w:gridSpan w:val="2"/>
            <w:tcBorders>
              <w:top w:val="nil"/>
              <w:left w:val="nil"/>
              <w:bottom w:val="single" w:color="auto" w:sz="8" w:space="0"/>
              <w:right w:val="single" w:color="auto" w:sz="8" w:space="0"/>
            </w:tcBorders>
            <w:noWrap/>
            <w:tcMar>
              <w:top w:w="0" w:type="dxa"/>
              <w:left w:w="57" w:type="dxa"/>
              <w:bottom w:w="0" w:type="dxa"/>
              <w:right w:w="57" w:type="dxa"/>
            </w:tcMar>
            <w:vAlign w:val="center"/>
          </w:tcPr>
          <w:p>
            <w:pPr>
              <w:widowControl/>
              <w:spacing w:line="500" w:lineRule="exact"/>
              <w:jc w:val="left"/>
            </w:pPr>
            <w:r>
              <w:rPr>
                <w:rFonts w:hint="eastAsia" w:ascii="宋体" w:hAnsi="宋体" w:eastAsia="宋体" w:cs="宋体"/>
                <w:kern w:val="0"/>
                <w:sz w:val="20"/>
                <w:szCs w:val="20"/>
              </w:rPr>
              <w:t>（一）予以公开</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single" w:color="auto" w:sz="8" w:space="0"/>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53"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4365" w:type="dxa"/>
            <w:gridSpan w:val="2"/>
            <w:tcBorders>
              <w:top w:val="nil"/>
              <w:left w:val="nil"/>
              <w:bottom w:val="single" w:color="auto" w:sz="8" w:space="0"/>
              <w:right w:val="single" w:color="auto" w:sz="8" w:space="0"/>
            </w:tcBorders>
            <w:noWrap/>
            <w:tcMar>
              <w:top w:w="0" w:type="dxa"/>
              <w:left w:w="57" w:type="dxa"/>
              <w:bottom w:w="0" w:type="dxa"/>
              <w:right w:w="57" w:type="dxa"/>
            </w:tcMar>
            <w:vAlign w:val="center"/>
          </w:tcPr>
          <w:p>
            <w:pPr>
              <w:widowControl/>
              <w:spacing w:line="500" w:lineRule="exact"/>
              <w:jc w:val="left"/>
            </w:pPr>
            <w:r>
              <w:rPr>
                <w:rFonts w:hint="eastAsia" w:ascii="宋体" w:hAnsi="宋体" w:eastAsia="宋体" w:cs="宋体"/>
                <w:kern w:val="0"/>
                <w:sz w:val="20"/>
                <w:szCs w:val="20"/>
              </w:rPr>
              <w:t>（二）部分公开</w:t>
            </w:r>
            <w:r>
              <w:rPr>
                <w:rFonts w:hint="eastAsia" w:ascii="楷体" w:hAnsi="楷体" w:eastAsia="楷体" w:cs="楷体"/>
                <w:kern w:val="0"/>
                <w:sz w:val="20"/>
                <w:szCs w:val="20"/>
              </w:rPr>
              <w:t>（区分处理的，只计这一情形，不计其他情形）</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53"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959" w:type="dxa"/>
            <w:vMerge w:val="restart"/>
            <w:tcBorders>
              <w:top w:val="nil"/>
              <w:left w:val="nil"/>
              <w:bottom w:val="outset" w:color="auto" w:sz="8" w:space="0"/>
              <w:right w:val="single" w:color="auto" w:sz="8" w:space="0"/>
            </w:tcBorders>
            <w:noWrap/>
            <w:tcMar>
              <w:top w:w="0" w:type="dxa"/>
              <w:left w:w="57" w:type="dxa"/>
              <w:bottom w:w="0" w:type="dxa"/>
              <w:right w:w="57" w:type="dxa"/>
            </w:tcMar>
            <w:vAlign w:val="center"/>
          </w:tcPr>
          <w:p>
            <w:pPr>
              <w:widowControl/>
              <w:spacing w:line="500" w:lineRule="exact"/>
              <w:jc w:val="left"/>
            </w:pPr>
            <w:r>
              <w:rPr>
                <w:rFonts w:hint="eastAsia" w:ascii="宋体" w:hAnsi="宋体" w:eastAsia="宋体" w:cs="宋体"/>
                <w:kern w:val="0"/>
                <w:sz w:val="20"/>
                <w:szCs w:val="20"/>
              </w:rPr>
              <w:t>（三）不予公开</w:t>
            </w:r>
          </w:p>
        </w:tc>
        <w:tc>
          <w:tcPr>
            <w:tcW w:w="3406" w:type="dxa"/>
            <w:tcBorders>
              <w:top w:val="nil"/>
              <w:left w:val="nil"/>
              <w:bottom w:val="single" w:color="auto" w:sz="8" w:space="0"/>
              <w:right w:val="single" w:color="auto" w:sz="8" w:space="0"/>
            </w:tcBorders>
            <w:noWrap/>
            <w:tcMar>
              <w:top w:w="0" w:type="dxa"/>
              <w:left w:w="57" w:type="dxa"/>
              <w:bottom w:w="0" w:type="dxa"/>
              <w:right w:w="57" w:type="dxa"/>
            </w:tcMar>
          </w:tcPr>
          <w:p>
            <w:pPr>
              <w:widowControl/>
              <w:spacing w:line="500" w:lineRule="exact"/>
              <w:jc w:val="left"/>
            </w:pPr>
            <w:r>
              <w:rPr>
                <w:rFonts w:hint="eastAsia" w:ascii="宋体" w:hAnsi="宋体" w:eastAsia="宋体" w:cs="宋体"/>
                <w:kern w:val="0"/>
                <w:sz w:val="20"/>
                <w:szCs w:val="20"/>
              </w:rPr>
              <w:t>1.属于国家秘密</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single" w:color="auto" w:sz="8" w:space="0"/>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53"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959" w:type="dxa"/>
            <w:vMerge w:val="continue"/>
            <w:tcBorders>
              <w:top w:val="nil"/>
              <w:left w:val="nil"/>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3406" w:type="dxa"/>
            <w:tcBorders>
              <w:top w:val="nil"/>
              <w:left w:val="nil"/>
              <w:bottom w:val="single" w:color="auto" w:sz="8" w:space="0"/>
              <w:right w:val="single" w:color="auto" w:sz="8" w:space="0"/>
            </w:tcBorders>
            <w:noWrap/>
            <w:tcMar>
              <w:top w:w="0" w:type="dxa"/>
              <w:left w:w="57" w:type="dxa"/>
              <w:bottom w:w="0" w:type="dxa"/>
              <w:right w:w="57" w:type="dxa"/>
            </w:tcMar>
          </w:tcPr>
          <w:p>
            <w:pPr>
              <w:widowControl/>
              <w:spacing w:line="500" w:lineRule="exact"/>
              <w:jc w:val="left"/>
            </w:pPr>
            <w:r>
              <w:rPr>
                <w:rFonts w:hint="eastAsia" w:ascii="宋体" w:hAnsi="宋体" w:eastAsia="宋体" w:cs="宋体"/>
                <w:kern w:val="0"/>
                <w:sz w:val="20"/>
                <w:szCs w:val="20"/>
              </w:rPr>
              <w:t>2.其他法律行政法规禁止公开</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53"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959" w:type="dxa"/>
            <w:vMerge w:val="continue"/>
            <w:tcBorders>
              <w:top w:val="nil"/>
              <w:left w:val="nil"/>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3406" w:type="dxa"/>
            <w:tcBorders>
              <w:top w:val="nil"/>
              <w:left w:val="nil"/>
              <w:bottom w:val="single" w:color="auto" w:sz="8" w:space="0"/>
              <w:right w:val="single" w:color="auto" w:sz="8" w:space="0"/>
            </w:tcBorders>
            <w:noWrap/>
            <w:tcMar>
              <w:top w:w="0" w:type="dxa"/>
              <w:left w:w="57" w:type="dxa"/>
              <w:bottom w:w="0" w:type="dxa"/>
              <w:right w:w="57" w:type="dxa"/>
            </w:tcMar>
          </w:tcPr>
          <w:p>
            <w:pPr>
              <w:widowControl/>
              <w:spacing w:line="500" w:lineRule="exact"/>
              <w:jc w:val="left"/>
            </w:pPr>
            <w:r>
              <w:rPr>
                <w:rFonts w:hint="eastAsia" w:ascii="宋体" w:hAnsi="宋体" w:eastAsia="宋体" w:cs="宋体"/>
                <w:kern w:val="0"/>
                <w:sz w:val="20"/>
                <w:szCs w:val="20"/>
              </w:rPr>
              <w:t>3.危及“三安全一稳定”</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53"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959" w:type="dxa"/>
            <w:vMerge w:val="continue"/>
            <w:tcBorders>
              <w:top w:val="nil"/>
              <w:left w:val="nil"/>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3406" w:type="dxa"/>
            <w:tcBorders>
              <w:top w:val="nil"/>
              <w:left w:val="nil"/>
              <w:bottom w:val="single" w:color="auto" w:sz="8" w:space="0"/>
              <w:right w:val="single" w:color="auto" w:sz="8" w:space="0"/>
            </w:tcBorders>
            <w:noWrap/>
            <w:tcMar>
              <w:top w:w="0" w:type="dxa"/>
              <w:left w:w="57" w:type="dxa"/>
              <w:bottom w:w="0" w:type="dxa"/>
              <w:right w:w="57" w:type="dxa"/>
            </w:tcMar>
          </w:tcPr>
          <w:p>
            <w:pPr>
              <w:widowControl/>
              <w:spacing w:line="500" w:lineRule="exact"/>
              <w:jc w:val="left"/>
            </w:pPr>
            <w:r>
              <w:rPr>
                <w:rFonts w:hint="eastAsia" w:ascii="宋体" w:hAnsi="宋体" w:eastAsia="宋体" w:cs="宋体"/>
                <w:kern w:val="0"/>
                <w:sz w:val="20"/>
                <w:szCs w:val="20"/>
              </w:rPr>
              <w:t>4.保护第三方合法权益</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53"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959" w:type="dxa"/>
            <w:vMerge w:val="continue"/>
            <w:tcBorders>
              <w:top w:val="nil"/>
              <w:left w:val="nil"/>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3406" w:type="dxa"/>
            <w:tcBorders>
              <w:top w:val="nil"/>
              <w:left w:val="nil"/>
              <w:bottom w:val="single" w:color="auto" w:sz="8" w:space="0"/>
              <w:right w:val="single" w:color="auto" w:sz="8" w:space="0"/>
            </w:tcBorders>
            <w:noWrap/>
            <w:tcMar>
              <w:top w:w="0" w:type="dxa"/>
              <w:left w:w="57" w:type="dxa"/>
              <w:bottom w:w="0" w:type="dxa"/>
              <w:right w:w="57" w:type="dxa"/>
            </w:tcMar>
          </w:tcPr>
          <w:p>
            <w:pPr>
              <w:widowControl/>
              <w:spacing w:line="500" w:lineRule="exact"/>
              <w:jc w:val="left"/>
            </w:pPr>
            <w:r>
              <w:rPr>
                <w:rFonts w:hint="eastAsia" w:ascii="宋体" w:hAnsi="宋体" w:eastAsia="宋体" w:cs="宋体"/>
                <w:kern w:val="0"/>
                <w:sz w:val="20"/>
                <w:szCs w:val="20"/>
              </w:rPr>
              <w:t>5.属于三类内部事务信息</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53"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959" w:type="dxa"/>
            <w:vMerge w:val="continue"/>
            <w:tcBorders>
              <w:top w:val="nil"/>
              <w:left w:val="nil"/>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3406" w:type="dxa"/>
            <w:tcBorders>
              <w:top w:val="nil"/>
              <w:left w:val="nil"/>
              <w:bottom w:val="single" w:color="auto" w:sz="8" w:space="0"/>
              <w:right w:val="single" w:color="auto" w:sz="8" w:space="0"/>
            </w:tcBorders>
            <w:noWrap/>
            <w:tcMar>
              <w:top w:w="0" w:type="dxa"/>
              <w:left w:w="57" w:type="dxa"/>
              <w:bottom w:w="0" w:type="dxa"/>
              <w:right w:w="57" w:type="dxa"/>
            </w:tcMar>
          </w:tcPr>
          <w:p>
            <w:pPr>
              <w:widowControl/>
              <w:spacing w:line="500" w:lineRule="exact"/>
              <w:jc w:val="left"/>
            </w:pPr>
            <w:r>
              <w:rPr>
                <w:rFonts w:hint="eastAsia" w:ascii="宋体" w:hAnsi="宋体" w:eastAsia="宋体" w:cs="宋体"/>
                <w:kern w:val="0"/>
                <w:sz w:val="20"/>
                <w:szCs w:val="20"/>
              </w:rPr>
              <w:t>6.属于四类过程性信息</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53"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959" w:type="dxa"/>
            <w:vMerge w:val="continue"/>
            <w:tcBorders>
              <w:top w:val="nil"/>
              <w:left w:val="nil"/>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3406" w:type="dxa"/>
            <w:tcBorders>
              <w:top w:val="nil"/>
              <w:left w:val="nil"/>
              <w:bottom w:val="single" w:color="auto" w:sz="8" w:space="0"/>
              <w:right w:val="single" w:color="auto" w:sz="8" w:space="0"/>
            </w:tcBorders>
            <w:noWrap/>
            <w:tcMar>
              <w:top w:w="0" w:type="dxa"/>
              <w:left w:w="57" w:type="dxa"/>
              <w:bottom w:w="0" w:type="dxa"/>
              <w:right w:w="57" w:type="dxa"/>
            </w:tcMar>
          </w:tcPr>
          <w:p>
            <w:pPr>
              <w:widowControl/>
              <w:spacing w:line="500" w:lineRule="exact"/>
              <w:jc w:val="left"/>
            </w:pPr>
            <w:r>
              <w:rPr>
                <w:rFonts w:hint="eastAsia" w:ascii="宋体" w:hAnsi="宋体" w:eastAsia="宋体" w:cs="宋体"/>
                <w:kern w:val="0"/>
                <w:sz w:val="20"/>
                <w:szCs w:val="20"/>
              </w:rPr>
              <w:t>7.属于行政执法案卷</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53"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959" w:type="dxa"/>
            <w:vMerge w:val="continue"/>
            <w:tcBorders>
              <w:top w:val="nil"/>
              <w:left w:val="nil"/>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3406" w:type="dxa"/>
            <w:tcBorders>
              <w:top w:val="nil"/>
              <w:left w:val="nil"/>
              <w:bottom w:val="single" w:color="auto" w:sz="8" w:space="0"/>
              <w:right w:val="single" w:color="auto" w:sz="8" w:space="0"/>
            </w:tcBorders>
            <w:noWrap/>
            <w:tcMar>
              <w:top w:w="0" w:type="dxa"/>
              <w:left w:w="57" w:type="dxa"/>
              <w:bottom w:w="0" w:type="dxa"/>
              <w:right w:w="57" w:type="dxa"/>
            </w:tcMar>
          </w:tcPr>
          <w:p>
            <w:pPr>
              <w:widowControl/>
              <w:spacing w:line="500" w:lineRule="exact"/>
              <w:jc w:val="left"/>
            </w:pPr>
            <w:r>
              <w:rPr>
                <w:rFonts w:hint="eastAsia" w:ascii="宋体" w:hAnsi="宋体" w:eastAsia="宋体" w:cs="宋体"/>
                <w:kern w:val="0"/>
                <w:sz w:val="20"/>
                <w:szCs w:val="20"/>
              </w:rPr>
              <w:t>8.属于行政查询事项</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53"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959" w:type="dxa"/>
            <w:vMerge w:val="restart"/>
            <w:tcBorders>
              <w:top w:val="nil"/>
              <w:left w:val="nil"/>
              <w:bottom w:val="outset" w:color="auto" w:sz="8" w:space="0"/>
              <w:right w:val="single" w:color="auto" w:sz="8" w:space="0"/>
            </w:tcBorders>
            <w:noWrap/>
            <w:tcMar>
              <w:top w:w="0" w:type="dxa"/>
              <w:left w:w="57" w:type="dxa"/>
              <w:bottom w:w="0" w:type="dxa"/>
              <w:right w:w="57" w:type="dxa"/>
            </w:tcMar>
            <w:vAlign w:val="center"/>
          </w:tcPr>
          <w:p>
            <w:pPr>
              <w:widowControl/>
              <w:spacing w:line="500" w:lineRule="exact"/>
              <w:jc w:val="left"/>
            </w:pPr>
            <w:r>
              <w:rPr>
                <w:rFonts w:hint="eastAsia" w:ascii="宋体" w:hAnsi="宋体" w:eastAsia="宋体" w:cs="宋体"/>
                <w:kern w:val="0"/>
                <w:sz w:val="20"/>
                <w:szCs w:val="20"/>
              </w:rPr>
              <w:t>（四）无法提供</w:t>
            </w:r>
          </w:p>
        </w:tc>
        <w:tc>
          <w:tcPr>
            <w:tcW w:w="3406" w:type="dxa"/>
            <w:tcBorders>
              <w:top w:val="nil"/>
              <w:left w:val="nil"/>
              <w:bottom w:val="single" w:color="auto" w:sz="8" w:space="0"/>
              <w:right w:val="single" w:color="auto" w:sz="8" w:space="0"/>
            </w:tcBorders>
            <w:noWrap/>
            <w:tcMar>
              <w:top w:w="0" w:type="dxa"/>
              <w:left w:w="57" w:type="dxa"/>
              <w:bottom w:w="0" w:type="dxa"/>
              <w:right w:w="57" w:type="dxa"/>
            </w:tcMar>
          </w:tcPr>
          <w:p>
            <w:pPr>
              <w:widowControl/>
              <w:spacing w:line="500" w:lineRule="exact"/>
              <w:jc w:val="left"/>
            </w:pPr>
            <w:r>
              <w:rPr>
                <w:rFonts w:hint="eastAsia" w:ascii="宋体" w:hAnsi="宋体" w:eastAsia="宋体" w:cs="宋体"/>
                <w:kern w:val="0"/>
                <w:sz w:val="20"/>
                <w:szCs w:val="20"/>
              </w:rPr>
              <w:t>1.本机关不掌握相关政府信息</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53"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959" w:type="dxa"/>
            <w:vMerge w:val="continue"/>
            <w:tcBorders>
              <w:top w:val="nil"/>
              <w:left w:val="nil"/>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3406" w:type="dxa"/>
            <w:tcBorders>
              <w:top w:val="nil"/>
              <w:left w:val="nil"/>
              <w:bottom w:val="single" w:color="auto" w:sz="8" w:space="0"/>
              <w:right w:val="single" w:color="auto" w:sz="8" w:space="0"/>
            </w:tcBorders>
            <w:noWrap/>
            <w:tcMar>
              <w:top w:w="0" w:type="dxa"/>
              <w:left w:w="57" w:type="dxa"/>
              <w:bottom w:w="0" w:type="dxa"/>
              <w:right w:w="57" w:type="dxa"/>
            </w:tcMar>
          </w:tcPr>
          <w:p>
            <w:pPr>
              <w:widowControl/>
              <w:spacing w:line="500" w:lineRule="exact"/>
              <w:jc w:val="left"/>
            </w:pPr>
            <w:r>
              <w:rPr>
                <w:rFonts w:hint="eastAsia" w:ascii="宋体" w:hAnsi="宋体" w:eastAsia="宋体" w:cs="宋体"/>
                <w:kern w:val="0"/>
                <w:sz w:val="20"/>
                <w:szCs w:val="20"/>
              </w:rPr>
              <w:t>2.没有现成信息需要另行制作</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53"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959" w:type="dxa"/>
            <w:vMerge w:val="continue"/>
            <w:tcBorders>
              <w:top w:val="nil"/>
              <w:left w:val="nil"/>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3406" w:type="dxa"/>
            <w:tcBorders>
              <w:top w:val="nil"/>
              <w:left w:val="nil"/>
              <w:bottom w:val="single" w:color="auto" w:sz="8" w:space="0"/>
              <w:right w:val="single" w:color="auto" w:sz="8" w:space="0"/>
            </w:tcBorders>
            <w:noWrap/>
            <w:tcMar>
              <w:top w:w="0" w:type="dxa"/>
              <w:left w:w="57" w:type="dxa"/>
              <w:bottom w:w="0" w:type="dxa"/>
              <w:right w:w="57" w:type="dxa"/>
            </w:tcMar>
          </w:tcPr>
          <w:p>
            <w:pPr>
              <w:widowControl/>
              <w:spacing w:line="500" w:lineRule="exact"/>
              <w:jc w:val="left"/>
            </w:pPr>
            <w:r>
              <w:rPr>
                <w:rFonts w:hint="eastAsia" w:ascii="宋体" w:hAnsi="宋体" w:eastAsia="宋体" w:cs="宋体"/>
                <w:kern w:val="0"/>
                <w:sz w:val="20"/>
                <w:szCs w:val="20"/>
              </w:rPr>
              <w:t>3.补正后申请内容仍不明确</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53"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959" w:type="dxa"/>
            <w:vMerge w:val="restart"/>
            <w:tcBorders>
              <w:top w:val="nil"/>
              <w:left w:val="nil"/>
              <w:bottom w:val="outset" w:color="auto" w:sz="8" w:space="0"/>
              <w:right w:val="single" w:color="auto" w:sz="8" w:space="0"/>
            </w:tcBorders>
            <w:noWrap/>
            <w:tcMar>
              <w:top w:w="0" w:type="dxa"/>
              <w:left w:w="57" w:type="dxa"/>
              <w:bottom w:w="0" w:type="dxa"/>
              <w:right w:w="57" w:type="dxa"/>
            </w:tcMar>
            <w:vAlign w:val="center"/>
          </w:tcPr>
          <w:p>
            <w:pPr>
              <w:widowControl/>
              <w:spacing w:line="500" w:lineRule="exact"/>
              <w:jc w:val="left"/>
            </w:pPr>
            <w:r>
              <w:rPr>
                <w:rFonts w:hint="eastAsia" w:ascii="宋体" w:hAnsi="宋体" w:eastAsia="宋体" w:cs="宋体"/>
                <w:kern w:val="0"/>
                <w:sz w:val="20"/>
                <w:szCs w:val="20"/>
              </w:rPr>
              <w:t>（五）不予处理</w:t>
            </w:r>
          </w:p>
        </w:tc>
        <w:tc>
          <w:tcPr>
            <w:tcW w:w="3406" w:type="dxa"/>
            <w:tcBorders>
              <w:top w:val="nil"/>
              <w:left w:val="nil"/>
              <w:bottom w:val="single" w:color="auto" w:sz="8" w:space="0"/>
              <w:right w:val="single" w:color="auto" w:sz="8" w:space="0"/>
            </w:tcBorders>
            <w:noWrap/>
            <w:tcMar>
              <w:top w:w="0" w:type="dxa"/>
              <w:left w:w="57" w:type="dxa"/>
              <w:bottom w:w="0" w:type="dxa"/>
              <w:right w:w="57" w:type="dxa"/>
            </w:tcMar>
          </w:tcPr>
          <w:p>
            <w:pPr>
              <w:widowControl/>
              <w:spacing w:line="500" w:lineRule="exact"/>
              <w:jc w:val="left"/>
            </w:pPr>
            <w:r>
              <w:rPr>
                <w:rFonts w:hint="eastAsia" w:ascii="宋体" w:hAnsi="宋体" w:eastAsia="宋体" w:cs="宋体"/>
                <w:kern w:val="0"/>
                <w:sz w:val="20"/>
                <w:szCs w:val="20"/>
              </w:rPr>
              <w:t>1.信访举报投诉类申请</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53"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959" w:type="dxa"/>
            <w:vMerge w:val="continue"/>
            <w:tcBorders>
              <w:top w:val="nil"/>
              <w:left w:val="nil"/>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3406" w:type="dxa"/>
            <w:tcBorders>
              <w:top w:val="nil"/>
              <w:left w:val="nil"/>
              <w:bottom w:val="single" w:color="auto" w:sz="8" w:space="0"/>
              <w:right w:val="single" w:color="auto" w:sz="8" w:space="0"/>
            </w:tcBorders>
            <w:noWrap/>
            <w:tcMar>
              <w:top w:w="0" w:type="dxa"/>
              <w:left w:w="57" w:type="dxa"/>
              <w:bottom w:w="0" w:type="dxa"/>
              <w:right w:w="57" w:type="dxa"/>
            </w:tcMar>
          </w:tcPr>
          <w:p>
            <w:pPr>
              <w:widowControl/>
              <w:spacing w:line="500" w:lineRule="exact"/>
              <w:jc w:val="left"/>
            </w:pPr>
            <w:r>
              <w:rPr>
                <w:rFonts w:hint="eastAsia" w:ascii="宋体" w:hAnsi="宋体" w:eastAsia="宋体" w:cs="宋体"/>
                <w:kern w:val="0"/>
                <w:sz w:val="20"/>
                <w:szCs w:val="20"/>
              </w:rPr>
              <w:t>2.重复申请</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53"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959" w:type="dxa"/>
            <w:vMerge w:val="continue"/>
            <w:tcBorders>
              <w:top w:val="nil"/>
              <w:left w:val="nil"/>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3406" w:type="dxa"/>
            <w:tcBorders>
              <w:top w:val="nil"/>
              <w:left w:val="nil"/>
              <w:bottom w:val="single" w:color="auto" w:sz="8" w:space="0"/>
              <w:right w:val="single" w:color="auto" w:sz="8" w:space="0"/>
            </w:tcBorders>
            <w:noWrap/>
            <w:tcMar>
              <w:top w:w="0" w:type="dxa"/>
              <w:left w:w="57" w:type="dxa"/>
              <w:bottom w:w="0" w:type="dxa"/>
              <w:right w:w="57" w:type="dxa"/>
            </w:tcMar>
          </w:tcPr>
          <w:p>
            <w:pPr>
              <w:widowControl/>
              <w:spacing w:line="500" w:lineRule="exact"/>
              <w:jc w:val="left"/>
            </w:pPr>
            <w:r>
              <w:rPr>
                <w:rFonts w:hint="eastAsia" w:ascii="宋体" w:hAnsi="宋体" w:eastAsia="宋体" w:cs="宋体"/>
                <w:kern w:val="0"/>
                <w:sz w:val="20"/>
                <w:szCs w:val="20"/>
              </w:rPr>
              <w:t>3.要求提供公开出版物</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53"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959" w:type="dxa"/>
            <w:vMerge w:val="continue"/>
            <w:tcBorders>
              <w:top w:val="nil"/>
              <w:left w:val="nil"/>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3406" w:type="dxa"/>
            <w:tcBorders>
              <w:top w:val="nil"/>
              <w:left w:val="nil"/>
              <w:bottom w:val="single" w:color="auto" w:sz="8" w:space="0"/>
              <w:right w:val="single" w:color="auto" w:sz="8" w:space="0"/>
            </w:tcBorders>
            <w:noWrap/>
            <w:tcMar>
              <w:top w:w="0" w:type="dxa"/>
              <w:left w:w="57" w:type="dxa"/>
              <w:bottom w:w="0" w:type="dxa"/>
              <w:right w:w="57" w:type="dxa"/>
            </w:tcMar>
          </w:tcPr>
          <w:p>
            <w:pPr>
              <w:widowControl/>
              <w:spacing w:line="500" w:lineRule="exact"/>
              <w:jc w:val="left"/>
            </w:pPr>
            <w:r>
              <w:rPr>
                <w:rFonts w:hint="eastAsia" w:ascii="宋体" w:hAnsi="宋体" w:eastAsia="宋体" w:cs="宋体"/>
                <w:kern w:val="0"/>
                <w:sz w:val="20"/>
                <w:szCs w:val="20"/>
              </w:rPr>
              <w:t>4.无正当理由大量反复申请</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9" w:hRule="atLeast"/>
        </w:trPr>
        <w:tc>
          <w:tcPr>
            <w:tcW w:w="553"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959" w:type="dxa"/>
            <w:vMerge w:val="continue"/>
            <w:tcBorders>
              <w:top w:val="nil"/>
              <w:left w:val="nil"/>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3406" w:type="dxa"/>
            <w:tcBorders>
              <w:top w:val="nil"/>
              <w:left w:val="nil"/>
              <w:bottom w:val="outset" w:color="auto" w:sz="8" w:space="0"/>
              <w:right w:val="single" w:color="auto" w:sz="8" w:space="0"/>
            </w:tcBorders>
            <w:noWrap/>
            <w:tcMar>
              <w:top w:w="0" w:type="dxa"/>
              <w:left w:w="57" w:type="dxa"/>
              <w:bottom w:w="0" w:type="dxa"/>
              <w:right w:w="57" w:type="dxa"/>
            </w:tcMar>
            <w:vAlign w:val="center"/>
          </w:tcPr>
          <w:p>
            <w:pPr>
              <w:widowControl/>
              <w:spacing w:line="500" w:lineRule="exact"/>
            </w:pPr>
            <w:r>
              <w:rPr>
                <w:rFonts w:hint="eastAsia" w:ascii="宋体" w:hAnsi="宋体" w:eastAsia="宋体" w:cs="宋体"/>
                <w:kern w:val="0"/>
                <w:sz w:val="20"/>
                <w:szCs w:val="20"/>
              </w:rPr>
              <w:t>5.要求行政机关确认或重新出具已获取信息</w:t>
            </w:r>
          </w:p>
        </w:tc>
        <w:tc>
          <w:tcPr>
            <w:tcW w:w="714" w:type="dxa"/>
            <w:tcBorders>
              <w:top w:val="nil"/>
              <w:left w:val="nil"/>
              <w:bottom w:val="outset"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outset"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outset"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outset"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outset"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outset"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nil"/>
              <w:left w:val="nil"/>
              <w:bottom w:val="outset"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53"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959" w:type="dxa"/>
            <w:vMerge w:val="restart"/>
            <w:tcBorders>
              <w:top w:val="outset" w:color="auto" w:sz="8" w:space="0"/>
              <w:left w:val="nil"/>
              <w:bottom w:val="outset" w:color="auto" w:sz="8" w:space="0"/>
              <w:right w:val="single" w:color="auto" w:sz="8" w:space="0"/>
            </w:tcBorders>
            <w:noWrap/>
            <w:tcMar>
              <w:top w:w="0" w:type="dxa"/>
              <w:left w:w="57" w:type="dxa"/>
              <w:bottom w:w="0" w:type="dxa"/>
              <w:right w:w="57" w:type="dxa"/>
            </w:tcMar>
            <w:vAlign w:val="center"/>
          </w:tcPr>
          <w:p>
            <w:pPr>
              <w:widowControl/>
              <w:spacing w:line="500" w:lineRule="exact"/>
              <w:jc w:val="left"/>
            </w:pPr>
            <w:r>
              <w:rPr>
                <w:rFonts w:hint="eastAsia" w:ascii="宋体" w:hAnsi="宋体" w:eastAsia="宋体" w:cs="宋体"/>
                <w:kern w:val="0"/>
                <w:sz w:val="20"/>
                <w:szCs w:val="20"/>
              </w:rPr>
              <w:t>（六）其他处理</w:t>
            </w:r>
          </w:p>
        </w:tc>
        <w:tc>
          <w:tcPr>
            <w:tcW w:w="3406" w:type="dxa"/>
            <w:tcBorders>
              <w:top w:val="single" w:color="auto" w:sz="4" w:space="0"/>
              <w:left w:val="nil"/>
              <w:bottom w:val="single" w:color="auto" w:sz="8" w:space="0"/>
              <w:right w:val="single" w:color="auto" w:sz="8" w:space="0"/>
            </w:tcBorders>
            <w:noWrap/>
            <w:tcMar>
              <w:top w:w="0" w:type="dxa"/>
              <w:left w:w="57" w:type="dxa"/>
              <w:bottom w:w="0" w:type="dxa"/>
              <w:right w:w="57" w:type="dxa"/>
            </w:tcMar>
            <w:vAlign w:val="center"/>
          </w:tcPr>
          <w:p>
            <w:pPr>
              <w:widowControl/>
              <w:spacing w:line="500" w:lineRule="exact"/>
            </w:pPr>
            <w:r>
              <w:rPr>
                <w:rFonts w:hint="eastAsia" w:ascii="宋体" w:hAnsi="宋体" w:eastAsia="宋体" w:cs="宋体"/>
                <w:kern w:val="0"/>
                <w:sz w:val="20"/>
                <w:szCs w:val="20"/>
              </w:rPr>
              <w:t>1.申请人无正当理由逾期不补正、行政机关不再处理其政府信息公开申请</w:t>
            </w:r>
          </w:p>
        </w:tc>
        <w:tc>
          <w:tcPr>
            <w:tcW w:w="714" w:type="dxa"/>
            <w:tcBorders>
              <w:top w:val="single" w:color="auto" w:sz="4" w:space="0"/>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single" w:color="auto" w:sz="4" w:space="0"/>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single" w:color="auto" w:sz="4" w:space="0"/>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single" w:color="auto" w:sz="4" w:space="0"/>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single" w:color="auto" w:sz="4" w:space="0"/>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single" w:color="auto" w:sz="4" w:space="0"/>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single" w:color="auto" w:sz="4" w:space="0"/>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53"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959" w:type="dxa"/>
            <w:vMerge w:val="continue"/>
            <w:tcBorders>
              <w:top w:val="outset" w:color="auto" w:sz="8" w:space="0"/>
              <w:left w:val="nil"/>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3406" w:type="dxa"/>
            <w:tcBorders>
              <w:top w:val="single" w:color="auto" w:sz="4" w:space="0"/>
              <w:left w:val="nil"/>
              <w:bottom w:val="single" w:color="auto" w:sz="8" w:space="0"/>
              <w:right w:val="single" w:color="auto" w:sz="8" w:space="0"/>
            </w:tcBorders>
            <w:noWrap/>
            <w:tcMar>
              <w:top w:w="0" w:type="dxa"/>
              <w:left w:w="57" w:type="dxa"/>
              <w:bottom w:w="0" w:type="dxa"/>
              <w:right w:w="57" w:type="dxa"/>
            </w:tcMar>
            <w:vAlign w:val="center"/>
          </w:tcPr>
          <w:p>
            <w:pPr>
              <w:widowControl/>
              <w:spacing w:line="500" w:lineRule="exact"/>
            </w:pPr>
            <w:r>
              <w:rPr>
                <w:rFonts w:hint="eastAsia" w:ascii="宋体" w:hAnsi="宋体" w:eastAsia="宋体" w:cs="宋体"/>
                <w:kern w:val="0"/>
                <w:sz w:val="20"/>
                <w:szCs w:val="20"/>
              </w:rPr>
              <w:t>2.申请人逾期未按收费通知要求缴纳费用、行政机关不再处理其政府信息公开申请</w:t>
            </w:r>
          </w:p>
        </w:tc>
        <w:tc>
          <w:tcPr>
            <w:tcW w:w="714" w:type="dxa"/>
            <w:tcBorders>
              <w:top w:val="single" w:color="auto" w:sz="4" w:space="0"/>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single" w:color="auto" w:sz="4" w:space="0"/>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single" w:color="auto" w:sz="4" w:space="0"/>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single" w:color="auto" w:sz="4" w:space="0"/>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single" w:color="auto" w:sz="4" w:space="0"/>
              <w:left w:val="nil"/>
              <w:bottom w:val="single" w:color="auto" w:sz="8" w:space="0"/>
              <w:right w:val="single" w:color="auto" w:sz="4"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single" w:color="auto" w:sz="4" w:space="0"/>
              <w:left w:val="single" w:color="auto" w:sz="4" w:space="0"/>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c>
          <w:tcPr>
            <w:tcW w:w="714" w:type="dxa"/>
            <w:tcBorders>
              <w:top w:val="single" w:color="auto" w:sz="4" w:space="0"/>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sz w:val="24"/>
                <w:szCs w:val="24"/>
              </w:rPr>
            </w:pPr>
            <w:r>
              <w:rPr>
                <w:rFonts w:hint="eastAsia" w:ascii="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53"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959" w:type="dxa"/>
            <w:vMerge w:val="continue"/>
            <w:tcBorders>
              <w:top w:val="outset" w:color="auto" w:sz="8" w:space="0"/>
              <w:left w:val="nil"/>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3406"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widowControl/>
              <w:spacing w:line="500" w:lineRule="exact"/>
              <w:jc w:val="left"/>
            </w:pPr>
            <w:r>
              <w:rPr>
                <w:rFonts w:hint="eastAsia" w:ascii="宋体" w:hAnsi="宋体" w:eastAsia="宋体" w:cs="宋体"/>
                <w:kern w:val="0"/>
                <w:sz w:val="20"/>
                <w:szCs w:val="20"/>
              </w:rPr>
              <w:t>3.其他</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53"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pPr>
              <w:spacing w:line="500" w:lineRule="exact"/>
              <w:rPr>
                <w:rFonts w:ascii="宋体"/>
                <w:sz w:val="24"/>
                <w:szCs w:val="24"/>
              </w:rPr>
            </w:pPr>
          </w:p>
        </w:tc>
        <w:tc>
          <w:tcPr>
            <w:tcW w:w="4365" w:type="dxa"/>
            <w:gridSpan w:val="2"/>
            <w:tcBorders>
              <w:top w:val="nil"/>
              <w:left w:val="nil"/>
              <w:bottom w:val="single" w:color="auto" w:sz="8" w:space="0"/>
              <w:right w:val="single" w:color="auto" w:sz="8" w:space="0"/>
            </w:tcBorders>
            <w:noWrap/>
            <w:tcMar>
              <w:top w:w="0" w:type="dxa"/>
              <w:left w:w="57" w:type="dxa"/>
              <w:bottom w:w="0" w:type="dxa"/>
              <w:right w:w="57" w:type="dxa"/>
            </w:tcMar>
            <w:vAlign w:val="center"/>
          </w:tcPr>
          <w:p>
            <w:pPr>
              <w:widowControl/>
              <w:spacing w:line="500" w:lineRule="exact"/>
              <w:jc w:val="left"/>
            </w:pPr>
            <w:r>
              <w:rPr>
                <w:rFonts w:hint="eastAsia" w:ascii="宋体" w:hAnsi="宋体" w:eastAsia="宋体" w:cs="宋体"/>
                <w:kern w:val="0"/>
                <w:sz w:val="20"/>
                <w:szCs w:val="20"/>
              </w:rPr>
              <w:t>（七）总计</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918" w:type="dxa"/>
            <w:gridSpan w:val="3"/>
            <w:tcBorders>
              <w:top w:val="nil"/>
              <w:left w:val="single" w:color="auto" w:sz="8" w:space="0"/>
              <w:bottom w:val="single" w:color="auto" w:sz="8" w:space="0"/>
              <w:right w:val="single" w:color="auto" w:sz="8" w:space="0"/>
            </w:tcBorders>
            <w:noWrap/>
            <w:tcMar>
              <w:top w:w="0" w:type="dxa"/>
              <w:left w:w="57" w:type="dxa"/>
              <w:bottom w:w="0" w:type="dxa"/>
              <w:right w:w="57" w:type="dxa"/>
            </w:tcMar>
            <w:vAlign w:val="center"/>
          </w:tcPr>
          <w:p>
            <w:pPr>
              <w:widowControl/>
              <w:spacing w:line="500" w:lineRule="exact"/>
              <w:jc w:val="left"/>
            </w:pPr>
            <w:r>
              <w:rPr>
                <w:rFonts w:hint="eastAsia" w:ascii="宋体" w:hAnsi="宋体" w:eastAsia="宋体" w:cs="宋体"/>
                <w:kern w:val="0"/>
                <w:sz w:val="20"/>
                <w:szCs w:val="20"/>
              </w:rPr>
              <w:t>四、结转下年度继续办理</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0</w:t>
            </w:r>
          </w:p>
        </w:tc>
        <w:tc>
          <w:tcPr>
            <w:tcW w:w="71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0</w:t>
            </w:r>
          </w:p>
        </w:tc>
      </w:tr>
    </w:tbl>
    <w:p>
      <w:pPr>
        <w:widowControl/>
        <w:shd w:val="clear" w:color="auto" w:fill="FFFFFF"/>
        <w:spacing w:line="560" w:lineRule="exact"/>
        <w:ind w:firstLine="566" w:firstLineChars="177"/>
        <w:rPr>
          <w:rFonts w:ascii="黑体" w:hAnsi="黑体" w:eastAsia="黑体" w:cs="宋体"/>
          <w:color w:val="000000"/>
          <w:kern w:val="0"/>
          <w:sz w:val="32"/>
          <w:szCs w:val="32"/>
        </w:rPr>
      </w:pPr>
      <w:r>
        <w:rPr>
          <w:rFonts w:hint="eastAsia" w:ascii="黑体" w:hAnsi="黑体" w:eastAsia="黑体" w:cs="宋体"/>
          <w:color w:val="000000"/>
          <w:kern w:val="0"/>
          <w:sz w:val="32"/>
          <w:szCs w:val="32"/>
        </w:rPr>
        <w:t>四、政府信息公开行政复议、行政诉讼情况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kern w:val="0"/>
                <w:sz w:val="20"/>
                <w:szCs w:val="20"/>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kern w:val="0"/>
                <w:sz w:val="20"/>
                <w:szCs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szCs w:val="24"/>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szCs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color w:val="000000"/>
                <w:kern w:val="0"/>
                <w:sz w:val="20"/>
                <w:szCs w:val="20"/>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bl>
    <w:p>
      <w:pPr>
        <w:widowControl/>
        <w:shd w:val="clear" w:color="auto" w:fill="FFFFFF"/>
        <w:spacing w:line="560" w:lineRule="exact"/>
        <w:ind w:firstLine="585" w:firstLineChars="183"/>
        <w:rPr>
          <w:rFonts w:ascii="黑体" w:hAnsi="黑体" w:eastAsia="黑体" w:cs="宋体"/>
          <w:color w:val="000000"/>
          <w:kern w:val="0"/>
          <w:sz w:val="32"/>
          <w:szCs w:val="32"/>
        </w:rPr>
      </w:pPr>
      <w:r>
        <w:rPr>
          <w:rFonts w:hint="eastAsia" w:ascii="黑体" w:hAnsi="黑体" w:eastAsia="黑体" w:cs="宋体"/>
          <w:color w:val="000000"/>
          <w:kern w:val="0"/>
          <w:sz w:val="32"/>
          <w:szCs w:val="32"/>
        </w:rPr>
        <w:t>五、存在的主要问题及改进情况</w:t>
      </w:r>
    </w:p>
    <w:p>
      <w:pPr>
        <w:pStyle w:val="7"/>
        <w:shd w:val="clear" w:color="auto" w:fill="FFFFFF"/>
        <w:spacing w:line="56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存在的问题：一是政务公开业务培训较少，工作人员业务水平有待提高</w:t>
      </w:r>
      <w:r>
        <w:rPr>
          <w:rFonts w:ascii="仿宋_GB2312" w:hAnsi="微软雅黑" w:eastAsia="仿宋_GB2312"/>
          <w:color w:val="000000"/>
          <w:sz w:val="32"/>
          <w:szCs w:val="32"/>
        </w:rPr>
        <w:t>。二是政务公开制度不够完善，存在栏目更新不够及时、规范的问题。</w:t>
      </w:r>
    </w:p>
    <w:p>
      <w:pPr>
        <w:pStyle w:val="7"/>
        <w:shd w:val="clear" w:color="auto" w:fill="FFFFFF"/>
        <w:spacing w:line="56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针对存在问题，从以下方面进行改进：</w:t>
      </w:r>
    </w:p>
    <w:p>
      <w:pPr>
        <w:pStyle w:val="7"/>
        <w:shd w:val="clear" w:color="auto" w:fill="FFFFFF"/>
        <w:spacing w:line="56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一是加强工作人员业务培训。将上级培训与自主学习有机结合，进一步提升政务公开的质量。</w:t>
      </w:r>
    </w:p>
    <w:p>
      <w:pPr>
        <w:pStyle w:val="7"/>
        <w:shd w:val="clear" w:color="auto" w:fill="FFFFFF"/>
        <w:spacing w:line="56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二是健全政务公开相关制度。严把政务信息质量关，推进政务公开工作制度化、科学化、规范化。</w:t>
      </w:r>
    </w:p>
    <w:p>
      <w:pPr>
        <w:widowControl/>
        <w:shd w:val="clear" w:color="auto" w:fill="FFFFFF"/>
        <w:spacing w:line="560" w:lineRule="exact"/>
        <w:ind w:firstLine="640" w:firstLineChars="200"/>
        <w:rPr>
          <w:rFonts w:ascii="黑体" w:hAnsi="黑体" w:eastAsia="黑体" w:cs="宋体"/>
          <w:color w:val="000000"/>
          <w:kern w:val="0"/>
          <w:sz w:val="32"/>
          <w:szCs w:val="32"/>
        </w:rPr>
      </w:pPr>
      <w:r>
        <w:rPr>
          <w:rFonts w:ascii="黑体" w:hAnsi="黑体" w:eastAsia="黑体" w:cs="宋体"/>
          <w:color w:val="000000"/>
          <w:kern w:val="0"/>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认真贯彻执行国务院办公厅《政府信息公开信息处理费管理办法》和《关于政府信息公开处理费管理有关事项的通知》，2024年未收取信息处理费。</w:t>
      </w:r>
    </w:p>
    <w:p>
      <w:pPr>
        <w:widowControl/>
        <w:shd w:val="clear" w:color="auto" w:fill="FFFFFF"/>
        <w:spacing w:line="560" w:lineRule="exact"/>
        <w:ind w:firstLine="640" w:firstLineChars="200"/>
        <w:jc w:val="left"/>
        <w:rPr>
          <w:rFonts w:ascii="仿宋_GB2312" w:hAnsi="仿宋" w:eastAsia="仿宋_GB2312"/>
          <w:sz w:val="32"/>
          <w:szCs w:val="32"/>
        </w:rPr>
      </w:pPr>
      <w:bookmarkStart w:id="0" w:name="_GoBack"/>
      <w:bookmarkEnd w:id="0"/>
    </w:p>
    <w:sectPr>
      <w:footerReference r:id="rId3" w:type="default"/>
      <w:pgSz w:w="11906" w:h="16838"/>
      <w:pgMar w:top="2154" w:right="1474" w:bottom="2041"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2"/>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国标黑体">
    <w:panose1 w:val="02000500000000000000"/>
    <w:charset w:val="86"/>
    <w:family w:val="auto"/>
    <w:pitch w:val="default"/>
    <w:sig w:usb0="00000001" w:usb1="08000000" w:usb2="00000000" w:usb3="00000000" w:csb0="00060007"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sdt>
                <w:sdtPr>
                  <w:id w:val="2021653452"/>
                </w:sdtPr>
                <w:sdtContent>
                  <w:p>
                    <w:pPr>
                      <w:pStyle w:val="5"/>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4 -</w:t>
                    </w:r>
                    <w:r>
                      <w:rPr>
                        <w:rFonts w:hint="eastAsia" w:ascii="宋体" w:hAnsi="宋体" w:eastAsia="宋体" w:cs="宋体"/>
                        <w:sz w:val="28"/>
                        <w:szCs w:val="28"/>
                      </w:rPr>
                      <w:fldChar w:fldCharType="end"/>
                    </w:r>
                  </w:p>
                </w:sdtContent>
              </w:sdt>
              <w:p/>
            </w:txbxContent>
          </v:textbox>
        </v:shape>
      </w:pic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E0F6C"/>
    <w:multiLevelType w:val="singleLevel"/>
    <w:tmpl w:val="F4FE0F6C"/>
    <w:lvl w:ilvl="0" w:tentative="0">
      <w:start w:val="1"/>
      <w:numFmt w:val="chineseCounting"/>
      <w:suff w:val="nothing"/>
      <w:lvlText w:val="（%1）"/>
      <w:lvlJc w:val="left"/>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8"/>
  <w:noPunctuationKerning w:val="true"/>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U1NTc4MzQ4YmZkYTg0ZDNlMzhkZTlhMTQyY2VmNzMifQ=="/>
  </w:docVars>
  <w:rsids>
    <w:rsidRoot w:val="003A55F2"/>
    <w:rsid w:val="00007EDB"/>
    <w:rsid w:val="00025437"/>
    <w:rsid w:val="00081E63"/>
    <w:rsid w:val="00086475"/>
    <w:rsid w:val="000D300B"/>
    <w:rsid w:val="000E0EE3"/>
    <w:rsid w:val="000F179A"/>
    <w:rsid w:val="00116D65"/>
    <w:rsid w:val="001271AE"/>
    <w:rsid w:val="00140D28"/>
    <w:rsid w:val="00166F5B"/>
    <w:rsid w:val="00176DCC"/>
    <w:rsid w:val="0018246E"/>
    <w:rsid w:val="00193B25"/>
    <w:rsid w:val="001A3FCD"/>
    <w:rsid w:val="001D10AA"/>
    <w:rsid w:val="001D5685"/>
    <w:rsid w:val="001E2943"/>
    <w:rsid w:val="001F39A1"/>
    <w:rsid w:val="00224FEA"/>
    <w:rsid w:val="0026405B"/>
    <w:rsid w:val="00283BA4"/>
    <w:rsid w:val="00295785"/>
    <w:rsid w:val="002B66F3"/>
    <w:rsid w:val="00320080"/>
    <w:rsid w:val="00325634"/>
    <w:rsid w:val="00330152"/>
    <w:rsid w:val="003372B8"/>
    <w:rsid w:val="00350D34"/>
    <w:rsid w:val="00363B32"/>
    <w:rsid w:val="00375EC6"/>
    <w:rsid w:val="003A55F2"/>
    <w:rsid w:val="003B07EC"/>
    <w:rsid w:val="00424710"/>
    <w:rsid w:val="00435F7F"/>
    <w:rsid w:val="0044082B"/>
    <w:rsid w:val="00442F30"/>
    <w:rsid w:val="00501C27"/>
    <w:rsid w:val="00502A45"/>
    <w:rsid w:val="0053414F"/>
    <w:rsid w:val="00536447"/>
    <w:rsid w:val="00541FB9"/>
    <w:rsid w:val="0057630B"/>
    <w:rsid w:val="005935E5"/>
    <w:rsid w:val="005975DB"/>
    <w:rsid w:val="005A37EF"/>
    <w:rsid w:val="005B6CA0"/>
    <w:rsid w:val="005D4273"/>
    <w:rsid w:val="005D7E35"/>
    <w:rsid w:val="005F188D"/>
    <w:rsid w:val="0060459C"/>
    <w:rsid w:val="00610A04"/>
    <w:rsid w:val="0062555B"/>
    <w:rsid w:val="0065458F"/>
    <w:rsid w:val="00677B53"/>
    <w:rsid w:val="00691DE8"/>
    <w:rsid w:val="006A3FE5"/>
    <w:rsid w:val="00737741"/>
    <w:rsid w:val="00750205"/>
    <w:rsid w:val="00773A90"/>
    <w:rsid w:val="00774703"/>
    <w:rsid w:val="007A518A"/>
    <w:rsid w:val="007B065E"/>
    <w:rsid w:val="007C47F9"/>
    <w:rsid w:val="007C5CA4"/>
    <w:rsid w:val="007D760C"/>
    <w:rsid w:val="007E3675"/>
    <w:rsid w:val="007E5B5D"/>
    <w:rsid w:val="008018BC"/>
    <w:rsid w:val="00831F09"/>
    <w:rsid w:val="00894FC2"/>
    <w:rsid w:val="008C2A21"/>
    <w:rsid w:val="008C338A"/>
    <w:rsid w:val="009508ED"/>
    <w:rsid w:val="009A7142"/>
    <w:rsid w:val="009F2637"/>
    <w:rsid w:val="00A171B6"/>
    <w:rsid w:val="00B32267"/>
    <w:rsid w:val="00B3684E"/>
    <w:rsid w:val="00B53120"/>
    <w:rsid w:val="00B570CD"/>
    <w:rsid w:val="00B71028"/>
    <w:rsid w:val="00B91FB9"/>
    <w:rsid w:val="00C23AE5"/>
    <w:rsid w:val="00C249B4"/>
    <w:rsid w:val="00C369B4"/>
    <w:rsid w:val="00C9408D"/>
    <w:rsid w:val="00CB5038"/>
    <w:rsid w:val="00CB79D3"/>
    <w:rsid w:val="00CC6D57"/>
    <w:rsid w:val="00CF0E91"/>
    <w:rsid w:val="00CF4718"/>
    <w:rsid w:val="00D23E70"/>
    <w:rsid w:val="00D31987"/>
    <w:rsid w:val="00D415E4"/>
    <w:rsid w:val="00D548DF"/>
    <w:rsid w:val="00D862F7"/>
    <w:rsid w:val="00D87AA9"/>
    <w:rsid w:val="00DC4224"/>
    <w:rsid w:val="00DC5921"/>
    <w:rsid w:val="00DE0CDA"/>
    <w:rsid w:val="00DE7946"/>
    <w:rsid w:val="00E01117"/>
    <w:rsid w:val="00E20764"/>
    <w:rsid w:val="00E52B2D"/>
    <w:rsid w:val="00E80DA8"/>
    <w:rsid w:val="00E97EDC"/>
    <w:rsid w:val="00F24E29"/>
    <w:rsid w:val="00F27D25"/>
    <w:rsid w:val="00F33E6D"/>
    <w:rsid w:val="00FA1AFB"/>
    <w:rsid w:val="00FC1C36"/>
    <w:rsid w:val="01011432"/>
    <w:rsid w:val="02F63896"/>
    <w:rsid w:val="03534DDC"/>
    <w:rsid w:val="05F94DCD"/>
    <w:rsid w:val="06AC5B9A"/>
    <w:rsid w:val="06E57B23"/>
    <w:rsid w:val="072F0A80"/>
    <w:rsid w:val="08136576"/>
    <w:rsid w:val="085C1103"/>
    <w:rsid w:val="08EC29C7"/>
    <w:rsid w:val="0A4074B7"/>
    <w:rsid w:val="0A806B53"/>
    <w:rsid w:val="0BB90B86"/>
    <w:rsid w:val="0C6A75EB"/>
    <w:rsid w:val="0DDC692F"/>
    <w:rsid w:val="0DE10621"/>
    <w:rsid w:val="0DEE408A"/>
    <w:rsid w:val="0EA63619"/>
    <w:rsid w:val="0EC341CA"/>
    <w:rsid w:val="0EDE5647"/>
    <w:rsid w:val="129D315A"/>
    <w:rsid w:val="149A3FCA"/>
    <w:rsid w:val="17B664BD"/>
    <w:rsid w:val="19076AC4"/>
    <w:rsid w:val="1C0248C4"/>
    <w:rsid w:val="1C0328E9"/>
    <w:rsid w:val="1DEE1475"/>
    <w:rsid w:val="219A3A21"/>
    <w:rsid w:val="24A44A1A"/>
    <w:rsid w:val="257D48EC"/>
    <w:rsid w:val="278133BE"/>
    <w:rsid w:val="280451E0"/>
    <w:rsid w:val="29634D8F"/>
    <w:rsid w:val="29717618"/>
    <w:rsid w:val="2B0025D7"/>
    <w:rsid w:val="2E051C5F"/>
    <w:rsid w:val="2E67648D"/>
    <w:rsid w:val="33997A24"/>
    <w:rsid w:val="34062997"/>
    <w:rsid w:val="34714ABF"/>
    <w:rsid w:val="350F799A"/>
    <w:rsid w:val="353B7F51"/>
    <w:rsid w:val="357DE1BD"/>
    <w:rsid w:val="366235A4"/>
    <w:rsid w:val="36FF79BC"/>
    <w:rsid w:val="3824626D"/>
    <w:rsid w:val="384C6DF9"/>
    <w:rsid w:val="3A893A98"/>
    <w:rsid w:val="3AF42D92"/>
    <w:rsid w:val="3DFF615B"/>
    <w:rsid w:val="3E18561D"/>
    <w:rsid w:val="3E7F6EAD"/>
    <w:rsid w:val="40AB6522"/>
    <w:rsid w:val="437B69FF"/>
    <w:rsid w:val="43C70EB5"/>
    <w:rsid w:val="443B4643"/>
    <w:rsid w:val="45857508"/>
    <w:rsid w:val="45C04096"/>
    <w:rsid w:val="47FF4DF1"/>
    <w:rsid w:val="4B204BC7"/>
    <w:rsid w:val="4CB61310"/>
    <w:rsid w:val="4D8E68A4"/>
    <w:rsid w:val="4DD77DE1"/>
    <w:rsid w:val="4E1A6C50"/>
    <w:rsid w:val="4E467A51"/>
    <w:rsid w:val="4F991951"/>
    <w:rsid w:val="52963A56"/>
    <w:rsid w:val="580619A4"/>
    <w:rsid w:val="58EA7A6A"/>
    <w:rsid w:val="5B4041A6"/>
    <w:rsid w:val="5BC007FF"/>
    <w:rsid w:val="5D104BCA"/>
    <w:rsid w:val="5F261904"/>
    <w:rsid w:val="600521FC"/>
    <w:rsid w:val="63A40B93"/>
    <w:rsid w:val="66143365"/>
    <w:rsid w:val="68496DA4"/>
    <w:rsid w:val="68F16ADF"/>
    <w:rsid w:val="68FA7DE6"/>
    <w:rsid w:val="695E4ACD"/>
    <w:rsid w:val="6AE12D9C"/>
    <w:rsid w:val="6AFD4CB1"/>
    <w:rsid w:val="6B012DD5"/>
    <w:rsid w:val="6B0B591A"/>
    <w:rsid w:val="6D851EEC"/>
    <w:rsid w:val="6DEF848C"/>
    <w:rsid w:val="6DF22598"/>
    <w:rsid w:val="6F5D7020"/>
    <w:rsid w:val="6F6551A2"/>
    <w:rsid w:val="71F7EB68"/>
    <w:rsid w:val="72203F91"/>
    <w:rsid w:val="736E83CF"/>
    <w:rsid w:val="755D1B21"/>
    <w:rsid w:val="75720FA8"/>
    <w:rsid w:val="77AB5264"/>
    <w:rsid w:val="79554792"/>
    <w:rsid w:val="7B3C3014"/>
    <w:rsid w:val="7BFF3776"/>
    <w:rsid w:val="7C3A0CC1"/>
    <w:rsid w:val="7E5E9781"/>
    <w:rsid w:val="7F055DC7"/>
    <w:rsid w:val="7F57ABCD"/>
    <w:rsid w:val="7FBE2460"/>
    <w:rsid w:val="7FFE87FC"/>
    <w:rsid w:val="9BF7345E"/>
    <w:rsid w:val="9BFED9EB"/>
    <w:rsid w:val="9F7B1364"/>
    <w:rsid w:val="AFFF8094"/>
    <w:rsid w:val="BF63B5C4"/>
    <w:rsid w:val="BFBCCD50"/>
    <w:rsid w:val="BFDF9294"/>
    <w:rsid w:val="DC47D8B8"/>
    <w:rsid w:val="DF7579F7"/>
    <w:rsid w:val="E78C57BF"/>
    <w:rsid w:val="EDDEC465"/>
    <w:rsid w:val="EFDF22EC"/>
    <w:rsid w:val="F56F6B85"/>
    <w:rsid w:val="F7FBEA46"/>
    <w:rsid w:val="FEFE45A1"/>
    <w:rsid w:val="FF9F1FAC"/>
    <w:rsid w:val="FFB9D6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uppressAutoHyphens/>
    </w:pPr>
  </w:style>
  <w:style w:type="paragraph" w:styleId="3">
    <w:name w:val="Normal Indent"/>
    <w:basedOn w:val="1"/>
    <w:unhideWhenUsed/>
    <w:qFormat/>
    <w:uiPriority w:val="99"/>
    <w:pPr>
      <w:ind w:firstLine="420" w:firstLineChars="200"/>
    </w:pPr>
  </w:style>
  <w:style w:type="paragraph" w:styleId="4">
    <w:name w:val="Balloon Text"/>
    <w:basedOn w:val="1"/>
    <w:link w:val="17"/>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jc w:val="left"/>
    </w:pPr>
    <w:rPr>
      <w:rFonts w:ascii="宋体" w:hAnsi="宋体" w:eastAsia="宋体" w:cs="宋体"/>
      <w:kern w:val="0"/>
      <w:sz w:val="24"/>
      <w:szCs w:val="24"/>
    </w:rPr>
  </w:style>
  <w:style w:type="character" w:styleId="10">
    <w:name w:val="FollowedHyperlink"/>
    <w:basedOn w:val="9"/>
    <w:unhideWhenUsed/>
    <w:qFormat/>
    <w:uiPriority w:val="99"/>
    <w:rPr>
      <w:color w:val="000000"/>
      <w:u w:val="none"/>
    </w:rPr>
  </w:style>
  <w:style w:type="character" w:styleId="11">
    <w:name w:val="Emphasis"/>
    <w:basedOn w:val="9"/>
    <w:qFormat/>
    <w:uiPriority w:val="20"/>
    <w:rPr>
      <w:i/>
    </w:rPr>
  </w:style>
  <w:style w:type="character" w:styleId="12">
    <w:name w:val="Hyperlink"/>
    <w:basedOn w:val="9"/>
    <w:unhideWhenUsed/>
    <w:qFormat/>
    <w:uiPriority w:val="99"/>
    <w:rPr>
      <w:color w:val="0000FF" w:themeColor="hyperlink"/>
      <w:u w:val="single"/>
    </w:rPr>
  </w:style>
  <w:style w:type="paragraph" w:customStyle="1" w:styleId="13">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15"/>
    <w:basedOn w:val="9"/>
    <w:qFormat/>
    <w:uiPriority w:val="0"/>
  </w:style>
  <w:style w:type="character" w:customStyle="1" w:styleId="15">
    <w:name w:val="页眉 Char"/>
    <w:basedOn w:val="9"/>
    <w:link w:val="6"/>
    <w:qFormat/>
    <w:uiPriority w:val="99"/>
    <w:rPr>
      <w:sz w:val="18"/>
      <w:szCs w:val="18"/>
    </w:rPr>
  </w:style>
  <w:style w:type="character" w:customStyle="1" w:styleId="16">
    <w:name w:val="页脚 Char"/>
    <w:basedOn w:val="9"/>
    <w:link w:val="5"/>
    <w:qFormat/>
    <w:uiPriority w:val="99"/>
    <w:rPr>
      <w:sz w:val="18"/>
      <w:szCs w:val="18"/>
    </w:rPr>
  </w:style>
  <w:style w:type="character" w:customStyle="1" w:styleId="17">
    <w:name w:val="批注框文本 Char"/>
    <w:basedOn w:val="9"/>
    <w:link w:val="4"/>
    <w:semiHidden/>
    <w:qFormat/>
    <w:uiPriority w:val="99"/>
    <w:rPr>
      <w:sz w:val="18"/>
      <w:szCs w:val="18"/>
    </w:rPr>
  </w:style>
  <w:style w:type="character" w:customStyle="1" w:styleId="18">
    <w:name w:val="append-icon"/>
    <w:basedOn w:val="9"/>
    <w:qFormat/>
    <w:uiPriority w:val="0"/>
    <w:rPr>
      <w:sz w:val="36"/>
      <w:szCs w:val="36"/>
    </w:rPr>
  </w:style>
  <w:style w:type="character" w:customStyle="1" w:styleId="19">
    <w:name w:val="zwxxgk_bnt6"/>
    <w:basedOn w:val="9"/>
    <w:qFormat/>
    <w:uiPriority w:val="0"/>
  </w:style>
  <w:style w:type="character" w:customStyle="1" w:styleId="20">
    <w:name w:val="zwxxgk_bnt61"/>
    <w:basedOn w:val="9"/>
    <w:qFormat/>
    <w:uiPriority w:val="0"/>
  </w:style>
  <w:style w:type="character" w:customStyle="1" w:styleId="21">
    <w:name w:val="zwxxgk_bnt62"/>
    <w:basedOn w:val="9"/>
    <w:qFormat/>
    <w:uiPriority w:val="0"/>
  </w:style>
  <w:style w:type="character" w:customStyle="1" w:styleId="22">
    <w:name w:val="zwxxgk_bnt63"/>
    <w:basedOn w:val="9"/>
    <w:qFormat/>
    <w:uiPriority w:val="0"/>
  </w:style>
  <w:style w:type="character" w:customStyle="1" w:styleId="23">
    <w:name w:val="zwxxgk_bnt5"/>
    <w:basedOn w:val="9"/>
    <w:qFormat/>
    <w:uiPriority w:val="0"/>
  </w:style>
  <w:style w:type="character" w:customStyle="1" w:styleId="24">
    <w:name w:val="zwxxgk_bnt51"/>
    <w:basedOn w:val="9"/>
    <w:qFormat/>
    <w:uiPriority w:val="0"/>
  </w:style>
  <w:style w:type="character" w:customStyle="1" w:styleId="25">
    <w:name w:val="zwxxgk_bnt52"/>
    <w:basedOn w:val="9"/>
    <w:qFormat/>
    <w:uiPriority w:val="0"/>
  </w:style>
  <w:style w:type="character" w:customStyle="1" w:styleId="26">
    <w:name w:val="zwxxgk_bnt53"/>
    <w:basedOn w:val="9"/>
    <w:qFormat/>
    <w:uiPriority w:val="0"/>
  </w:style>
  <w:style w:type="character" w:customStyle="1" w:styleId="27">
    <w:name w:val="zwxxgk_bnt54"/>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312</Words>
  <Characters>1783</Characters>
  <Lines>14</Lines>
  <Paragraphs>4</Paragraphs>
  <TotalTime>0</TotalTime>
  <ScaleCrop>false</ScaleCrop>
  <LinksUpToDate>false</LinksUpToDate>
  <CharactersWithSpaces>2091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2021-01-15T16:56:00Z</dcterms:created>
  <dc:creator>lenovo</dc:creator>
  <cp:lastModifiedBy>work</cp:lastModifiedBy>
  <cp:lastPrinted>2022-01-26T01:32:00Z</cp:lastPrinted>
  <dcterms:modified xsi:type="dcterms:W3CDTF">2025-01-14T15:11:07Z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6E5C4D528E664B88B2676A608A8026B1</vt:lpwstr>
  </property>
</Properties>
</file>