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保定市莲池区韩庄乡人民政府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w:t>
      </w:r>
      <w:r>
        <w:rPr>
          <w:rFonts w:hint="default"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lang w:val="en-US" w:eastAsia="zh-CN"/>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highlight w:val="none"/>
          <w:lang w:val="en-US" w:eastAsia="zh-CN"/>
        </w:rPr>
      </w:pPr>
    </w:p>
    <w:p>
      <w:pPr>
        <w:keepNext w:val="0"/>
        <w:keepLines w:val="0"/>
        <w:pageBreakBefore w:val="0"/>
        <w:widowControl/>
        <w:shd w:val="clear" w:color="auto" w:fill="FFFFFF"/>
        <w:kinsoku/>
        <w:wordWrap/>
        <w:overflowPunct/>
        <w:topLinePunct w:val="0"/>
        <w:autoSpaceDN/>
        <w:bidi w:val="0"/>
        <w:adjustRightInd/>
        <w:snapToGrid w:val="0"/>
        <w:spacing w:line="520" w:lineRule="exact"/>
        <w:ind w:left="0" w:leftChars="0" w:right="0" w:rightChars="0" w:firstLine="640" w:firstLineChars="20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根据《中华人民共和国政府信息公开条例》《河北省实施〈中华人民共和国政府信息公开条例〉办法》等规定，发布本年度报告。报告中所列数据统计期限为202</w:t>
      </w: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rPr>
        <w:t>年1月1日至12月31日。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highlight w:val="none"/>
          <w:lang w:val="en-US" w:eastAsia="zh-CN"/>
        </w:rPr>
      </w:pPr>
      <w:r>
        <w:rPr>
          <w:rFonts w:hint="eastAsia"/>
          <w:highlight w:val="none"/>
          <w:lang w:val="en-US" w:eastAsia="zh-CN"/>
        </w:rPr>
        <w:t>202</w:t>
      </w:r>
      <w:r>
        <w:rPr>
          <w:rFonts w:hint="default"/>
          <w:highlight w:val="none"/>
          <w:lang w:val="en-US" w:eastAsia="zh-CN"/>
        </w:rPr>
        <w:t>4</w:t>
      </w:r>
      <w:r>
        <w:rPr>
          <w:rFonts w:hint="eastAsia"/>
          <w:highlight w:val="none"/>
          <w:lang w:val="en-US" w:eastAsia="zh-CN"/>
        </w:rPr>
        <w:t>年，韩庄乡人民政府坚持以习近平新时代中国特色社会主义思想为指导，全面贯彻落实国家、省、市、区关于政务公开工作决策部署，围绕区委区政府中心工作，立足新发展阶段、贯彻新发展理念、构建新发展格局，推动高质量发展，以公开促规范、促落实、促服务，进一步提升政府信息公开水平，切实提高人民群众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highlight w:val="none"/>
          <w:lang w:val="en-US" w:eastAsia="zh-CN"/>
        </w:rPr>
      </w:pPr>
      <w:r>
        <w:rPr>
          <w:rFonts w:hint="eastAsia" w:ascii="仿宋_GB2312" w:hAnsi="仿宋" w:eastAsia="仿宋_GB2312"/>
          <w:b/>
          <w:bCs/>
          <w:sz w:val="32"/>
          <w:szCs w:val="32"/>
          <w:highlight w:val="none"/>
          <w:lang w:eastAsia="zh-CN"/>
        </w:rPr>
        <w:t>（一）主动公开方面</w:t>
      </w:r>
      <w:r>
        <w:rPr>
          <w:rFonts w:hint="eastAsia" w:ascii="仿宋_GB2312" w:hAnsi="仿宋" w:eastAsia="仿宋_GB2312"/>
          <w:b/>
          <w:bCs/>
          <w:sz w:val="32"/>
          <w:szCs w:val="32"/>
          <w:highlight w:val="none"/>
        </w:rPr>
        <w:t>。</w:t>
      </w:r>
      <w:r>
        <w:rPr>
          <w:rFonts w:hint="eastAsia"/>
          <w:highlight w:val="none"/>
          <w:lang w:val="en-US" w:eastAsia="zh-CN"/>
        </w:rPr>
        <w:t>严格按照上级要求，在保定市莲池区人民政府网行政执法板块、河北省行政执法公示平台公示执法事项和执法信息、执法流程等内容。</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 w:eastAsia="仿宋_GB2312"/>
          <w:b/>
          <w:bCs/>
          <w:sz w:val="32"/>
          <w:szCs w:val="32"/>
          <w:highlight w:val="none"/>
          <w:lang w:eastAsia="zh-CN"/>
        </w:rPr>
        <w:t>（二）</w:t>
      </w:r>
      <w:r>
        <w:rPr>
          <w:rFonts w:hint="eastAsia" w:ascii="仿宋_GB2312" w:hAnsi="仿宋" w:eastAsia="仿宋_GB2312"/>
          <w:b/>
          <w:bCs/>
          <w:sz w:val="32"/>
          <w:szCs w:val="32"/>
          <w:highlight w:val="none"/>
        </w:rPr>
        <w:t>依申</w:t>
      </w:r>
      <w:r>
        <w:rPr>
          <w:rFonts w:hint="eastAsia" w:ascii="仿宋_GB2312" w:hAnsi="仿宋" w:eastAsia="仿宋_GB2312"/>
          <w:b/>
          <w:bCs/>
          <w:sz w:val="32"/>
          <w:szCs w:val="32"/>
          <w:highlight w:val="none"/>
          <w:lang w:val="en-US" w:eastAsia="zh-CN"/>
        </w:rPr>
        <w:t>请公开方面。</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严格按照《中华人民共和国政府信息公开条例》、《河北省政府信息公开申请办理规范》，进一步规范依申请公开工作，建立健全接收、登记、办理、答复等业务流程，对从网络、信函、当面申请等多种渠道收到的依申请公开事项均严格按照条例规定进行答复处理。202</w:t>
      </w:r>
      <w:r>
        <w:rPr>
          <w:rFonts w:hint="default" w:hAnsi="仿宋_GB2312" w:cs="仿宋_GB2312"/>
          <w:i w:val="0"/>
          <w:caps w:val="0"/>
          <w:color w:val="000000"/>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年共收到</w:t>
      </w:r>
      <w:r>
        <w:rPr>
          <w:rFonts w:hint="eastAsia" w:hAnsi="仿宋_GB2312" w:cs="仿宋_GB2312"/>
          <w:i w:val="0"/>
          <w:caps w:val="0"/>
          <w:color w:val="000000"/>
          <w:spacing w:val="0"/>
          <w:sz w:val="32"/>
          <w:szCs w:val="32"/>
          <w:highlight w:val="none"/>
          <w:shd w:val="clear" w:color="auto" w:fill="FFFFFF"/>
          <w:lang w:val="en-US" w:eastAsia="zh-CN"/>
        </w:rPr>
        <w:t>政府信息公开申请</w:t>
      </w:r>
      <w:r>
        <w:rPr>
          <w:rFonts w:hint="default" w:hAnsi="仿宋_GB2312" w:cs="仿宋_GB2312"/>
          <w:i w:val="0"/>
          <w:caps w:val="0"/>
          <w:color w:val="000000"/>
          <w:spacing w:val="0"/>
          <w:sz w:val="32"/>
          <w:szCs w:val="32"/>
          <w:highlight w:val="none"/>
          <w:shd w:val="clear" w:color="auto" w:fill="FFFFFF"/>
          <w:lang w:val="en-US" w:eastAsia="zh-CN"/>
        </w:rPr>
        <w:t>19</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件，当年</w:t>
      </w:r>
      <w:r>
        <w:rPr>
          <w:rFonts w:hint="eastAsia" w:hAnsi="仿宋_GB2312" w:cs="仿宋_GB2312"/>
          <w:i w:val="0"/>
          <w:caps w:val="0"/>
          <w:color w:val="000000"/>
          <w:spacing w:val="0"/>
          <w:sz w:val="32"/>
          <w:szCs w:val="32"/>
          <w:highlight w:val="none"/>
          <w:shd w:val="clear" w:color="auto" w:fill="FFFFFF"/>
          <w:lang w:val="en-US" w:eastAsia="zh-CN"/>
        </w:rPr>
        <w:t>全部</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办结，答复时限、答复形式、答复内容都符合相关要求。</w:t>
      </w:r>
    </w:p>
    <w:p>
      <w:pPr>
        <w:keepNext w:val="0"/>
        <w:keepLines w:val="0"/>
        <w:pageBreakBefore w:val="0"/>
        <w:widowControl/>
        <w:suppressLineNumbers w:val="0"/>
        <w:kinsoku/>
        <w:wordWrap/>
        <w:overflowPunct/>
        <w:topLinePunct w:val="0"/>
        <w:autoSpaceDN/>
        <w:bidi w:val="0"/>
        <w:adjustRightInd/>
        <w:spacing w:line="520" w:lineRule="exact"/>
        <w:ind w:firstLine="642" w:firstLineChars="200"/>
        <w:jc w:val="left"/>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highlight w:val="none"/>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highlight w:val="none"/>
          <w:shd w:val="clear" w:color="auto" w:fill="FFFFFF"/>
          <w:lang w:val="en-US" w:eastAsia="zh-CN"/>
        </w:rPr>
        <w:t>政府信息管理方面。</w:t>
      </w:r>
      <w:r>
        <w:rPr>
          <w:rFonts w:hint="eastAsia" w:ascii="仿宋_GB2312" w:hAnsi="仿宋" w:eastAsia="仿宋_GB2312" w:cs="Times New Roman"/>
          <w:bCs/>
          <w:sz w:val="32"/>
          <w:szCs w:val="32"/>
          <w:highlight w:val="none"/>
          <w:lang w:val="en-US" w:eastAsia="zh-CN"/>
        </w:rPr>
        <w:t>及时在区政府网站</w:t>
      </w:r>
      <w:r>
        <w:rPr>
          <w:rFonts w:hint="eastAsia" w:ascii="仿宋_GB2312" w:hAnsi="仿宋_GB2312" w:eastAsia="仿宋_GB2312" w:cs="仿宋_GB2312"/>
          <w:b w:val="0"/>
          <w:bCs/>
          <w:color w:val="auto"/>
          <w:sz w:val="32"/>
          <w:szCs w:val="32"/>
          <w:highlight w:val="none"/>
          <w:lang w:val="en-US" w:eastAsia="zh-CN"/>
        </w:rPr>
        <w:t>调整更新</w:t>
      </w:r>
      <w:r>
        <w:rPr>
          <w:rFonts w:hint="eastAsia" w:hAnsi="仿宋_GB2312" w:cs="仿宋_GB2312"/>
          <w:b w:val="0"/>
          <w:bCs/>
          <w:color w:val="auto"/>
          <w:sz w:val="32"/>
          <w:szCs w:val="32"/>
          <w:highlight w:val="none"/>
          <w:lang w:val="en-US" w:eastAsia="zh-CN"/>
        </w:rPr>
        <w:t>本单位的</w:t>
      </w:r>
      <w:r>
        <w:rPr>
          <w:rFonts w:hint="eastAsia" w:ascii="仿宋_GB2312" w:hAnsi="仿宋" w:eastAsia="仿宋_GB2312" w:cs="Times New Roman"/>
          <w:bCs/>
          <w:sz w:val="32"/>
          <w:szCs w:val="32"/>
          <w:highlight w:val="none"/>
          <w:lang w:val="en-US" w:eastAsia="zh-CN"/>
        </w:rPr>
        <w:t>政务公开事项目录、机构职能等信息。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highlight w:val="none"/>
          <w:lang w:val="en-US" w:eastAsia="zh-CN"/>
        </w:rPr>
      </w:pPr>
      <w:r>
        <w:rPr>
          <w:rFonts w:hint="eastAsia" w:ascii="仿宋_GB2312" w:hAnsi="仿宋_GB2312" w:eastAsia="仿宋_GB2312" w:cs="仿宋_GB2312"/>
          <w:b/>
          <w:bCs w:val="0"/>
          <w:i w:val="0"/>
          <w:iCs w:val="0"/>
          <w:caps w:val="0"/>
          <w:color w:val="000000"/>
          <w:spacing w:val="0"/>
          <w:kern w:val="0"/>
          <w:sz w:val="32"/>
          <w:szCs w:val="32"/>
          <w:highlight w:val="none"/>
          <w:shd w:val="clear" w:color="auto" w:fill="FFFFFF"/>
          <w:lang w:val="en-US" w:eastAsia="zh-CN" w:bidi="ar"/>
        </w:rPr>
        <w:t>（四）政府信息</w:t>
      </w:r>
      <w:r>
        <w:rPr>
          <w:rFonts w:hint="eastAsia" w:ascii="仿宋_GB2312" w:hAnsi="仿宋_GB2312" w:eastAsia="仿宋_GB2312" w:cs="仿宋_GB2312"/>
          <w:b/>
          <w:bCs w:val="0"/>
          <w:sz w:val="32"/>
          <w:szCs w:val="32"/>
          <w:highlight w:val="none"/>
        </w:rPr>
        <w:t>平台建设</w:t>
      </w:r>
      <w:r>
        <w:rPr>
          <w:rFonts w:hint="eastAsia" w:ascii="仿宋_GB2312" w:hAnsi="仿宋_GB2312" w:eastAsia="仿宋_GB2312" w:cs="仿宋_GB2312"/>
          <w:b/>
          <w:bCs w:val="0"/>
          <w:sz w:val="32"/>
          <w:szCs w:val="32"/>
          <w:highlight w:val="none"/>
          <w:lang w:eastAsia="zh-CN"/>
        </w:rPr>
        <w:t>方面</w:t>
      </w:r>
      <w:r>
        <w:rPr>
          <w:rFonts w:hint="eastAsia" w:ascii="仿宋_GB2312" w:hAnsi="仿宋_GB2312" w:eastAsia="仿宋_GB2312" w:cs="仿宋_GB2312"/>
          <w:b/>
          <w:bCs w:val="0"/>
          <w:sz w:val="32"/>
          <w:szCs w:val="32"/>
          <w:highlight w:val="none"/>
        </w:rPr>
        <w:t>。</w:t>
      </w:r>
      <w:r>
        <w:rPr>
          <w:rFonts w:hint="eastAsia"/>
          <w:highlight w:val="none"/>
          <w:lang w:val="en-US" w:eastAsia="zh-CN"/>
        </w:rPr>
        <w:t>充分发挥政务新媒体正面宣传引导作用，严格落实政务新媒体账号备案登记制度，认真履行信息发布审核制度，确保信息发布准确安全。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highlight w:val="none"/>
          <w:lang w:val="en-US" w:eastAsia="zh-CN"/>
        </w:rPr>
      </w:pPr>
      <w:r>
        <w:rPr>
          <w:rFonts w:hint="eastAsia" w:ascii="仿宋_GB2312" w:hAnsi="仿宋_GB2312" w:eastAsia="仿宋_GB2312" w:cs="仿宋_GB2312"/>
          <w:b/>
          <w:bCs w:val="0"/>
          <w:i w:val="0"/>
          <w:iCs w:val="0"/>
          <w:caps w:val="0"/>
          <w:color w:val="000000"/>
          <w:spacing w:val="0"/>
          <w:kern w:val="0"/>
          <w:sz w:val="32"/>
          <w:szCs w:val="32"/>
          <w:highlight w:val="none"/>
          <w:shd w:val="clear" w:color="auto" w:fill="FFFFFF"/>
          <w:lang w:val="en-US" w:eastAsia="zh-CN" w:bidi="ar"/>
        </w:rPr>
        <w:t>（五）监督保障方面</w:t>
      </w:r>
      <w:r>
        <w:rPr>
          <w:rFonts w:hint="eastAsia" w:ascii="仿宋_GB2312" w:hAnsi="仿宋" w:eastAsia="仿宋_GB2312" w:cs="Times New Roman"/>
          <w:b/>
          <w:bCs w:val="0"/>
          <w:kern w:val="2"/>
          <w:sz w:val="32"/>
          <w:szCs w:val="32"/>
          <w:highlight w:val="none"/>
          <w:lang w:val="en-US" w:eastAsia="zh-CN" w:bidi="ar-SA"/>
        </w:rPr>
        <w:t>。</w:t>
      </w:r>
      <w:r>
        <w:rPr>
          <w:rFonts w:hint="eastAsia"/>
          <w:highlight w:val="none"/>
          <w:lang w:val="en-US" w:eastAsia="zh-CN"/>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本年</w:t>
            </w:r>
            <w:r>
              <w:rPr>
                <w:rFonts w:hint="eastAsia" w:ascii="宋体" w:hAnsi="宋体" w:eastAsia="宋体" w:cs="宋体"/>
                <w:kern w:val="0"/>
                <w:sz w:val="20"/>
                <w:szCs w:val="20"/>
                <w:highlight w:val="none"/>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现行有效件</w:t>
            </w:r>
            <w:r>
              <w:rPr>
                <w:rFonts w:hint="eastAsia" w:ascii="宋体" w:hAnsi="宋体" w:eastAsia="宋体" w:cs="宋体"/>
                <w:kern w:val="0"/>
                <w:sz w:val="20"/>
                <w:szCs w:val="20"/>
                <w:highlight w:val="none"/>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cstheme="minorEastAsia"/>
                <w:color w:val="000000"/>
                <w:kern w:val="0"/>
                <w:sz w:val="24"/>
                <w:szCs w:val="24"/>
                <w:highlight w:val="none"/>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color w:val="000000"/>
                <w:kern w:val="0"/>
                <w:sz w:val="24"/>
                <w:szCs w:val="24"/>
                <w:highlight w:val="none"/>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highlight w:val="none"/>
                <w:lang w:val="en-US" w:eastAsia="zh-CN"/>
              </w:rPr>
            </w:pPr>
            <w:r>
              <w:rPr>
                <w:rFonts w:hint="eastAsia" w:ascii="宋体"/>
                <w:sz w:val="24"/>
                <w:szCs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highlight w:val="none"/>
              </w:rPr>
            </w:pPr>
            <w:r>
              <w:rPr>
                <w:rFonts w:hint="eastAsia" w:ascii="宋体" w:hAnsi="宋体" w:eastAsia="宋体" w:cs="宋体"/>
                <w:color w:val="000000"/>
                <w:kern w:val="0"/>
                <w:sz w:val="20"/>
                <w:szCs w:val="20"/>
                <w:highlight w:val="none"/>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highlight w:val="none"/>
              </w:rPr>
            </w:pPr>
            <w:r>
              <w:rPr>
                <w:rFonts w:hint="eastAsia" w:ascii="宋体" w:hAnsi="宋体" w:eastAsia="宋体" w:cs="宋体"/>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highlight w:val="none"/>
                <w:lang w:val="en-US"/>
              </w:rPr>
            </w:pPr>
            <w:r>
              <w:rPr>
                <w:rFonts w:hint="default" w:ascii="宋体"/>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sz w:val="24"/>
                <w:szCs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highlight w:val="none"/>
                <w:lang w:val="en-US" w:eastAsia="zh-CN"/>
              </w:rPr>
            </w:pPr>
            <w:r>
              <w:rPr>
                <w:rFonts w:hint="eastAsia" w:ascii="宋体"/>
                <w:sz w:val="24"/>
                <w:szCs w:val="24"/>
                <w:highlight w:val="none"/>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收到和处理政府信息公开申请情况</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restart"/>
            <w:tcBorders>
              <w:tl2br w:val="nil"/>
              <w:tr2bl w:val="nil"/>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（本列数据的勾稽关系为：第一项加第二项之和，等于第三项加第四项之和）</w:t>
            </w:r>
          </w:p>
        </w:tc>
        <w:tc>
          <w:tcPr>
            <w:tcW w:w="5513" w:type="dxa"/>
            <w:gridSpan w:val="7"/>
            <w:tcBorders>
              <w:tl2br w:val="nil"/>
              <w:tr2bl w:val="nil"/>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rPr>
                <w:rFonts w:ascii="宋体"/>
                <w:sz w:val="24"/>
                <w:highlight w:val="none"/>
              </w:rPr>
            </w:pPr>
          </w:p>
        </w:tc>
        <w:tc>
          <w:tcPr>
            <w:tcW w:w="814" w:type="dxa"/>
            <w:vMerge w:val="restart"/>
            <w:tcBorders>
              <w:tl2br w:val="nil"/>
              <w:tr2bl w:val="nil"/>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自然人</w:t>
            </w:r>
          </w:p>
        </w:tc>
        <w:tc>
          <w:tcPr>
            <w:tcW w:w="4010" w:type="dxa"/>
            <w:gridSpan w:val="5"/>
            <w:tcBorders>
              <w:tl2br w:val="nil"/>
              <w:tr2bl w:val="nil"/>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法人或其他组织</w:t>
            </w:r>
          </w:p>
        </w:tc>
        <w:tc>
          <w:tcPr>
            <w:tcW w:w="689" w:type="dxa"/>
            <w:vMerge w:val="restart"/>
            <w:tcBorders>
              <w:tl2br w:val="nil"/>
              <w:tr2bl w:val="nil"/>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rPr>
                <w:rFonts w:ascii="宋体"/>
                <w:sz w:val="24"/>
                <w:highlight w:val="none"/>
              </w:rPr>
            </w:pPr>
          </w:p>
        </w:tc>
        <w:tc>
          <w:tcPr>
            <w:tcW w:w="814" w:type="dxa"/>
            <w:vMerge w:val="continue"/>
            <w:tcBorders>
              <w:tl2br w:val="nil"/>
              <w:tr2bl w:val="nil"/>
            </w:tcBorders>
            <w:tcMar>
              <w:left w:w="108" w:type="dxa"/>
              <w:right w:w="108" w:type="dxa"/>
            </w:tcMar>
            <w:vAlign w:val="center"/>
          </w:tcPr>
          <w:p>
            <w:pPr>
              <w:rPr>
                <w:rFonts w:ascii="宋体"/>
                <w:sz w:val="24"/>
                <w:highlight w:val="none"/>
              </w:rPr>
            </w:pP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商业企业</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科研机构</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社会公益组织</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法律服务机构</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其他</w:t>
            </w:r>
          </w:p>
        </w:tc>
        <w:tc>
          <w:tcPr>
            <w:tcW w:w="689" w:type="dxa"/>
            <w:vMerge w:val="continue"/>
            <w:tcBorders>
              <w:tl2br w:val="nil"/>
              <w:tr2bl w:val="nil"/>
            </w:tcBorders>
            <w:tcMar>
              <w:left w:w="108" w:type="dxa"/>
              <w:right w:w="108" w:type="dxa"/>
            </w:tcMar>
            <w:vAlign w:val="center"/>
          </w:tcPr>
          <w:p>
            <w:pP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3558" w:type="dxa"/>
            <w:gridSpan w:val="3"/>
            <w:tcBorders>
              <w:tl2br w:val="nil"/>
              <w:tr2bl w:val="nil"/>
            </w:tcBorders>
            <w:tcMar>
              <w:left w:w="108" w:type="dxa"/>
              <w:right w:w="108" w:type="dxa"/>
            </w:tcMar>
            <w:vAlign w:val="center"/>
          </w:tcPr>
          <w:p>
            <w:pPr>
              <w:widowControl/>
              <w:spacing w:after="180"/>
              <w:jc w:val="left"/>
              <w:rPr>
                <w:highlight w:val="none"/>
              </w:rPr>
            </w:pPr>
            <w:r>
              <w:rPr>
                <w:rFonts w:hint="eastAsia" w:ascii="宋体" w:hAnsi="宋体" w:eastAsia="宋体" w:cs="宋体"/>
                <w:kern w:val="0"/>
                <w:sz w:val="20"/>
                <w:szCs w:val="20"/>
                <w:highlight w:val="none"/>
              </w:rPr>
              <w:t>一、本年新收政府信息公开申请数量</w:t>
            </w:r>
          </w:p>
        </w:tc>
        <w:tc>
          <w:tcPr>
            <w:tcW w:w="814"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highlight w:val="none"/>
                <w:lang w:val="en-US" w:eastAsia="zh-CN"/>
              </w:rPr>
            </w:pPr>
            <w:r>
              <w:rPr>
                <w:rFonts w:hint="default" w:ascii="宋体"/>
                <w:sz w:val="24"/>
                <w:szCs w:val="24"/>
                <w:highlight w:val="none"/>
                <w:lang w:val="en-US" w:eastAsia="zh-CN"/>
              </w:rPr>
              <w:t>19</w:t>
            </w:r>
          </w:p>
        </w:tc>
        <w:tc>
          <w:tcPr>
            <w:tcW w:w="755"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highlight w:val="none"/>
                <w:lang w:val="en-US" w:eastAsia="zh-CN"/>
              </w:rPr>
            </w:pPr>
            <w:r>
              <w:rPr>
                <w:rFonts w:hint="default" w:ascii="宋体"/>
                <w:sz w:val="24"/>
                <w:szCs w:val="24"/>
                <w:highlight w:val="none"/>
                <w:lang w:val="en-US" w:eastAsia="zh-CN"/>
              </w:rPr>
              <w:t>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jc w:val="left"/>
              <w:rPr>
                <w:highlight w:val="none"/>
              </w:rPr>
            </w:pPr>
            <w:r>
              <w:rPr>
                <w:rFonts w:hint="eastAsia" w:ascii="宋体" w:hAnsi="宋体" w:eastAsia="宋体" w:cs="宋体"/>
                <w:kern w:val="0"/>
                <w:sz w:val="20"/>
                <w:szCs w:val="20"/>
                <w:highlight w:val="none"/>
              </w:rPr>
              <w:t>二、上年结转政府信息公开申请数量</w:t>
            </w:r>
          </w:p>
        </w:tc>
        <w:tc>
          <w:tcPr>
            <w:tcW w:w="814"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highlight w:val="none"/>
                <w:lang w:val="en-US" w:eastAsia="zh-CN"/>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highlight w:val="none"/>
                <w:lang w:val="en-US" w:eastAsia="zh-CN"/>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restart"/>
            <w:tcBorders>
              <w:tl2br w:val="nil"/>
              <w:tr2bl w:val="nil"/>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三、本年度办理结果</w:t>
            </w:r>
          </w:p>
        </w:tc>
        <w:tc>
          <w:tcPr>
            <w:tcW w:w="2940" w:type="dxa"/>
            <w:gridSpan w:val="2"/>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（一）予以公开</w:t>
            </w:r>
          </w:p>
        </w:tc>
        <w:tc>
          <w:tcPr>
            <w:tcW w:w="814"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highlight w:val="none"/>
                <w:lang w:val="en-US" w:eastAsia="zh-CN"/>
              </w:rPr>
            </w:pPr>
            <w:r>
              <w:rPr>
                <w:rFonts w:hint="default" w:ascii="宋体"/>
                <w:sz w:val="24"/>
                <w:szCs w:val="24"/>
                <w:highlight w:val="none"/>
                <w:lang w:val="en-US" w:eastAsia="zh-CN"/>
              </w:rPr>
              <w:t>19</w:t>
            </w:r>
          </w:p>
        </w:tc>
        <w:tc>
          <w:tcPr>
            <w:tcW w:w="755"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highlight w:val="none"/>
                <w:lang w:val="en-US" w:eastAsia="zh-CN"/>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highlight w:val="none"/>
                <w:lang w:val="en-US" w:eastAsia="zh-CN"/>
              </w:rPr>
            </w:pPr>
            <w:r>
              <w:rPr>
                <w:rFonts w:hint="default" w:ascii="宋体"/>
                <w:sz w:val="24"/>
                <w:szCs w:val="24"/>
                <w:highlight w:val="none"/>
                <w:lang w:val="en-US" w:eastAsia="zh-CN"/>
              </w:rPr>
              <w:t>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2940" w:type="dxa"/>
            <w:gridSpan w:val="2"/>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（二）部分公开（区分处理的，只计这一情形，不计其他情形）</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restart"/>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（三）不予公开</w:t>
            </w: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1.属于国家秘密</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2.其他法律行政法规禁止公开</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3.危及“三安全一稳定”</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4.保护第三方合法权益</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5.属于三类内部事务信息</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6.属于四类过程性信息</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rFonts w:hint="default"/>
                <w:highlight w:val="none"/>
                <w:lang w:val="en-US"/>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7.属于行政执法案卷</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8.属于行政查询事项</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restart"/>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（四）无法提供</w:t>
            </w: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1.本机关不掌握相关政府信息</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rFonts w:hint="default"/>
                <w:highlight w:val="none"/>
                <w:lang w:val="en-US"/>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2.没有现成信息需要另行制作</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3.补正后申请内容仍不明确</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restart"/>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（五）不予处理</w:t>
            </w: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1.信访举报投诉类申请</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2.重复申请</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3.要求提供公开出版物</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4.无正当理由大量反复申请</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854" w:type="dxa"/>
            <w:vMerge w:val="continue"/>
            <w:tcBorders>
              <w:tl2br w:val="nil"/>
              <w:tr2bl w:val="nil"/>
            </w:tcBorders>
            <w:tcMar>
              <w:left w:w="108" w:type="dxa"/>
              <w:right w:w="108" w:type="dxa"/>
            </w:tcMar>
            <w:vAlign w:val="center"/>
          </w:tcPr>
          <w:p>
            <w:pPr>
              <w:rPr>
                <w:rFonts w:ascii="宋体"/>
                <w:sz w:val="24"/>
                <w:highlight w:val="none"/>
              </w:rPr>
            </w:pPr>
          </w:p>
        </w:tc>
        <w:tc>
          <w:tcPr>
            <w:tcW w:w="2086" w:type="dxa"/>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5.要求行政机关确认或重新出具已获取信息</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2940" w:type="dxa"/>
            <w:gridSpan w:val="2"/>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（六）其他处理</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ascii="Calibri" w:eastAsia="宋体" w:cs="Calibri"/>
                <w:kern w:val="0"/>
                <w:sz w:val="20"/>
                <w:szCs w:val="20"/>
                <w:highlight w:val="none"/>
              </w:rPr>
              <w:t> </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highlight w:val="none"/>
              </w:rPr>
            </w:pPr>
            <w:r>
              <w:rPr>
                <w:rFonts w:hint="eastAsia" w:ascii="宋体"/>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highlight w:val="none"/>
              </w:rPr>
            </w:pPr>
          </w:p>
        </w:tc>
        <w:tc>
          <w:tcPr>
            <w:tcW w:w="2940" w:type="dxa"/>
            <w:gridSpan w:val="2"/>
            <w:tcBorders>
              <w:tl2br w:val="nil"/>
              <w:tr2bl w:val="nil"/>
            </w:tcBorders>
            <w:tcMar>
              <w:left w:w="108" w:type="dxa"/>
              <w:right w:w="108" w:type="dxa"/>
            </w:tcMar>
            <w:vAlign w:val="center"/>
          </w:tcPr>
          <w:p>
            <w:pPr>
              <w:widowControl/>
              <w:spacing w:after="180"/>
              <w:jc w:val="left"/>
              <w:rPr>
                <w:highlight w:val="none"/>
              </w:rPr>
            </w:pPr>
            <w:r>
              <w:rPr>
                <w:rFonts w:hint="eastAsia" w:ascii="楷体" w:hAnsi="楷体" w:eastAsia="楷体" w:cs="楷体"/>
                <w:kern w:val="0"/>
                <w:sz w:val="20"/>
                <w:szCs w:val="20"/>
                <w:highlight w:val="none"/>
              </w:rPr>
              <w:t>（七）总计</w:t>
            </w:r>
          </w:p>
        </w:tc>
        <w:tc>
          <w:tcPr>
            <w:tcW w:w="814" w:type="dxa"/>
            <w:tcBorders>
              <w:tl2br w:val="nil"/>
              <w:tr2bl w:val="nil"/>
            </w:tcBorders>
            <w:tcMar>
              <w:left w:w="108" w:type="dxa"/>
              <w:right w:w="108" w:type="dxa"/>
            </w:tcMar>
            <w:vAlign w:val="center"/>
          </w:tcPr>
          <w:p>
            <w:pPr>
              <w:widowControl/>
              <w:spacing w:after="180"/>
              <w:jc w:val="center"/>
              <w:rPr>
                <w:rFonts w:hint="default" w:ascii="宋体"/>
                <w:sz w:val="24"/>
                <w:szCs w:val="24"/>
                <w:highlight w:val="none"/>
                <w:lang w:val="en-US" w:eastAsia="zh-CN"/>
              </w:rPr>
            </w:pPr>
            <w:r>
              <w:rPr>
                <w:rFonts w:hint="default" w:ascii="宋体"/>
                <w:sz w:val="24"/>
                <w:szCs w:val="24"/>
                <w:highlight w:val="none"/>
                <w:lang w:val="en-US" w:eastAsia="zh-CN"/>
              </w:rPr>
              <w:t>19</w:t>
            </w:r>
          </w:p>
        </w:tc>
        <w:tc>
          <w:tcPr>
            <w:tcW w:w="755" w:type="dxa"/>
            <w:tcBorders>
              <w:tl2br w:val="nil"/>
              <w:tr2bl w:val="nil"/>
            </w:tcBorders>
            <w:tcMar>
              <w:left w:w="108" w:type="dxa"/>
              <w:right w:w="108" w:type="dxa"/>
            </w:tcMar>
            <w:vAlign w:val="center"/>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rFonts w:hint="default" w:ascii="宋体"/>
                <w:sz w:val="24"/>
                <w:szCs w:val="24"/>
                <w:highlight w:val="none"/>
                <w:lang w:val="en-US" w:eastAsia="zh-CN"/>
              </w:rPr>
            </w:pPr>
            <w:r>
              <w:rPr>
                <w:rFonts w:hint="default" w:ascii="宋体"/>
                <w:sz w:val="24"/>
                <w:szCs w:val="24"/>
                <w:highlight w:val="none"/>
                <w:lang w:val="en-US" w:eastAsia="zh-CN"/>
              </w:rPr>
              <w:t>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jc w:val="left"/>
              <w:rPr>
                <w:highlight w:val="none"/>
              </w:rPr>
            </w:pPr>
            <w:r>
              <w:rPr>
                <w:rFonts w:hint="eastAsia" w:ascii="宋体" w:hAnsi="宋体" w:eastAsia="宋体" w:cs="宋体"/>
                <w:kern w:val="0"/>
                <w:sz w:val="20"/>
                <w:szCs w:val="20"/>
                <w:highlight w:val="none"/>
              </w:rPr>
              <w:t>四、结转下年度继续办理</w:t>
            </w:r>
          </w:p>
        </w:tc>
        <w:tc>
          <w:tcPr>
            <w:tcW w:w="814" w:type="dxa"/>
            <w:tcBorders>
              <w:tl2br w:val="nil"/>
              <w:tr2bl w:val="nil"/>
            </w:tcBorders>
            <w:tcMar>
              <w:left w:w="108" w:type="dxa"/>
              <w:right w:w="108" w:type="dxa"/>
            </w:tcMar>
            <w:vAlign w:val="center"/>
          </w:tcPr>
          <w:p>
            <w:pPr>
              <w:widowControl/>
              <w:spacing w:after="180"/>
              <w:jc w:val="center"/>
              <w:rPr>
                <w:rFonts w:hint="default" w:ascii="宋体"/>
                <w:sz w:val="24"/>
                <w:szCs w:val="24"/>
                <w:highlight w:val="none"/>
                <w:lang w:val="en-US" w:eastAsia="zh-CN"/>
              </w:rPr>
            </w:pPr>
            <w:r>
              <w:rPr>
                <w:rFonts w:hint="default"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ind w:firstLine="240" w:firstLineChars="100"/>
              <w:jc w:val="both"/>
              <w:rPr>
                <w:rFonts w:hint="eastAsia" w:ascii="宋体"/>
                <w:sz w:val="24"/>
                <w:szCs w:val="24"/>
                <w:highlight w:val="none"/>
                <w:lang w:val="en-US" w:eastAsia="zh-CN"/>
              </w:rPr>
            </w:pPr>
            <w:r>
              <w:rPr>
                <w:rFonts w:hint="eastAsia" w:ascii="宋体"/>
                <w:sz w:val="24"/>
                <w:szCs w:val="24"/>
                <w:highlight w:val="none"/>
                <w:lang w:val="en-US" w:eastAsia="zh-CN"/>
              </w:rPr>
              <w:t>0</w:t>
            </w:r>
          </w:p>
        </w:tc>
        <w:tc>
          <w:tcPr>
            <w:tcW w:w="755" w:type="dxa"/>
            <w:tcBorders>
              <w:tl2br w:val="nil"/>
              <w:tr2bl w:val="nil"/>
            </w:tcBorders>
            <w:tcMar>
              <w:left w:w="108" w:type="dxa"/>
              <w:right w:w="108" w:type="dxa"/>
            </w:tcMar>
            <w:vAlign w:val="center"/>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0</w:t>
            </w:r>
          </w:p>
        </w:tc>
        <w:tc>
          <w:tcPr>
            <w:tcW w:w="814" w:type="dxa"/>
            <w:tcBorders>
              <w:tl2br w:val="nil"/>
              <w:tr2bl w:val="nil"/>
            </w:tcBorders>
            <w:tcMar>
              <w:left w:w="108" w:type="dxa"/>
              <w:right w:w="108" w:type="dxa"/>
            </w:tcMar>
            <w:vAlign w:val="center"/>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0</w:t>
            </w:r>
          </w:p>
        </w:tc>
        <w:tc>
          <w:tcPr>
            <w:tcW w:w="974" w:type="dxa"/>
            <w:tcBorders>
              <w:tl2br w:val="nil"/>
              <w:tr2bl w:val="nil"/>
            </w:tcBorders>
            <w:tcMar>
              <w:left w:w="108" w:type="dxa"/>
              <w:right w:w="108" w:type="dxa"/>
            </w:tcMar>
            <w:vAlign w:val="center"/>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0</w:t>
            </w:r>
          </w:p>
        </w:tc>
        <w:tc>
          <w:tcPr>
            <w:tcW w:w="712" w:type="dxa"/>
            <w:tcBorders>
              <w:tl2br w:val="nil"/>
              <w:tr2bl w:val="nil"/>
            </w:tcBorders>
            <w:tcMar>
              <w:left w:w="108" w:type="dxa"/>
              <w:right w:w="108" w:type="dxa"/>
            </w:tcMar>
            <w:vAlign w:val="center"/>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0</w:t>
            </w:r>
          </w:p>
        </w:tc>
        <w:tc>
          <w:tcPr>
            <w:tcW w:w="689" w:type="dxa"/>
            <w:tcBorders>
              <w:tl2br w:val="nil"/>
              <w:tr2bl w:val="nil"/>
            </w:tcBorders>
            <w:tcMar>
              <w:left w:w="108" w:type="dxa"/>
              <w:right w:w="108" w:type="dxa"/>
            </w:tcMar>
            <w:vAlign w:val="center"/>
          </w:tcPr>
          <w:p>
            <w:pPr>
              <w:widowControl/>
              <w:spacing w:after="180"/>
              <w:jc w:val="center"/>
              <w:rPr>
                <w:rFonts w:hint="default" w:ascii="宋体"/>
                <w:sz w:val="24"/>
                <w:szCs w:val="24"/>
                <w:highlight w:val="none"/>
                <w:lang w:val="en-US" w:eastAsia="zh-CN"/>
              </w:rPr>
            </w:pPr>
            <w:r>
              <w:rPr>
                <w:rFonts w:hint="eastAsia" w:ascii="宋体"/>
                <w:sz w:val="24"/>
                <w:szCs w:val="24"/>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highlight w:val="none"/>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highlight w:val="none"/>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highlight w:val="none"/>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highlight w:val="none"/>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highlight w:val="none"/>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color w:val="000000"/>
                <w:kern w:val="0"/>
                <w:sz w:val="20"/>
                <w:szCs w:val="20"/>
                <w:highlight w:val="none"/>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color w:val="000000"/>
                <w:kern w:val="0"/>
                <w:sz w:val="20"/>
                <w:szCs w:val="20"/>
                <w:highlight w:val="none"/>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kern w:val="0"/>
                <w:sz w:val="20"/>
                <w:szCs w:val="20"/>
                <w:highlight w:val="none"/>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highlight w:val="none"/>
              </w:rPr>
            </w:pPr>
            <w:r>
              <w:rPr>
                <w:rFonts w:hint="eastAsia" w:ascii="宋体" w:hAnsi="宋体" w:eastAsia="宋体" w:cs="宋体"/>
                <w:color w:val="000000"/>
                <w:kern w:val="0"/>
                <w:sz w:val="20"/>
                <w:szCs w:val="20"/>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top"/>
          </w:tcPr>
          <w:p>
            <w:pPr>
              <w:widowControl/>
              <w:spacing w:after="180"/>
              <w:jc w:val="center"/>
              <w:rPr>
                <w:rFonts w:hint="default" w:ascii="宋体"/>
                <w:sz w:val="24"/>
                <w:szCs w:val="24"/>
                <w:highlight w:val="none"/>
                <w:lang w:val="en-US" w:eastAsia="zh-CN"/>
              </w:rPr>
            </w:pPr>
            <w:r>
              <w:rPr>
                <w:rFonts w:hint="eastAsia" w:ascii="宋体"/>
                <w:sz w:val="24"/>
                <w:szCs w:val="24"/>
                <w:highlight w:val="none"/>
                <w:lang w:val="en-US" w:eastAsia="zh-CN"/>
              </w:rPr>
              <w:t>5</w:t>
            </w:r>
          </w:p>
        </w:tc>
        <w:tc>
          <w:tcPr>
            <w:tcW w:w="604"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1</w:t>
            </w:r>
          </w:p>
        </w:tc>
        <w:tc>
          <w:tcPr>
            <w:tcW w:w="604"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8</w:t>
            </w:r>
          </w:p>
        </w:tc>
        <w:tc>
          <w:tcPr>
            <w:tcW w:w="604"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0</w:t>
            </w:r>
          </w:p>
        </w:tc>
        <w:tc>
          <w:tcPr>
            <w:tcW w:w="658"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default" w:ascii="宋体"/>
                <w:sz w:val="24"/>
                <w:szCs w:val="24"/>
                <w:highlight w:val="none"/>
                <w:lang w:val="en-US" w:eastAsia="zh-CN"/>
              </w:rPr>
            </w:pPr>
            <w:r>
              <w:rPr>
                <w:rFonts w:hint="eastAsia" w:ascii="宋体"/>
                <w:sz w:val="24"/>
                <w:szCs w:val="24"/>
                <w:highlight w:val="none"/>
                <w:lang w:val="en-US" w:eastAsia="zh-CN"/>
              </w:rPr>
              <w:t>14</w:t>
            </w:r>
          </w:p>
        </w:tc>
        <w:tc>
          <w:tcPr>
            <w:tcW w:w="550"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eastAsia" w:ascii="宋体"/>
                <w:sz w:val="24"/>
                <w:szCs w:val="24"/>
                <w:highlight w:val="none"/>
                <w:lang w:val="en-US" w:eastAsia="zh-CN"/>
              </w:rPr>
            </w:pPr>
            <w:r>
              <w:rPr>
                <w:rFonts w:hint="eastAsia" w:ascii="宋体"/>
                <w:sz w:val="24"/>
                <w:szCs w:val="24"/>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highlight w:val="none"/>
              </w:rPr>
            </w:pPr>
            <w:r>
              <w:rPr>
                <w:rFonts w:hint="eastAsia" w:ascii="宋体"/>
                <w:sz w:val="24"/>
                <w:szCs w:val="24"/>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highlight w:val="none"/>
              </w:rPr>
            </w:pPr>
            <w:r>
              <w:rPr>
                <w:rFonts w:hint="eastAsia" w:ascii="宋体"/>
                <w:sz w:val="24"/>
                <w:szCs w:val="24"/>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highlight w:val="none"/>
              </w:rPr>
            </w:pPr>
            <w:r>
              <w:rPr>
                <w:rFonts w:hint="eastAsia" w:ascii="宋体"/>
                <w:sz w:val="24"/>
                <w:szCs w:val="24"/>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default"/>
                <w:highlight w:val="none"/>
                <w:lang w:val="en-US"/>
              </w:rPr>
            </w:pPr>
            <w:r>
              <w:rPr>
                <w:rFonts w:hint="eastAsia" w:ascii="宋体"/>
                <w:sz w:val="24"/>
                <w:szCs w:val="24"/>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highlight w:val="none"/>
              </w:rPr>
            </w:pPr>
            <w:r>
              <w:rPr>
                <w:rFonts w:hint="eastAsia" w:ascii="宋体"/>
                <w:sz w:val="24"/>
                <w:szCs w:val="24"/>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rFonts w:hint="default"/>
                <w:highlight w:val="none"/>
                <w:lang w:val="en-US"/>
              </w:rPr>
            </w:pPr>
            <w:r>
              <w:rPr>
                <w:rFonts w:hint="eastAsia" w:ascii="宋体"/>
                <w:sz w:val="24"/>
                <w:szCs w:val="24"/>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highlight w:val="none"/>
              </w:rPr>
            </w:pPr>
            <w:r>
              <w:rPr>
                <w:rFonts w:hint="eastAsia" w:ascii="宋体"/>
                <w:sz w:val="24"/>
                <w:szCs w:val="24"/>
                <w:highlight w:val="none"/>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top"/>
          </w:tcPr>
          <w:p>
            <w:pPr>
              <w:widowControl/>
              <w:spacing w:after="180"/>
              <w:jc w:val="center"/>
              <w:rPr>
                <w:highlight w:val="none"/>
              </w:rPr>
            </w:pPr>
            <w:r>
              <w:rPr>
                <w:rFonts w:hint="eastAsia" w:ascii="宋体"/>
                <w:sz w:val="24"/>
                <w:szCs w:val="24"/>
                <w:highlight w:val="none"/>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top"/>
          </w:tcPr>
          <w:p>
            <w:pPr>
              <w:jc w:val="center"/>
              <w:rPr>
                <w:rFonts w:hint="default" w:ascii="宋体"/>
                <w:sz w:val="24"/>
                <w:highlight w:val="none"/>
                <w:lang w:val="en-US"/>
              </w:rPr>
            </w:pPr>
            <w:r>
              <w:rPr>
                <w:rFonts w:hint="eastAsia" w:ascii="宋体"/>
                <w:sz w:val="24"/>
                <w:szCs w:val="24"/>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五、存在的主要问题及改进情况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存在的主要问题：一是此项业务专业性较强，缺乏专业性人才；二是存在同一人多次就同一问题重复要求公开；三是由于当前信息公开等多涉及城改工作，故需要各职能部门间及时沟通。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改进情况：经过梳理分析，所接收信息公开、行政复议、行政诉讼等多为城改工作引发的后续问题，故主要从以下两方面进行改进：一是加强业务学习，明确专人负责，学习信息公开相关业务知识，扩充知识体系，做好与律师之间的沟通及答复内容的撰写等工作；二是做好解释沟通工作，与村委会、村民、各职能部门建立良性沟通机制，充分发挥主观能动性，积极做好相关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黑体" w:hAnsi="黑体" w:eastAsia="黑体" w:cs="黑体"/>
          <w:color w:val="auto"/>
          <w:kern w:val="2"/>
          <w:sz w:val="32"/>
          <w:szCs w:val="24"/>
          <w:highlight w:val="none"/>
          <w:lang w:val="en-US" w:eastAsia="zh-CN" w:bidi="ar-SA"/>
        </w:rPr>
      </w:pPr>
      <w:r>
        <w:rPr>
          <w:rFonts w:hint="eastAsia" w:ascii="黑体" w:hAnsi="黑体" w:eastAsia="黑体" w:cs="黑体"/>
          <w:color w:val="auto"/>
          <w:kern w:val="2"/>
          <w:sz w:val="32"/>
          <w:szCs w:val="24"/>
          <w:highlight w:val="none"/>
          <w:lang w:val="en-US" w:eastAsia="zh-CN" w:bidi="ar-SA"/>
        </w:rPr>
        <w:t>六、其他需要报告的事项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2"/>
          <w:sz w:val="32"/>
          <w:szCs w:val="24"/>
          <w:highlight w:val="none"/>
          <w:lang w:val="en-US" w:eastAsia="zh-CN" w:bidi="ar-SA"/>
        </w:rPr>
      </w:pPr>
      <w:r>
        <w:rPr>
          <w:rFonts w:hint="eastAsia" w:ascii="仿宋_GB2312" w:hAnsi="Times New Roman" w:eastAsia="仿宋_GB2312" w:cs="Times New Roman"/>
          <w:color w:val="auto"/>
          <w:kern w:val="2"/>
          <w:sz w:val="32"/>
          <w:szCs w:val="24"/>
          <w:highlight w:val="none"/>
          <w:lang w:val="en-US" w:eastAsia="zh-CN" w:bidi="ar-SA"/>
        </w:rPr>
        <w:t>韩庄乡认真贯彻执行国务院办公厅《政府信息公开信息处理费管理办法》和《关于政府信息公开处理费管理有关事项的通知》，202</w:t>
      </w:r>
      <w:r>
        <w:rPr>
          <w:rFonts w:hint="default" w:ascii="仿宋_GB2312" w:hAnsi="Times New Roman" w:eastAsia="仿宋_GB2312" w:cs="Times New Roman"/>
          <w:color w:val="auto"/>
          <w:kern w:val="2"/>
          <w:sz w:val="32"/>
          <w:szCs w:val="24"/>
          <w:highlight w:val="none"/>
          <w:lang w:val="en-US" w:eastAsia="zh-CN" w:bidi="ar-SA"/>
        </w:rPr>
        <w:t>4</w:t>
      </w:r>
      <w:r>
        <w:rPr>
          <w:rFonts w:hint="eastAsia" w:ascii="仿宋_GB2312" w:hAnsi="Times New Roman" w:eastAsia="仿宋_GB2312" w:cs="Times New Roman"/>
          <w:color w:val="auto"/>
          <w:kern w:val="2"/>
          <w:sz w:val="32"/>
          <w:szCs w:val="24"/>
          <w:highlight w:val="none"/>
          <w:lang w:val="en-US" w:eastAsia="zh-CN" w:bidi="ar-SA"/>
        </w:rPr>
        <w:t>年未收取信息处理费。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highlight w:val="none"/>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F9FCD"/>
    <w:multiLevelType w:val="singleLevel"/>
    <w:tmpl w:val="BB3F9FC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BjOGY4YWQ4NGY3N2Y3NWJmMjg0ZTM5ODI4MTIifQ=="/>
  </w:docVars>
  <w:rsids>
    <w:rsidRoot w:val="3E5B229F"/>
    <w:rsid w:val="00A51E0C"/>
    <w:rsid w:val="00C405B3"/>
    <w:rsid w:val="00E11F35"/>
    <w:rsid w:val="068A22D9"/>
    <w:rsid w:val="092030EA"/>
    <w:rsid w:val="09210B60"/>
    <w:rsid w:val="0A2C6C57"/>
    <w:rsid w:val="0ADA78EF"/>
    <w:rsid w:val="0B800A4F"/>
    <w:rsid w:val="1050729C"/>
    <w:rsid w:val="11492CA5"/>
    <w:rsid w:val="11EB6E34"/>
    <w:rsid w:val="12B1644B"/>
    <w:rsid w:val="15D078F9"/>
    <w:rsid w:val="163344C0"/>
    <w:rsid w:val="1B633586"/>
    <w:rsid w:val="1C275F62"/>
    <w:rsid w:val="1E113539"/>
    <w:rsid w:val="1FF80CA2"/>
    <w:rsid w:val="20265037"/>
    <w:rsid w:val="21B7694B"/>
    <w:rsid w:val="226B599B"/>
    <w:rsid w:val="23282BB1"/>
    <w:rsid w:val="2A6819E9"/>
    <w:rsid w:val="2FB33563"/>
    <w:rsid w:val="30647164"/>
    <w:rsid w:val="30C679AB"/>
    <w:rsid w:val="32CD1209"/>
    <w:rsid w:val="3ADF15BA"/>
    <w:rsid w:val="3E5B229F"/>
    <w:rsid w:val="3ECB4852"/>
    <w:rsid w:val="3EDFFA57"/>
    <w:rsid w:val="417C4413"/>
    <w:rsid w:val="45490FAB"/>
    <w:rsid w:val="458E735C"/>
    <w:rsid w:val="45E624AB"/>
    <w:rsid w:val="46DB0146"/>
    <w:rsid w:val="495B0AA1"/>
    <w:rsid w:val="49CC34A9"/>
    <w:rsid w:val="4F02340C"/>
    <w:rsid w:val="51FA1ECD"/>
    <w:rsid w:val="52031175"/>
    <w:rsid w:val="52522F67"/>
    <w:rsid w:val="53663C1B"/>
    <w:rsid w:val="578A311A"/>
    <w:rsid w:val="57C25849"/>
    <w:rsid w:val="5C627002"/>
    <w:rsid w:val="5CC86E78"/>
    <w:rsid w:val="5CCC10FB"/>
    <w:rsid w:val="5D5C7592"/>
    <w:rsid w:val="5DDC2D8A"/>
    <w:rsid w:val="5DFF0975"/>
    <w:rsid w:val="5E4044BD"/>
    <w:rsid w:val="5F6FB671"/>
    <w:rsid w:val="5FFFE9AE"/>
    <w:rsid w:val="60063192"/>
    <w:rsid w:val="603158D4"/>
    <w:rsid w:val="612466A9"/>
    <w:rsid w:val="62CF7EBC"/>
    <w:rsid w:val="634E7408"/>
    <w:rsid w:val="6677329F"/>
    <w:rsid w:val="6690376E"/>
    <w:rsid w:val="67DFD6CD"/>
    <w:rsid w:val="69531548"/>
    <w:rsid w:val="69F22086"/>
    <w:rsid w:val="6A0749AD"/>
    <w:rsid w:val="6AE16731"/>
    <w:rsid w:val="6BC07485"/>
    <w:rsid w:val="6C101A24"/>
    <w:rsid w:val="6EC33C03"/>
    <w:rsid w:val="6FF93F5E"/>
    <w:rsid w:val="72826491"/>
    <w:rsid w:val="74116C22"/>
    <w:rsid w:val="788720D5"/>
    <w:rsid w:val="78CA4635"/>
    <w:rsid w:val="7B9B1601"/>
    <w:rsid w:val="7C5D68C6"/>
    <w:rsid w:val="7C986F54"/>
    <w:rsid w:val="7F8525F4"/>
    <w:rsid w:val="7FBE8AFC"/>
    <w:rsid w:val="9EF7D719"/>
    <w:rsid w:val="B4F1D072"/>
    <w:rsid w:val="B5EE259C"/>
    <w:rsid w:val="B9673F02"/>
    <w:rsid w:val="EBF3849A"/>
    <w:rsid w:val="EF673899"/>
    <w:rsid w:val="F72BF558"/>
    <w:rsid w:val="FDE7BBF8"/>
    <w:rsid w:val="FF9EC7AE"/>
    <w:rsid w:val="FFF6A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5">
    <w:name w:val="Strong"/>
    <w:basedOn w:val="4"/>
    <w:qFormat/>
    <w:uiPriority w:val="0"/>
    <w:rPr>
      <w:b/>
    </w:rPr>
  </w:style>
  <w:style w:type="character" w:styleId="6">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1332</Words>
  <Characters>1354</Characters>
  <Lines>29</Lines>
  <Paragraphs>8</Paragraphs>
  <TotalTime>5</TotalTime>
  <ScaleCrop>false</ScaleCrop>
  <LinksUpToDate>false</LinksUpToDate>
  <CharactersWithSpaces>1534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2019-12-31T19:38:00Z</dcterms:created>
  <dc:creator>小公举</dc:creator>
  <cp:lastModifiedBy>work</cp:lastModifiedBy>
  <cp:lastPrinted>2019-12-31T19:40:00Z</cp:lastPrinted>
  <dcterms:modified xsi:type="dcterms:W3CDTF">2025-01-17T17:22:14Z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FC0CCB30B0024A23AC1431C868CFE5C5</vt:lpwstr>
  </property>
</Properties>
</file>