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方正小标宋简体" w:hAnsi="方正小标宋简体" w:eastAsia="方正小标宋简体" w:cs="方正小标宋简体"/>
          <w:kern w:val="0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保定市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莲池区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统计局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微软雅黑" w:hAnsi="微软雅黑" w:eastAsia="微软雅黑" w:cs="微软雅黑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年政府信息公开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年度报告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根据《中华人民共和国政府信息公开条例》《中华人民共和国政府信息公开工作年度报告格式（试行）》《河北省实施〈中华人民共和国政府信息公开条例〉办法》等规定，全文包括总体情况、主动公开政府信息情况、收到和处理政府信息公开申请情况、政府信息公开行政复议和行政诉讼情况、存在问题及改进情况、其他需要报告的事项等六部分组成。报告中所列数据统计期限为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年12月31日。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总体情况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政府的正确领导下，202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统计局政府信息公开工作按照公开、规范、高效、廉政的要求，认真实施《中华人民共和国政府信息公开条例》，按照《保定市202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年政务公开工作要点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》要求，扎实推进政府信息公开工作。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highlight w:val="yellow"/>
          <w:lang w:eastAsia="zh-CN"/>
        </w:rPr>
      </w:pPr>
      <w:r>
        <w:rPr>
          <w:rFonts w:ascii="楷体" w:hAnsi="楷体" w:eastAsia="楷体" w:cs="楷体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14:textFill>
            <w14:solidFill>
              <w14:schemeClr w14:val="tx1"/>
            </w14:solidFill>
          </w14:textFill>
        </w:rPr>
        <w:t>（一）主动公开情况。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严格按照上级要求，在保定市莲池区人民政府网行政执法板块、河北省行政执法公示平台公示执法事项和执法信息、执法流程等内容。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（二）依申请公开情况。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严格按照《中华人民共和国政府信息公开条例》、《河北省政府信息公开申请办理规范》，进一步规范依申请公开工作，建立健全接收、登记、办理、答复等业务流程，对从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网络、信函、当面申请等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多种渠道收到的依申请公开事项均严格按照条例规定进行答复处理。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2024年，区统计局收到政府信息公开申请1件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，并按规定予以公开。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（三）政府信息管理。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及时在区政府网站调整更新本单位的政务公开事项目录、机构职能等信息。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（四）政府信息公开平台建设。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充分发挥政务新媒体正面宣传引导作用，严格落实政务新媒体账号备案登记制度，认真履行信息发布审核制度，确保信息发布准确安全。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（五）监督保障。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4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418"/>
        <w:gridCol w:w="2044"/>
        <w:gridCol w:w="2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87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022"/>
        <w:gridCol w:w="2205"/>
        <w:gridCol w:w="694"/>
        <w:gridCol w:w="687"/>
        <w:gridCol w:w="687"/>
        <w:gridCol w:w="687"/>
        <w:gridCol w:w="687"/>
        <w:gridCol w:w="688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rPr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9126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410"/>
        <w:gridCol w:w="700"/>
        <w:gridCol w:w="666"/>
        <w:gridCol w:w="667"/>
        <w:gridCol w:w="650"/>
        <w:gridCol w:w="417"/>
        <w:gridCol w:w="666"/>
        <w:gridCol w:w="634"/>
        <w:gridCol w:w="683"/>
        <w:gridCol w:w="617"/>
        <w:gridCol w:w="4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1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1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年，虽然取得一定成效，但对照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新时代、新形势、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新要求，仍存在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差距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年，我们将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按照有关要求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进一步加大公开力度，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及时准确，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突出重点，围绕中心，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服务大局，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开创我局信息公开工作新局面。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认真贯彻执行国务院办公厅《政府信息公开信息处理费管理办法》和《关于政府信息公开处理费管理有关事项的通知》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年我局未收取信息处理费。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89" w:rightChars="566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5050790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7.7pt;margin-top:-0.7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6fOwvNkAAAALAQAADwAAAAAAAAABACAAAAA4AAAAZHJzL2Rvd25y&#10;ZXYueG1sUEsBAhQAFAAAAAgAh07iQGUktTAgAgAANwQAAA4AAAAAAAAAAQAgAAAAP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88A1F"/>
    <w:multiLevelType w:val="singleLevel"/>
    <w:tmpl w:val="A0388A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OTljYmI5ZTJjN2VjMjI2MTcyOTg2ODMwZmY2YTYifQ=="/>
  </w:docVars>
  <w:rsids>
    <w:rsidRoot w:val="006F6AC3"/>
    <w:rsid w:val="006F6AC3"/>
    <w:rsid w:val="00A87FD5"/>
    <w:rsid w:val="00BC3CFE"/>
    <w:rsid w:val="00C35B5A"/>
    <w:rsid w:val="00F64DCE"/>
    <w:rsid w:val="037A5FA2"/>
    <w:rsid w:val="05392C7E"/>
    <w:rsid w:val="05582463"/>
    <w:rsid w:val="05BF6935"/>
    <w:rsid w:val="06A967F3"/>
    <w:rsid w:val="0B835865"/>
    <w:rsid w:val="0C60388A"/>
    <w:rsid w:val="0D215336"/>
    <w:rsid w:val="0DCD67B7"/>
    <w:rsid w:val="0FFC12A3"/>
    <w:rsid w:val="13B526E3"/>
    <w:rsid w:val="14D0319D"/>
    <w:rsid w:val="1A1321AE"/>
    <w:rsid w:val="1BE614F8"/>
    <w:rsid w:val="1F8D685B"/>
    <w:rsid w:val="28356667"/>
    <w:rsid w:val="29FA2D3E"/>
    <w:rsid w:val="2CFF4013"/>
    <w:rsid w:val="2E735E93"/>
    <w:rsid w:val="34285A1D"/>
    <w:rsid w:val="34BB3ED8"/>
    <w:rsid w:val="36FFEA2C"/>
    <w:rsid w:val="375779CA"/>
    <w:rsid w:val="39CC34D5"/>
    <w:rsid w:val="3A1E3A53"/>
    <w:rsid w:val="3A6100A6"/>
    <w:rsid w:val="3C2C06B3"/>
    <w:rsid w:val="3D3F2302"/>
    <w:rsid w:val="3DFF227A"/>
    <w:rsid w:val="41876A2B"/>
    <w:rsid w:val="4246491B"/>
    <w:rsid w:val="46147B89"/>
    <w:rsid w:val="4642189D"/>
    <w:rsid w:val="46765126"/>
    <w:rsid w:val="47A125F4"/>
    <w:rsid w:val="4A3119AC"/>
    <w:rsid w:val="4B797B0F"/>
    <w:rsid w:val="4EE334F2"/>
    <w:rsid w:val="4F46029D"/>
    <w:rsid w:val="4F583EE0"/>
    <w:rsid w:val="50070356"/>
    <w:rsid w:val="51B7313F"/>
    <w:rsid w:val="51D75153"/>
    <w:rsid w:val="524F15CA"/>
    <w:rsid w:val="53B80212"/>
    <w:rsid w:val="541C74ED"/>
    <w:rsid w:val="556F4F3C"/>
    <w:rsid w:val="594A2AEB"/>
    <w:rsid w:val="59897A48"/>
    <w:rsid w:val="5EAC1B52"/>
    <w:rsid w:val="5F5A335C"/>
    <w:rsid w:val="5F700DD2"/>
    <w:rsid w:val="5FD70AD0"/>
    <w:rsid w:val="61A42FB4"/>
    <w:rsid w:val="6299063F"/>
    <w:rsid w:val="64E218C0"/>
    <w:rsid w:val="672534B5"/>
    <w:rsid w:val="69980803"/>
    <w:rsid w:val="6B554645"/>
    <w:rsid w:val="70C81658"/>
    <w:rsid w:val="71E80C9B"/>
    <w:rsid w:val="72B67B7B"/>
    <w:rsid w:val="779129A2"/>
    <w:rsid w:val="77CB0AD2"/>
    <w:rsid w:val="78EA354B"/>
    <w:rsid w:val="7B3F7B7E"/>
    <w:rsid w:val="7DDD367E"/>
    <w:rsid w:val="7F7E30AB"/>
    <w:rsid w:val="FFF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hd w:val="clear" w:color="auto" w:fill="FFFFFF"/>
      <w:adjustRightInd w:val="0"/>
      <w:spacing w:before="340" w:beforeAutospacing="1" w:after="330" w:afterAutospacing="1" w:line="578" w:lineRule="atLeast"/>
      <w:ind w:left="640"/>
      <w:jc w:val="left"/>
      <w:outlineLvl w:val="0"/>
    </w:pPr>
    <w:rPr>
      <w:rFonts w:cs="Times New Roman" w:asciiTheme="minorEastAsia" w:hAnsiTheme="minorEastAsia"/>
      <w:b/>
      <w:bCs/>
      <w:color w:val="666666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2786E4"/>
      <w:u w:val="none"/>
    </w:rPr>
  </w:style>
  <w:style w:type="character" w:styleId="9">
    <w:name w:val="Hyperlink"/>
    <w:basedOn w:val="7"/>
    <w:qFormat/>
    <w:uiPriority w:val="0"/>
    <w:rPr>
      <w:color w:val="262626"/>
      <w:u w:val="none"/>
    </w:rPr>
  </w:style>
  <w:style w:type="character" w:customStyle="1" w:styleId="10">
    <w:name w:val="rec-time"/>
    <w:basedOn w:val="7"/>
    <w:qFormat/>
    <w:uiPriority w:val="0"/>
  </w:style>
  <w:style w:type="character" w:customStyle="1" w:styleId="11">
    <w:name w:val="rec-volume"/>
    <w:basedOn w:val="7"/>
    <w:qFormat/>
    <w:uiPriority w:val="0"/>
  </w:style>
  <w:style w:type="character" w:customStyle="1" w:styleId="12">
    <w:name w:val="rec-status-desc"/>
    <w:basedOn w:val="7"/>
    <w:qFormat/>
    <w:uiPriority w:val="0"/>
  </w:style>
  <w:style w:type="character" w:customStyle="1" w:styleId="13">
    <w:name w:val="append-icon"/>
    <w:basedOn w:val="7"/>
    <w:qFormat/>
    <w:uiPriority w:val="0"/>
    <w:rPr>
      <w:sz w:val="36"/>
      <w:szCs w:val="36"/>
    </w:rPr>
  </w:style>
  <w:style w:type="character" w:customStyle="1" w:styleId="14">
    <w:name w:val="zwxxgk_bnt6"/>
    <w:basedOn w:val="7"/>
    <w:qFormat/>
    <w:uiPriority w:val="0"/>
  </w:style>
  <w:style w:type="character" w:customStyle="1" w:styleId="15">
    <w:name w:val="zwxxgk_bnt61"/>
    <w:basedOn w:val="7"/>
    <w:qFormat/>
    <w:uiPriority w:val="0"/>
  </w:style>
  <w:style w:type="character" w:customStyle="1" w:styleId="16">
    <w:name w:val="zwxxgk_bnt5"/>
    <w:basedOn w:val="7"/>
    <w:qFormat/>
    <w:uiPriority w:val="0"/>
  </w:style>
  <w:style w:type="character" w:customStyle="1" w:styleId="17">
    <w:name w:val="zwxxgk_bnt51"/>
    <w:basedOn w:val="7"/>
    <w:qFormat/>
    <w:uiPriority w:val="0"/>
  </w:style>
  <w:style w:type="character" w:customStyle="1" w:styleId="18">
    <w:name w:val="zwxxgk_bnt52"/>
    <w:basedOn w:val="7"/>
    <w:qFormat/>
    <w:uiPriority w:val="0"/>
  </w:style>
  <w:style w:type="character" w:customStyle="1" w:styleId="19">
    <w:name w:val="zwxxgk_bnt53"/>
    <w:basedOn w:val="7"/>
    <w:qFormat/>
    <w:uiPriority w:val="0"/>
  </w:style>
  <w:style w:type="character" w:customStyle="1" w:styleId="20">
    <w:name w:val="zwxxgk_bnt54"/>
    <w:basedOn w:val="7"/>
    <w:qFormat/>
    <w:uiPriority w:val="0"/>
  </w:style>
  <w:style w:type="character" w:customStyle="1" w:styleId="21">
    <w:name w:val="zwxxgk_bnt62"/>
    <w:basedOn w:val="7"/>
    <w:qFormat/>
    <w:uiPriority w:val="0"/>
  </w:style>
  <w:style w:type="character" w:customStyle="1" w:styleId="22">
    <w:name w:val="zwxxgk_bnt63"/>
    <w:basedOn w:val="7"/>
    <w:qFormat/>
    <w:uiPriority w:val="0"/>
  </w:style>
  <w:style w:type="character" w:customStyle="1" w:styleId="23">
    <w:name w:val="nav-item-icon"/>
    <w:basedOn w:val="7"/>
    <w:qFormat/>
    <w:uiPriority w:val="0"/>
  </w:style>
  <w:style w:type="character" w:customStyle="1" w:styleId="24">
    <w:name w:val="append-icon1"/>
    <w:basedOn w:val="7"/>
    <w:qFormat/>
    <w:uiPriority w:val="0"/>
    <w:rPr>
      <w:sz w:val="54"/>
      <w:szCs w:val="54"/>
    </w:rPr>
  </w:style>
  <w:style w:type="character" w:customStyle="1" w:styleId="25">
    <w:name w:val="nav-item-title"/>
    <w:basedOn w:val="7"/>
    <w:qFormat/>
    <w:uiPriority w:val="0"/>
    <w:rPr>
      <w:sz w:val="54"/>
      <w:szCs w:val="54"/>
    </w:rPr>
  </w:style>
  <w:style w:type="character" w:customStyle="1" w:styleId="26">
    <w:name w:val="nav-item-expand"/>
    <w:basedOn w:val="7"/>
    <w:qFormat/>
    <w:uiPriority w:val="0"/>
  </w:style>
  <w:style w:type="character" w:customStyle="1" w:styleId="27">
    <w:name w:val="nav-item-expand1"/>
    <w:basedOn w:val="7"/>
    <w:qFormat/>
    <w:uiPriority w:val="0"/>
  </w:style>
  <w:style w:type="character" w:customStyle="1" w:styleId="28">
    <w:name w:val="nav-item-expand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1965</Words>
  <Characters>2015</Characters>
  <Lines>13</Lines>
  <Paragraphs>3</Paragraphs>
  <TotalTime>14</TotalTime>
  <ScaleCrop>false</ScaleCrop>
  <LinksUpToDate>false</LinksUpToDate>
  <CharactersWithSpaces>2039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2023-01-12T03:38:00Z</dcterms:created>
  <dc:creator>lenovo</dc:creator>
  <cp:lastModifiedBy>work</cp:lastModifiedBy>
  <cp:lastPrinted>2025-01-06T09:23:00Z</cp:lastPrinted>
  <dcterms:modified xsi:type="dcterms:W3CDTF">2025-01-06T15:03:09Z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70B6B32692EF4EB59EA0EFE4BC6EF50E_13</vt:lpwstr>
  </property>
  <property fmtid="{D5CDD505-2E9C-101B-9397-08002B2CF9AE}" pid="4" name="KSOTemplateDocerSaveRecord">
    <vt:lpwstr>eyJoZGlkIjoiMjZiMWUwNmUzZTZmZTBlYzUwZjIwOWY5MTFhMjMzY2MiLCJ1c2VySWQiOiIxMDcyOTU2NTc5In0=</vt:lpwstr>
  </property>
</Properties>
</file>