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617CE" w14:textId="77777777" w:rsidR="00100948" w:rsidRDefault="00100948">
      <w:pPr>
        <w:spacing w:line="560" w:lineRule="exact"/>
        <w:jc w:val="center"/>
        <w:textAlignment w:val="center"/>
        <w:rPr>
          <w:rFonts w:ascii="仿宋" w:eastAsia="仿宋" w:hAnsi="仿宋"/>
          <w:sz w:val="32"/>
          <w:szCs w:val="32"/>
        </w:rPr>
      </w:pPr>
    </w:p>
    <w:p w14:paraId="2F0DA167" w14:textId="77777777" w:rsidR="00100948" w:rsidRDefault="002F08B6">
      <w:pPr>
        <w:spacing w:line="560" w:lineRule="exact"/>
        <w:jc w:val="center"/>
        <w:textAlignment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关于</w:t>
      </w:r>
      <w:r>
        <w:rPr>
          <w:rFonts w:ascii="黑体" w:eastAsia="黑体" w:hAnsi="黑体" w:hint="eastAsia"/>
          <w:b/>
          <w:sz w:val="36"/>
          <w:szCs w:val="36"/>
        </w:rPr>
        <w:t>2025</w:t>
      </w:r>
      <w:r>
        <w:rPr>
          <w:rFonts w:ascii="黑体" w:eastAsia="黑体" w:hAnsi="黑体" w:hint="eastAsia"/>
          <w:b/>
          <w:sz w:val="36"/>
          <w:szCs w:val="36"/>
        </w:rPr>
        <w:t>年区级预算公开有关事项的说明</w:t>
      </w:r>
    </w:p>
    <w:p w14:paraId="51C1E5C5" w14:textId="77777777" w:rsidR="00100948" w:rsidRDefault="00100948">
      <w:pPr>
        <w:spacing w:line="560" w:lineRule="exact"/>
        <w:ind w:firstLineChars="200" w:firstLine="723"/>
        <w:jc w:val="center"/>
        <w:textAlignment w:val="center"/>
        <w:rPr>
          <w:rFonts w:ascii="黑体" w:eastAsia="黑体" w:hAnsi="黑体"/>
          <w:b/>
          <w:sz w:val="36"/>
          <w:szCs w:val="36"/>
        </w:rPr>
      </w:pPr>
    </w:p>
    <w:p w14:paraId="78757D39" w14:textId="77777777" w:rsidR="00100948" w:rsidRDefault="002F08B6">
      <w:pPr>
        <w:spacing w:line="360" w:lineRule="auto"/>
        <w:ind w:firstLineChars="200" w:firstLine="640"/>
        <w:textAlignment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2025</w:t>
      </w:r>
      <w:r>
        <w:rPr>
          <w:rFonts w:ascii="黑体" w:eastAsia="黑体" w:hAnsi="黑体" w:hint="eastAsia"/>
          <w:sz w:val="32"/>
          <w:szCs w:val="32"/>
        </w:rPr>
        <w:t>年区级“三公”经费预算安排说明</w:t>
      </w:r>
    </w:p>
    <w:p w14:paraId="55C7F3BD" w14:textId="77777777" w:rsidR="00100948" w:rsidRDefault="002F08B6">
      <w:pPr>
        <w:spacing w:line="360" w:lineRule="auto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2025</w:t>
      </w:r>
      <w:r>
        <w:rPr>
          <w:rFonts w:ascii="仿宋" w:eastAsia="仿宋" w:hAnsi="仿宋" w:hint="eastAsia"/>
          <w:sz w:val="32"/>
          <w:szCs w:val="32"/>
        </w:rPr>
        <w:t>年，我区认真落实国家有关规定，严控“三公”经费及一般性开支，共安排“三公”经费预算</w:t>
      </w:r>
      <w:r>
        <w:rPr>
          <w:rFonts w:ascii="仿宋" w:eastAsia="仿宋" w:hAnsi="仿宋" w:hint="eastAsia"/>
          <w:sz w:val="32"/>
          <w:szCs w:val="32"/>
        </w:rPr>
        <w:t>365</w:t>
      </w:r>
      <w:r>
        <w:rPr>
          <w:rFonts w:ascii="仿宋" w:eastAsia="仿宋" w:hAnsi="仿宋" w:hint="eastAsia"/>
          <w:sz w:val="32"/>
          <w:szCs w:val="32"/>
        </w:rPr>
        <w:t>万元。具体情况为：</w:t>
      </w:r>
    </w:p>
    <w:p w14:paraId="6181D33C" w14:textId="77777777" w:rsidR="00100948" w:rsidRDefault="002F08B6">
      <w:pPr>
        <w:spacing w:line="360" w:lineRule="auto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（一）因公出国（境）费。共安排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14:paraId="58B77C3F" w14:textId="77777777" w:rsidR="00100948" w:rsidRDefault="002F08B6">
      <w:pPr>
        <w:spacing w:line="360" w:lineRule="auto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（二）公务用车购置及运行维护费。共安排</w:t>
      </w:r>
      <w:r>
        <w:rPr>
          <w:rFonts w:ascii="仿宋" w:eastAsia="仿宋" w:hAnsi="仿宋" w:hint="eastAsia"/>
          <w:sz w:val="32"/>
          <w:szCs w:val="32"/>
        </w:rPr>
        <w:t>334</w:t>
      </w:r>
      <w:r>
        <w:rPr>
          <w:rFonts w:ascii="仿宋" w:eastAsia="仿宋" w:hAnsi="仿宋" w:hint="eastAsia"/>
          <w:sz w:val="32"/>
          <w:szCs w:val="32"/>
        </w:rPr>
        <w:t>万元，其中公务用车购置费</w:t>
      </w:r>
      <w:r>
        <w:rPr>
          <w:rFonts w:ascii="仿宋" w:eastAsia="仿宋" w:hAnsi="仿宋" w:hint="eastAsia"/>
          <w:sz w:val="32"/>
          <w:szCs w:val="32"/>
        </w:rPr>
        <w:t>24</w:t>
      </w:r>
      <w:r>
        <w:rPr>
          <w:rFonts w:ascii="仿宋" w:eastAsia="仿宋" w:hAnsi="仿宋" w:hint="eastAsia"/>
          <w:sz w:val="32"/>
          <w:szCs w:val="32"/>
        </w:rPr>
        <w:t>万元，公务用车运行费</w:t>
      </w:r>
      <w:r>
        <w:rPr>
          <w:rFonts w:ascii="仿宋" w:eastAsia="仿宋" w:hAnsi="仿宋" w:hint="eastAsia"/>
          <w:sz w:val="32"/>
          <w:szCs w:val="32"/>
        </w:rPr>
        <w:t>310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14:paraId="310F5C2A" w14:textId="77777777" w:rsidR="00100948" w:rsidRDefault="002F08B6">
      <w:pPr>
        <w:spacing w:line="360" w:lineRule="auto"/>
        <w:ind w:firstLineChars="150" w:firstLine="480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（三）公务接待费。共安排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14:paraId="7A41E46F" w14:textId="77777777" w:rsidR="00100948" w:rsidRDefault="002F08B6">
      <w:pPr>
        <w:spacing w:line="360" w:lineRule="auto"/>
        <w:ind w:firstLineChars="150" w:firstLine="482"/>
        <w:textAlignment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二、区级地方政府债券还本付息情况</w:t>
      </w:r>
    </w:p>
    <w:p w14:paraId="65CD64EE" w14:textId="6B0FE23F" w:rsidR="00100948" w:rsidRDefault="002F08B6">
      <w:pPr>
        <w:spacing w:line="360" w:lineRule="auto"/>
        <w:ind w:firstLineChars="150" w:firstLine="480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根据全区政府性债务实际情况，</w:t>
      </w:r>
      <w:r>
        <w:rPr>
          <w:rFonts w:ascii="仿宋" w:eastAsia="仿宋" w:hAnsi="仿宋" w:hint="eastAsia"/>
          <w:sz w:val="32"/>
          <w:szCs w:val="32"/>
        </w:rPr>
        <w:t>2025</w:t>
      </w:r>
      <w:r>
        <w:rPr>
          <w:rFonts w:ascii="仿宋" w:eastAsia="仿宋" w:hAnsi="仿宋" w:hint="eastAsia"/>
          <w:sz w:val="32"/>
          <w:szCs w:val="32"/>
        </w:rPr>
        <w:t>年安排区级地方政府债券付息资金</w:t>
      </w:r>
      <w:r>
        <w:rPr>
          <w:rFonts w:ascii="仿宋" w:eastAsia="仿宋" w:hAnsi="仿宋" w:hint="eastAsia"/>
          <w:sz w:val="32"/>
          <w:szCs w:val="32"/>
        </w:rPr>
        <w:t>5.2</w:t>
      </w:r>
      <w:r>
        <w:rPr>
          <w:rFonts w:ascii="仿宋" w:eastAsia="仿宋" w:hAnsi="仿宋" w:hint="eastAsia"/>
          <w:sz w:val="32"/>
          <w:szCs w:val="32"/>
        </w:rPr>
        <w:t>亿。</w:t>
      </w:r>
      <w:r>
        <w:rPr>
          <w:rFonts w:ascii="仿宋" w:eastAsia="仿宋" w:hAnsi="仿宋" w:hint="eastAsia"/>
          <w:sz w:val="32"/>
          <w:szCs w:val="32"/>
        </w:rPr>
        <w:t>2025</w:t>
      </w:r>
      <w:r>
        <w:rPr>
          <w:rFonts w:ascii="仿宋" w:eastAsia="仿宋" w:hAnsi="仿宋" w:hint="eastAsia"/>
          <w:sz w:val="32"/>
          <w:szCs w:val="32"/>
        </w:rPr>
        <w:t>年一般债券</w:t>
      </w:r>
      <w:r>
        <w:rPr>
          <w:rFonts w:ascii="仿宋" w:eastAsia="仿宋" w:hAnsi="仿宋"/>
          <w:sz w:val="32"/>
          <w:szCs w:val="32"/>
        </w:rPr>
        <w:t>限额</w:t>
      </w:r>
      <w:r>
        <w:rPr>
          <w:rFonts w:ascii="仿宋" w:eastAsia="仿宋" w:hAnsi="仿宋" w:hint="eastAsia"/>
          <w:sz w:val="32"/>
          <w:szCs w:val="32"/>
        </w:rPr>
        <w:t>0.</w:t>
      </w:r>
      <w:r w:rsidR="009E6D97">
        <w:rPr>
          <w:rFonts w:ascii="仿宋" w:eastAsia="仿宋" w:hAnsi="仿宋"/>
          <w:sz w:val="32"/>
          <w:szCs w:val="32"/>
        </w:rPr>
        <w:t>36</w:t>
      </w:r>
      <w:r>
        <w:rPr>
          <w:rFonts w:ascii="仿宋" w:eastAsia="仿宋" w:hAnsi="仿宋" w:hint="eastAsia"/>
          <w:sz w:val="32"/>
          <w:szCs w:val="32"/>
        </w:rPr>
        <w:t>亿元</w:t>
      </w:r>
      <w:r>
        <w:rPr>
          <w:rFonts w:ascii="仿宋" w:eastAsia="仿宋" w:hAnsi="仿宋"/>
          <w:sz w:val="32"/>
          <w:szCs w:val="32"/>
        </w:rPr>
        <w:t>，专项</w:t>
      </w:r>
      <w:r>
        <w:rPr>
          <w:rFonts w:ascii="仿宋" w:eastAsia="仿宋" w:hAnsi="仿宋" w:hint="eastAsia"/>
          <w:sz w:val="32"/>
          <w:szCs w:val="32"/>
        </w:rPr>
        <w:t>债券</w:t>
      </w:r>
      <w:r>
        <w:rPr>
          <w:rFonts w:ascii="仿宋" w:eastAsia="仿宋" w:hAnsi="仿宋"/>
          <w:sz w:val="32"/>
          <w:szCs w:val="32"/>
        </w:rPr>
        <w:t>限额</w:t>
      </w:r>
      <w:r w:rsidR="009E6D97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亿元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2025</w:t>
      </w:r>
      <w:r>
        <w:rPr>
          <w:rFonts w:ascii="仿宋" w:eastAsia="仿宋" w:hAnsi="仿宋" w:hint="eastAsia"/>
          <w:sz w:val="32"/>
          <w:szCs w:val="32"/>
        </w:rPr>
        <w:t>年年初</w:t>
      </w:r>
      <w:r>
        <w:rPr>
          <w:rFonts w:ascii="仿宋" w:eastAsia="仿宋" w:hAnsi="仿宋" w:hint="eastAsia"/>
          <w:sz w:val="32"/>
          <w:szCs w:val="32"/>
        </w:rPr>
        <w:t>债务余额为</w:t>
      </w:r>
      <w:r w:rsidR="00C3764A">
        <w:rPr>
          <w:rFonts w:ascii="仿宋" w:eastAsia="仿宋" w:hAnsi="仿宋" w:hint="eastAsia"/>
          <w:sz w:val="32"/>
          <w:szCs w:val="32"/>
        </w:rPr>
        <w:t>1</w:t>
      </w:r>
      <w:r w:rsidR="00C3764A">
        <w:rPr>
          <w:rFonts w:ascii="仿宋" w:eastAsia="仿宋" w:hAnsi="仿宋"/>
          <w:sz w:val="32"/>
          <w:szCs w:val="32"/>
        </w:rPr>
        <w:t>00.3</w:t>
      </w:r>
      <w:r>
        <w:rPr>
          <w:rFonts w:ascii="仿宋" w:eastAsia="仿宋" w:hAnsi="仿宋" w:hint="eastAsia"/>
          <w:sz w:val="32"/>
          <w:szCs w:val="32"/>
        </w:rPr>
        <w:t>亿元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4F2EF586" w14:textId="77777777" w:rsidR="00100948" w:rsidRDefault="002F08B6">
      <w:pPr>
        <w:spacing w:line="360" w:lineRule="auto"/>
        <w:ind w:firstLineChars="150" w:firstLine="482"/>
        <w:textAlignment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三、财政转移支付安排情况</w:t>
      </w:r>
    </w:p>
    <w:p w14:paraId="24A201B5" w14:textId="22EC0C5D" w:rsidR="00100948" w:rsidRDefault="002F08B6">
      <w:pPr>
        <w:spacing w:line="360" w:lineRule="auto"/>
        <w:ind w:firstLineChars="150" w:firstLine="480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2025</w:t>
      </w:r>
      <w:r>
        <w:rPr>
          <w:rFonts w:ascii="仿宋" w:eastAsia="仿宋" w:hAnsi="仿宋" w:hint="eastAsia"/>
          <w:sz w:val="32"/>
          <w:szCs w:val="32"/>
        </w:rPr>
        <w:t>年财政上级补助收入安排</w:t>
      </w:r>
      <w:r w:rsidR="00FC0798">
        <w:rPr>
          <w:rFonts w:ascii="仿宋" w:eastAsia="仿宋" w:hAnsi="仿宋"/>
          <w:sz w:val="32"/>
          <w:szCs w:val="32"/>
        </w:rPr>
        <w:t>62771</w:t>
      </w:r>
      <w:r>
        <w:rPr>
          <w:rFonts w:ascii="仿宋" w:eastAsia="仿宋" w:hAnsi="仿宋" w:hint="eastAsia"/>
          <w:sz w:val="32"/>
          <w:szCs w:val="32"/>
        </w:rPr>
        <w:t>万元，其中返还性收入</w:t>
      </w:r>
      <w:r>
        <w:rPr>
          <w:rFonts w:ascii="仿宋" w:eastAsia="仿宋" w:hAnsi="仿宋" w:hint="eastAsia"/>
          <w:sz w:val="32"/>
          <w:szCs w:val="32"/>
        </w:rPr>
        <w:t>38232</w:t>
      </w:r>
      <w:r>
        <w:rPr>
          <w:rFonts w:ascii="仿宋" w:eastAsia="仿宋" w:hAnsi="仿宋" w:hint="eastAsia"/>
          <w:sz w:val="32"/>
          <w:szCs w:val="32"/>
        </w:rPr>
        <w:t>万元，一般性转移支付收入</w:t>
      </w:r>
      <w:r w:rsidR="00C3764A">
        <w:rPr>
          <w:rFonts w:ascii="仿宋" w:eastAsia="仿宋" w:hAnsi="仿宋"/>
          <w:sz w:val="32"/>
          <w:szCs w:val="32"/>
        </w:rPr>
        <w:t>23933</w:t>
      </w:r>
      <w:r>
        <w:rPr>
          <w:rFonts w:ascii="仿宋" w:eastAsia="仿宋" w:hAnsi="仿宋" w:hint="eastAsia"/>
          <w:sz w:val="32"/>
          <w:szCs w:val="32"/>
        </w:rPr>
        <w:t>万元，专项转移支付收入</w:t>
      </w:r>
      <w:r w:rsidR="00C3764A">
        <w:rPr>
          <w:rFonts w:ascii="仿宋" w:eastAsia="仿宋" w:hAnsi="仿宋"/>
          <w:sz w:val="32"/>
          <w:szCs w:val="32"/>
        </w:rPr>
        <w:t>606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14:paraId="1D959A35" w14:textId="77777777" w:rsidR="00100948" w:rsidRDefault="002F08B6">
      <w:pPr>
        <w:spacing w:line="360" w:lineRule="auto"/>
        <w:ind w:firstLineChars="200" w:firstLine="640"/>
        <w:textAlignment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四、政府采购情况</w:t>
      </w:r>
    </w:p>
    <w:p w14:paraId="79E15973" w14:textId="6821AE00" w:rsidR="00100948" w:rsidRDefault="002F08B6">
      <w:pPr>
        <w:spacing w:line="360" w:lineRule="auto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2025</w:t>
      </w:r>
      <w:r>
        <w:rPr>
          <w:rFonts w:ascii="仿宋" w:eastAsia="仿宋" w:hAnsi="仿宋" w:hint="eastAsia"/>
          <w:sz w:val="32"/>
          <w:szCs w:val="32"/>
        </w:rPr>
        <w:t>年区</w:t>
      </w:r>
      <w:r>
        <w:rPr>
          <w:rFonts w:ascii="仿宋" w:eastAsia="仿宋" w:hAnsi="仿宋" w:hint="eastAsia"/>
          <w:sz w:val="32"/>
          <w:szCs w:val="32"/>
        </w:rPr>
        <w:t>本级政府采购预算项目资金</w:t>
      </w:r>
      <w:r w:rsidR="00866E5A">
        <w:rPr>
          <w:rFonts w:ascii="仿宋" w:eastAsia="仿宋" w:hAnsi="仿宋"/>
          <w:sz w:val="32"/>
          <w:szCs w:val="32"/>
        </w:rPr>
        <w:t>243.75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后期会有追加，以年底实际发生数为准。</w:t>
      </w:r>
      <w:r>
        <w:rPr>
          <w:rFonts w:ascii="仿宋" w:eastAsia="仿宋" w:hAnsi="仿宋" w:hint="eastAsia"/>
          <w:sz w:val="32"/>
          <w:szCs w:val="32"/>
        </w:rPr>
        <w:t>2025</w:t>
      </w:r>
      <w:r>
        <w:rPr>
          <w:rFonts w:ascii="仿宋" w:eastAsia="仿宋" w:hAnsi="仿宋" w:hint="eastAsia"/>
          <w:sz w:val="32"/>
          <w:szCs w:val="32"/>
        </w:rPr>
        <w:t>年区级政府采购</w:t>
      </w:r>
      <w:r>
        <w:rPr>
          <w:rFonts w:ascii="仿宋" w:eastAsia="仿宋" w:hAnsi="仿宋" w:hint="eastAsia"/>
          <w:sz w:val="32"/>
          <w:szCs w:val="32"/>
        </w:rPr>
        <w:t>限额标</w:t>
      </w:r>
      <w:r>
        <w:rPr>
          <w:rFonts w:ascii="仿宋" w:eastAsia="仿宋" w:hAnsi="仿宋" w:hint="eastAsia"/>
          <w:sz w:val="32"/>
          <w:szCs w:val="32"/>
        </w:rPr>
        <w:lastRenderedPageBreak/>
        <w:t>准为：单项或批量采购预算金额达到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万元以下的，政府采购工程项目采购限额</w:t>
      </w:r>
      <w:r>
        <w:rPr>
          <w:rFonts w:ascii="仿宋" w:eastAsia="仿宋" w:hAnsi="仿宋" w:hint="eastAsia"/>
          <w:sz w:val="32"/>
          <w:szCs w:val="32"/>
        </w:rPr>
        <w:t>60</w:t>
      </w:r>
      <w:r>
        <w:rPr>
          <w:rFonts w:ascii="仿宋" w:eastAsia="仿宋" w:hAnsi="仿宋" w:hint="eastAsia"/>
          <w:sz w:val="32"/>
          <w:szCs w:val="32"/>
        </w:rPr>
        <w:t>万以下，不需办理政府采购手续；公开招标限额标准</w:t>
      </w:r>
      <w:r>
        <w:rPr>
          <w:rFonts w:ascii="仿宋" w:eastAsia="仿宋" w:hAnsi="仿宋" w:hint="eastAsia"/>
          <w:sz w:val="32"/>
          <w:szCs w:val="32"/>
        </w:rPr>
        <w:t>200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14:paraId="258056E6" w14:textId="77777777" w:rsidR="00100948" w:rsidRDefault="002F08B6">
      <w:pPr>
        <w:spacing w:line="360" w:lineRule="auto"/>
        <w:ind w:firstLineChars="150" w:firstLine="480"/>
        <w:textAlignment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五、绩效预算工作开展情况</w:t>
      </w:r>
    </w:p>
    <w:p w14:paraId="498B1DEC" w14:textId="77777777" w:rsidR="00100948" w:rsidRDefault="002F08B6">
      <w:pPr>
        <w:spacing w:line="360" w:lineRule="auto"/>
        <w:ind w:firstLineChars="150" w:firstLine="480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认真贯彻落实十九大“建立全面规范透明、标准科学、约束有力的预算制度，全面实施绩效管理”的改革部署和省政府《关于深化绩效预算管理改革的意思》要求，在努力构建“预算编制有目标，预算执行有监控、预算完成有评价、评价结果有应用、绩效缺失有问责”的全过程</w:t>
      </w:r>
      <w:r>
        <w:rPr>
          <w:rFonts w:ascii="仿宋" w:eastAsia="仿宋" w:hAnsi="仿宋" w:hint="eastAsia"/>
          <w:sz w:val="32"/>
          <w:szCs w:val="32"/>
        </w:rPr>
        <w:t>绩效管理新机制基础上，多方面持续用力，进一步推进全区绩效预算管理科学化、规范化、系统化。</w:t>
      </w:r>
    </w:p>
    <w:p w14:paraId="0BF9117E" w14:textId="77777777" w:rsidR="00100948" w:rsidRDefault="002F08B6">
      <w:pPr>
        <w:spacing w:line="360" w:lineRule="auto"/>
        <w:ind w:firstLineChars="150" w:firstLine="480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（一）完善绩效管理制度。为了进一步加强绩效预算管理，</w:t>
      </w:r>
      <w:proofErr w:type="gramStart"/>
      <w:r>
        <w:rPr>
          <w:rFonts w:ascii="仿宋" w:eastAsia="仿宋" w:hAnsi="仿宋" w:hint="eastAsia"/>
          <w:sz w:val="32"/>
          <w:szCs w:val="32"/>
        </w:rPr>
        <w:t>提高区</w:t>
      </w:r>
      <w:proofErr w:type="gramEnd"/>
      <w:r>
        <w:rPr>
          <w:rFonts w:ascii="仿宋" w:eastAsia="仿宋" w:hAnsi="仿宋" w:hint="eastAsia"/>
          <w:sz w:val="32"/>
          <w:szCs w:val="32"/>
        </w:rPr>
        <w:t>直部门预算绩效目标管理的科学性、规范性和有效性，我们参照省、市绩效目标管理办法，研究出台了《莲池区部门预算绩效目标管理办法》。办法明确了绩效目标的设计主体、设计原则、设计办法和绩效目标审核与调整流程，为</w:t>
      </w:r>
      <w:r>
        <w:rPr>
          <w:rFonts w:ascii="仿宋" w:eastAsia="仿宋" w:hAnsi="仿宋" w:hint="eastAsia"/>
          <w:sz w:val="32"/>
          <w:szCs w:val="32"/>
        </w:rPr>
        <w:t>2025</w:t>
      </w:r>
      <w:r>
        <w:rPr>
          <w:rFonts w:ascii="仿宋" w:eastAsia="仿宋" w:hAnsi="仿宋" w:hint="eastAsia"/>
          <w:sz w:val="32"/>
          <w:szCs w:val="32"/>
        </w:rPr>
        <w:t>年度绩效预算编制提供了科学参考，提高了绩效指标的针对性和实用性。</w:t>
      </w:r>
    </w:p>
    <w:p w14:paraId="0B72F080" w14:textId="77777777" w:rsidR="00100948" w:rsidRDefault="002F08B6">
      <w:pPr>
        <w:spacing w:line="360" w:lineRule="auto"/>
        <w:ind w:firstLineChars="150" w:firstLine="480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（二）规范项目库管理。严格预算项目管理，坚持“三个全部”。一是所有单位全部编写项目库。二</w:t>
      </w:r>
      <w:r>
        <w:rPr>
          <w:rFonts w:ascii="仿宋" w:eastAsia="仿宋" w:hAnsi="仿宋" w:hint="eastAsia"/>
          <w:sz w:val="32"/>
          <w:szCs w:val="32"/>
        </w:rPr>
        <w:t>是编入预算文本的项目资金全部入库。三是财政预留资金全部入库。</w:t>
      </w:r>
    </w:p>
    <w:p w14:paraId="4DFE3F8D" w14:textId="77777777" w:rsidR="00100948" w:rsidRDefault="002F08B6">
      <w:pPr>
        <w:spacing w:line="360" w:lineRule="auto"/>
        <w:ind w:firstLineChars="150" w:firstLine="480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（三）修订职责活动目录。参照市下发的“市级职责活动参考目录”，对区级“部门职责</w:t>
      </w:r>
      <w:r>
        <w:rPr>
          <w:rFonts w:ascii="仿宋" w:eastAsia="仿宋" w:hAnsi="仿宋"/>
          <w:sz w:val="32"/>
          <w:szCs w:val="32"/>
        </w:rPr>
        <w:t>—</w:t>
      </w:r>
      <w:r>
        <w:rPr>
          <w:rFonts w:ascii="仿宋" w:eastAsia="仿宋" w:hAnsi="仿宋" w:hint="eastAsia"/>
          <w:sz w:val="32"/>
          <w:szCs w:val="32"/>
        </w:rPr>
        <w:t>工作活动”目录进行全面修订。</w:t>
      </w:r>
    </w:p>
    <w:p w14:paraId="12B5530E" w14:textId="77777777" w:rsidR="00100948" w:rsidRDefault="002F08B6">
      <w:pPr>
        <w:spacing w:line="360" w:lineRule="auto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（四）部署年度预算编制。一是印制预算编制文件。在去年的基础上，参照市级机关事业单位预算编制文件出台了我区</w:t>
      </w:r>
      <w:r>
        <w:rPr>
          <w:rFonts w:ascii="仿宋" w:eastAsia="仿宋" w:hAnsi="仿宋" w:hint="eastAsia"/>
          <w:sz w:val="32"/>
          <w:szCs w:val="32"/>
        </w:rPr>
        <w:t>2025</w:t>
      </w:r>
      <w:r>
        <w:rPr>
          <w:rFonts w:ascii="仿宋" w:eastAsia="仿宋" w:hAnsi="仿宋" w:hint="eastAsia"/>
          <w:sz w:val="32"/>
          <w:szCs w:val="32"/>
        </w:rPr>
        <w:t>年预算编制标准及说明。二是召开全区预算编制会议。召集区直各部门主管财务领导及具体业务人员、局各业务股室及负责预算编制业务的同志参加的部门预算编制会议。区直所有部门全部按照绩效预算管理模式完成</w:t>
      </w:r>
      <w:r>
        <w:rPr>
          <w:rFonts w:ascii="仿宋" w:eastAsia="仿宋" w:hAnsi="仿宋" w:hint="eastAsia"/>
          <w:sz w:val="32"/>
          <w:szCs w:val="32"/>
        </w:rPr>
        <w:t>2025</w:t>
      </w:r>
      <w:r>
        <w:rPr>
          <w:rFonts w:ascii="仿宋" w:eastAsia="仿宋" w:hAnsi="仿宋" w:hint="eastAsia"/>
          <w:sz w:val="32"/>
          <w:szCs w:val="32"/>
        </w:rPr>
        <w:t>年部门预算编制。</w:t>
      </w:r>
    </w:p>
    <w:p w14:paraId="7F95407E" w14:textId="77777777" w:rsidR="00100948" w:rsidRDefault="002F08B6">
      <w:pPr>
        <w:spacing w:line="360" w:lineRule="auto"/>
        <w:ind w:firstLineChars="200" w:firstLine="640"/>
        <w:textAlignment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六、其他重要</w:t>
      </w:r>
      <w:r>
        <w:rPr>
          <w:rFonts w:ascii="黑体" w:eastAsia="黑体" w:hAnsi="黑体" w:hint="eastAsia"/>
          <w:sz w:val="32"/>
          <w:szCs w:val="32"/>
        </w:rPr>
        <w:t>事项的解释</w:t>
      </w:r>
    </w:p>
    <w:p w14:paraId="2FE6CB07" w14:textId="77777777" w:rsidR="00100948" w:rsidRDefault="002F08B6">
      <w:pPr>
        <w:spacing w:line="360" w:lineRule="auto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无其他重要事项的解释。</w:t>
      </w:r>
    </w:p>
    <w:p w14:paraId="09AFA3A4" w14:textId="77777777" w:rsidR="00100948" w:rsidRDefault="00100948">
      <w:pPr>
        <w:widowControl/>
        <w:jc w:val="left"/>
        <w:rPr>
          <w:rFonts w:ascii="黑体" w:eastAsia="黑体" w:hAnsi="黑体"/>
          <w:sz w:val="36"/>
          <w:szCs w:val="36"/>
        </w:rPr>
      </w:pPr>
    </w:p>
    <w:p w14:paraId="2244FFDF" w14:textId="77777777" w:rsidR="00100948" w:rsidRDefault="00100948"/>
    <w:sectPr w:rsidR="00100948">
      <w:footerReference w:type="default" r:id="rId7"/>
      <w:pgSz w:w="11906" w:h="16838"/>
      <w:pgMar w:top="1985" w:right="1588" w:bottom="1814" w:left="1474" w:header="851" w:footer="1304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380CB" w14:textId="77777777" w:rsidR="00000000" w:rsidRDefault="002F08B6">
      <w:r>
        <w:separator/>
      </w:r>
    </w:p>
  </w:endnote>
  <w:endnote w:type="continuationSeparator" w:id="0">
    <w:p w14:paraId="0037C1C4" w14:textId="77777777" w:rsidR="00000000" w:rsidRDefault="002F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EE294" w14:textId="77777777" w:rsidR="00100948" w:rsidRDefault="002F08B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-237490</wp:posOffset>
              </wp:positionV>
              <wp:extent cx="209550" cy="162560"/>
              <wp:effectExtent l="0" t="0" r="0" b="0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55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1B1BF3D" w14:textId="77777777" w:rsidR="00100948" w:rsidRDefault="002F08B6">
                          <w:pPr>
                            <w:snapToGrid w:val="0"/>
                            <w:rPr>
                              <w:rFonts w:ascii="宋体" w:cs="宋体"/>
                              <w:sz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" o:spid="_x0000_s1026" style="position:absolute;margin-left:0;margin-top:-18.7pt;width:16.5pt;height:12.8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" filled="f" stroked="f">
              <v:textbox style="mso-fit-shape-to-text:t" inset="0,0,0,0">
                <w:txbxContent>
                  <w:p w14:paraId="61B1BF3D" w14:textId="77777777" w:rsidR="00100948" w:rsidRDefault="002F08B6">
                    <w:pPr>
                      <w:snapToGrid w:val="0"/>
                      <w:rPr>
                        <w:rFonts w:ascii="宋体" w:cs="宋体"/>
                        <w:sz w:val="24"/>
                      </w:rPr>
                    </w:pPr>
                    <w:r>
                      <w:rPr>
                        <w:rFonts w:ascii="宋体" w:hAnsi="宋体" w:cs="宋体"/>
                        <w:sz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ascii="宋体" w:hAnsi="宋体" w:cs="宋体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6EEC6" w14:textId="77777777" w:rsidR="00000000" w:rsidRDefault="002F08B6">
      <w:r>
        <w:separator/>
      </w:r>
    </w:p>
  </w:footnote>
  <w:footnote w:type="continuationSeparator" w:id="0">
    <w:p w14:paraId="130626AC" w14:textId="77777777" w:rsidR="00000000" w:rsidRDefault="002F0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948"/>
    <w:rsid w:val="00100948"/>
    <w:rsid w:val="002F08B6"/>
    <w:rsid w:val="00866E5A"/>
    <w:rsid w:val="009E6D97"/>
    <w:rsid w:val="00C3764A"/>
    <w:rsid w:val="00FC0798"/>
    <w:rsid w:val="3DE5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  <w14:docId w14:val="22150AB9"/>
  <w15:docId w15:val="{F77C0819-8A84-470D-91AC-F3F1D31E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a5"/>
    <w:rsid w:val="002F0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F08B6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2025-02-11T18:41:00Z</dcterms:created>
  <dcterms:modified xsi:type="dcterms:W3CDTF">2025-02-12T18:07:00Z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eyJoZGlkIjoiNDY1ZGMxN2E1MzEzNWViNGU2NjljYmIzNTE2MTJiNDciLCJ1c2VySWQiOiIyMTU1MTk0NDMifQ==</vt:lpwstr>
  </property>
  <property fmtid="{D5CDD505-2E9C-101B-9397-08002B2CF9AE}" pid="4" name="ICV">
    <vt:lpwstr>26403F2774B34577BE39D5709F966361_12</vt:lpwstr>
  </property>
</Properties>
</file>