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4</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5</w:t>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7</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8</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8</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eastAsia"/>
          <w:lang w:val="en-US" w:eastAsia="zh-CN"/>
        </w:rPr>
        <w:t>9</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2</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2</w:t>
      </w:r>
      <w:r>
        <w:fldChar w:fldCharType="end"/>
      </w:r>
      <w:r>
        <w:rPr>
          <w:rFonts w:hint="eastAsia"/>
          <w:lang w:val="en-US" w:eastAsia="zh-CN"/>
        </w:rPr>
        <w:t>9</w:t>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一、保定市莲池区行政审批局本级收支预算</w:t>
      </w:r>
      <w:r>
        <w:tab/>
      </w:r>
      <w:r>
        <w:rPr>
          <w:rFonts w:hint="eastAsia"/>
          <w:lang w:val="en-US" w:eastAsia="zh-CN"/>
        </w:rPr>
        <w:t>3</w:t>
      </w:r>
      <w:r>
        <w:fldChar w:fldCharType="end"/>
      </w:r>
      <w:r>
        <w:rPr>
          <w:rFonts w:hint="eastAsia"/>
          <w:lang w:val="en-US" w:eastAsia="zh-CN"/>
        </w:rPr>
        <w:t>1</w:t>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3"/>
            </w:pPr>
            <w:r>
              <w:t>851保定市莲池区行政审批局</w:t>
            </w:r>
          </w:p>
        </w:tc>
        <w:tc>
          <w:tcPr>
            <w:tcW w:w="2126" w:type="dxa"/>
            <w:tcBorders>
              <w:top w:val="single" w:color="FFFFFF" w:sz="6" w:space="0"/>
              <w:left w:val="single" w:color="FFFFFF" w:sz="6" w:space="0"/>
              <w:right w:val="single" w:color="FFFFFF" w:sz="6" w:space="0"/>
            </w:tcBorders>
            <w:vAlign w:val="center"/>
          </w:tcPr>
          <w:p>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354.48</w:t>
            </w:r>
          </w:p>
        </w:tc>
        <w:tc>
          <w:tcPr>
            <w:tcW w:w="4535" w:type="dxa"/>
            <w:vAlign w:val="center"/>
          </w:tcPr>
          <w:p>
            <w:pPr>
              <w:pStyle w:val="16"/>
            </w:pPr>
            <w:r>
              <w:t>一、一般公共服务支出</w:t>
            </w:r>
          </w:p>
        </w:tc>
        <w:tc>
          <w:tcPr>
            <w:tcW w:w="2126" w:type="dxa"/>
            <w:vAlign w:val="center"/>
          </w:tcPr>
          <w:p>
            <w:pPr>
              <w:pStyle w:val="15"/>
            </w:pPr>
            <w:r>
              <w:t>315.36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354.48</w:t>
            </w:r>
          </w:p>
        </w:tc>
        <w:tc>
          <w:tcPr>
            <w:tcW w:w="4535" w:type="dxa"/>
            <w:vAlign w:val="center"/>
          </w:tcPr>
          <w:p>
            <w:pPr>
              <w:pStyle w:val="18"/>
            </w:pPr>
            <w:r>
              <w:t>本年支出合计</w:t>
            </w:r>
          </w:p>
        </w:tc>
        <w:tc>
          <w:tcPr>
            <w:tcW w:w="2126" w:type="dxa"/>
            <w:vAlign w:val="center"/>
          </w:tcPr>
          <w:p>
            <w:pPr>
              <w:pStyle w:val="19"/>
            </w:pPr>
            <w:r>
              <w:t>354.48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354.48</w:t>
            </w:r>
          </w:p>
        </w:tc>
        <w:tc>
          <w:tcPr>
            <w:tcW w:w="4535" w:type="dxa"/>
            <w:vAlign w:val="center"/>
          </w:tcPr>
          <w:p>
            <w:pPr>
              <w:pStyle w:val="18"/>
            </w:pPr>
            <w:r>
              <w:t>支出总计</w:t>
            </w:r>
          </w:p>
        </w:tc>
        <w:tc>
          <w:tcPr>
            <w:tcW w:w="2126" w:type="dxa"/>
            <w:vAlign w:val="center"/>
          </w:tcPr>
          <w:p>
            <w:pPr>
              <w:pStyle w:val="19"/>
            </w:pPr>
            <w:r>
              <w:t>354.48</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851保定市莲池区行政审批局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354.48</w:t>
            </w:r>
          </w:p>
        </w:tc>
        <w:tc>
          <w:tcPr>
            <w:tcW w:w="1134" w:type="dxa"/>
            <w:vAlign w:val="center"/>
          </w:tcPr>
          <w:p>
            <w:pPr>
              <w:pStyle w:val="19"/>
            </w:pPr>
            <w:r>
              <w:t>354.48</w:t>
            </w:r>
          </w:p>
        </w:tc>
        <w:tc>
          <w:tcPr>
            <w:tcW w:w="1134" w:type="dxa"/>
            <w:vAlign w:val="center"/>
          </w:tcPr>
          <w:p>
            <w:pPr>
              <w:pStyle w:val="19"/>
            </w:pPr>
            <w:r>
              <w:t>354.48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315.36</w:t>
            </w:r>
          </w:p>
        </w:tc>
        <w:tc>
          <w:tcPr>
            <w:tcW w:w="1134" w:type="dxa"/>
            <w:vAlign w:val="center"/>
          </w:tcPr>
          <w:p>
            <w:pPr>
              <w:pStyle w:val="15"/>
            </w:pPr>
            <w:r>
              <w:t>315.36</w:t>
            </w:r>
          </w:p>
        </w:tc>
        <w:tc>
          <w:tcPr>
            <w:tcW w:w="1134" w:type="dxa"/>
            <w:vAlign w:val="center"/>
          </w:tcPr>
          <w:p>
            <w:pPr>
              <w:pStyle w:val="15"/>
            </w:pPr>
            <w:r>
              <w:t>315.36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315.36</w:t>
            </w:r>
          </w:p>
        </w:tc>
        <w:tc>
          <w:tcPr>
            <w:tcW w:w="1134" w:type="dxa"/>
            <w:vAlign w:val="center"/>
          </w:tcPr>
          <w:p>
            <w:pPr>
              <w:pStyle w:val="15"/>
            </w:pPr>
            <w:r>
              <w:t>315.36</w:t>
            </w:r>
          </w:p>
        </w:tc>
        <w:tc>
          <w:tcPr>
            <w:tcW w:w="1134" w:type="dxa"/>
            <w:vAlign w:val="center"/>
          </w:tcPr>
          <w:p>
            <w:pPr>
              <w:pStyle w:val="15"/>
            </w:pPr>
            <w:r>
              <w:t>315.36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315.36</w:t>
            </w:r>
          </w:p>
        </w:tc>
        <w:tc>
          <w:tcPr>
            <w:tcW w:w="1134" w:type="dxa"/>
            <w:vAlign w:val="center"/>
          </w:tcPr>
          <w:p>
            <w:pPr>
              <w:pStyle w:val="15"/>
            </w:pPr>
            <w:r>
              <w:t>315.36</w:t>
            </w:r>
          </w:p>
        </w:tc>
        <w:tc>
          <w:tcPr>
            <w:tcW w:w="1134" w:type="dxa"/>
            <w:vAlign w:val="center"/>
          </w:tcPr>
          <w:p>
            <w:pPr>
              <w:pStyle w:val="15"/>
            </w:pPr>
            <w:r>
              <w:t>315.36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15.12</w:t>
            </w:r>
          </w:p>
        </w:tc>
        <w:tc>
          <w:tcPr>
            <w:tcW w:w="1134" w:type="dxa"/>
            <w:vAlign w:val="center"/>
          </w:tcPr>
          <w:p>
            <w:pPr>
              <w:pStyle w:val="15"/>
            </w:pPr>
            <w:r>
              <w:t>15.12</w:t>
            </w:r>
          </w:p>
        </w:tc>
        <w:tc>
          <w:tcPr>
            <w:tcW w:w="1134" w:type="dxa"/>
            <w:vAlign w:val="center"/>
          </w:tcPr>
          <w:p>
            <w:pPr>
              <w:pStyle w:val="15"/>
            </w:pPr>
            <w:r>
              <w:t>15.12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15.12</w:t>
            </w:r>
          </w:p>
        </w:tc>
        <w:tc>
          <w:tcPr>
            <w:tcW w:w="1134" w:type="dxa"/>
            <w:vAlign w:val="center"/>
          </w:tcPr>
          <w:p>
            <w:pPr>
              <w:pStyle w:val="15"/>
            </w:pPr>
            <w:r>
              <w:t>15.12</w:t>
            </w:r>
          </w:p>
        </w:tc>
        <w:tc>
          <w:tcPr>
            <w:tcW w:w="1134" w:type="dxa"/>
            <w:vAlign w:val="center"/>
          </w:tcPr>
          <w:p>
            <w:pPr>
              <w:pStyle w:val="15"/>
            </w:pPr>
            <w:r>
              <w:t>15.12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2101199</w:t>
            </w:r>
          </w:p>
        </w:tc>
        <w:tc>
          <w:tcPr>
            <w:tcW w:w="1559" w:type="dxa"/>
            <w:vAlign w:val="center"/>
          </w:tcPr>
          <w:p>
            <w:pPr>
              <w:pStyle w:val="16"/>
            </w:pPr>
            <w:r>
              <w:t>其他行政事业单位医疗支出</w:t>
            </w:r>
          </w:p>
        </w:tc>
        <w:tc>
          <w:tcPr>
            <w:tcW w:w="1134" w:type="dxa"/>
            <w:vAlign w:val="center"/>
          </w:tcPr>
          <w:p>
            <w:pPr>
              <w:pStyle w:val="15"/>
            </w:pPr>
            <w:r>
              <w:t>0.12</w:t>
            </w:r>
          </w:p>
        </w:tc>
        <w:tc>
          <w:tcPr>
            <w:tcW w:w="1134" w:type="dxa"/>
            <w:vAlign w:val="center"/>
          </w:tcPr>
          <w:p>
            <w:pPr>
              <w:pStyle w:val="15"/>
            </w:pPr>
            <w:r>
              <w:t>0.12</w:t>
            </w:r>
          </w:p>
        </w:tc>
        <w:tc>
          <w:tcPr>
            <w:tcW w:w="1134" w:type="dxa"/>
            <w:vAlign w:val="center"/>
          </w:tcPr>
          <w:p>
            <w:pPr>
              <w:pStyle w:val="15"/>
            </w:pPr>
            <w:r>
              <w:t>0.12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3"/>
            </w:pPr>
            <w:r>
              <w:t>851保定市莲池区行政审批局</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7"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354.48</w:t>
            </w:r>
          </w:p>
        </w:tc>
        <w:tc>
          <w:tcPr>
            <w:tcW w:w="1361" w:type="dxa"/>
            <w:vAlign w:val="center"/>
          </w:tcPr>
          <w:p>
            <w:pPr>
              <w:pStyle w:val="19"/>
            </w:pPr>
            <w:r>
              <w:t>319.48</w:t>
            </w:r>
          </w:p>
        </w:tc>
        <w:tc>
          <w:tcPr>
            <w:tcW w:w="1361" w:type="dxa"/>
            <w:vAlign w:val="center"/>
          </w:tcPr>
          <w:p>
            <w:pPr>
              <w:pStyle w:val="19"/>
            </w:pPr>
            <w:r>
              <w:t>35.00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315.36</w:t>
            </w:r>
          </w:p>
        </w:tc>
        <w:tc>
          <w:tcPr>
            <w:tcW w:w="1361" w:type="dxa"/>
            <w:vAlign w:val="center"/>
          </w:tcPr>
          <w:p>
            <w:pPr>
              <w:pStyle w:val="15"/>
            </w:pPr>
            <w:r>
              <w:t>280.36</w:t>
            </w:r>
          </w:p>
        </w:tc>
        <w:tc>
          <w:tcPr>
            <w:tcW w:w="1361" w:type="dxa"/>
            <w:vAlign w:val="center"/>
          </w:tcPr>
          <w:p>
            <w:pPr>
              <w:pStyle w:val="15"/>
            </w:pPr>
            <w:r>
              <w:t>35.00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315.36</w:t>
            </w:r>
          </w:p>
        </w:tc>
        <w:tc>
          <w:tcPr>
            <w:tcW w:w="1361" w:type="dxa"/>
            <w:vAlign w:val="center"/>
          </w:tcPr>
          <w:p>
            <w:pPr>
              <w:pStyle w:val="15"/>
            </w:pPr>
            <w:r>
              <w:t>280.36</w:t>
            </w:r>
          </w:p>
        </w:tc>
        <w:tc>
          <w:tcPr>
            <w:tcW w:w="1361" w:type="dxa"/>
            <w:vAlign w:val="center"/>
          </w:tcPr>
          <w:p>
            <w:pPr>
              <w:pStyle w:val="15"/>
            </w:pPr>
            <w:r>
              <w:t>35.00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315.36</w:t>
            </w:r>
          </w:p>
        </w:tc>
        <w:tc>
          <w:tcPr>
            <w:tcW w:w="1361" w:type="dxa"/>
            <w:vAlign w:val="center"/>
          </w:tcPr>
          <w:p>
            <w:pPr>
              <w:pStyle w:val="15"/>
            </w:pPr>
            <w:r>
              <w:t>280.36</w:t>
            </w:r>
          </w:p>
        </w:tc>
        <w:tc>
          <w:tcPr>
            <w:tcW w:w="1361" w:type="dxa"/>
            <w:vAlign w:val="center"/>
          </w:tcPr>
          <w:p>
            <w:pPr>
              <w:pStyle w:val="15"/>
            </w:pPr>
            <w:r>
              <w:t>35.00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15.12</w:t>
            </w:r>
          </w:p>
        </w:tc>
        <w:tc>
          <w:tcPr>
            <w:tcW w:w="1361" w:type="dxa"/>
            <w:vAlign w:val="center"/>
          </w:tcPr>
          <w:p>
            <w:pPr>
              <w:pStyle w:val="15"/>
            </w:pPr>
            <w:r>
              <w:t>15.12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15.12</w:t>
            </w:r>
          </w:p>
        </w:tc>
        <w:tc>
          <w:tcPr>
            <w:tcW w:w="1361" w:type="dxa"/>
            <w:vAlign w:val="center"/>
          </w:tcPr>
          <w:p>
            <w:pPr>
              <w:pStyle w:val="15"/>
            </w:pPr>
            <w:r>
              <w:t>15.12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10.00</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5.00</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2101199</w:t>
            </w:r>
          </w:p>
        </w:tc>
        <w:tc>
          <w:tcPr>
            <w:tcW w:w="4535" w:type="dxa"/>
            <w:vAlign w:val="center"/>
          </w:tcPr>
          <w:p>
            <w:pPr>
              <w:pStyle w:val="16"/>
            </w:pPr>
            <w:r>
              <w:t>其他行政事业单位医疗支出</w:t>
            </w:r>
          </w:p>
        </w:tc>
        <w:tc>
          <w:tcPr>
            <w:tcW w:w="1361" w:type="dxa"/>
            <w:vAlign w:val="center"/>
          </w:tcPr>
          <w:p>
            <w:pPr>
              <w:pStyle w:val="15"/>
            </w:pPr>
            <w:r>
              <w:t>0.12</w:t>
            </w:r>
          </w:p>
        </w:tc>
        <w:tc>
          <w:tcPr>
            <w:tcW w:w="1361" w:type="dxa"/>
            <w:vAlign w:val="center"/>
          </w:tcPr>
          <w:p>
            <w:pPr>
              <w:pStyle w:val="15"/>
            </w:pPr>
            <w:r>
              <w:t>0.12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24.00</w:t>
            </w: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24.00</w:t>
            </w: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24.00</w:t>
            </w: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851保定市莲池区行政审批局</w:t>
            </w:r>
          </w:p>
        </w:tc>
        <w:tc>
          <w:tcPr>
            <w:tcW w:w="3402" w:type="dxa"/>
            <w:tcBorders>
              <w:top w:val="single" w:color="FFFFFF" w:sz="6" w:space="0"/>
              <w:left w:val="single" w:color="FFFFFF" w:sz="6" w:space="0"/>
              <w:right w:val="single" w:color="FFFFFF" w:sz="6" w:space="0"/>
            </w:tcBorders>
            <w:vAlign w:val="center"/>
          </w:tcPr>
          <w:p>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354.48</w:t>
            </w:r>
          </w:p>
        </w:tc>
        <w:tc>
          <w:tcPr>
            <w:tcW w:w="3402" w:type="dxa"/>
            <w:vAlign w:val="center"/>
          </w:tcPr>
          <w:p>
            <w:pPr>
              <w:pStyle w:val="16"/>
            </w:pPr>
            <w:r>
              <w:t>一、一般公共服务支出</w:t>
            </w:r>
          </w:p>
        </w:tc>
        <w:tc>
          <w:tcPr>
            <w:tcW w:w="1474" w:type="dxa"/>
            <w:vAlign w:val="center"/>
          </w:tcPr>
          <w:p>
            <w:pPr>
              <w:pStyle w:val="15"/>
            </w:pPr>
            <w:r>
              <w:t>315.36</w:t>
            </w:r>
          </w:p>
        </w:tc>
        <w:tc>
          <w:tcPr>
            <w:tcW w:w="1474" w:type="dxa"/>
            <w:vAlign w:val="center"/>
          </w:tcPr>
          <w:p>
            <w:pPr>
              <w:pStyle w:val="15"/>
            </w:pPr>
            <w:r>
              <w:t>315.36</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15.12</w:t>
            </w:r>
          </w:p>
        </w:tc>
        <w:tc>
          <w:tcPr>
            <w:tcW w:w="1474" w:type="dxa"/>
            <w:vAlign w:val="center"/>
          </w:tcPr>
          <w:p>
            <w:pPr>
              <w:pStyle w:val="15"/>
            </w:pPr>
            <w:r>
              <w:t>15.12</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24.00</w:t>
            </w:r>
          </w:p>
        </w:tc>
        <w:tc>
          <w:tcPr>
            <w:tcW w:w="1474" w:type="dxa"/>
            <w:vAlign w:val="center"/>
          </w:tcPr>
          <w:p>
            <w:pPr>
              <w:pStyle w:val="15"/>
            </w:pPr>
            <w:r>
              <w:t>24.00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354.48</w:t>
            </w:r>
          </w:p>
        </w:tc>
        <w:tc>
          <w:tcPr>
            <w:tcW w:w="3402" w:type="dxa"/>
            <w:vAlign w:val="center"/>
          </w:tcPr>
          <w:p>
            <w:pPr>
              <w:pStyle w:val="18"/>
            </w:pPr>
            <w:r>
              <w:t>本年支出合计</w:t>
            </w:r>
          </w:p>
        </w:tc>
        <w:tc>
          <w:tcPr>
            <w:tcW w:w="1474" w:type="dxa"/>
            <w:vAlign w:val="center"/>
          </w:tcPr>
          <w:p>
            <w:pPr>
              <w:pStyle w:val="19"/>
            </w:pPr>
            <w:r>
              <w:t>354.48</w:t>
            </w:r>
          </w:p>
        </w:tc>
        <w:tc>
          <w:tcPr>
            <w:tcW w:w="1474" w:type="dxa"/>
            <w:vAlign w:val="center"/>
          </w:tcPr>
          <w:p>
            <w:pPr>
              <w:pStyle w:val="19"/>
            </w:pPr>
            <w:r>
              <w:t>354.48</w:t>
            </w:r>
          </w:p>
        </w:tc>
        <w:tc>
          <w:tcPr>
            <w:tcW w:w="1474" w:type="dxa"/>
            <w:vAlign w:val="center"/>
          </w:tcPr>
          <w:p>
            <w:pPr>
              <w:pStyle w:val="19"/>
            </w:pPr>
          </w:p>
        </w:tc>
        <w:tc>
          <w:tcPr>
            <w:tcW w:w="147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354.48</w:t>
            </w:r>
          </w:p>
        </w:tc>
        <w:tc>
          <w:tcPr>
            <w:tcW w:w="3402" w:type="dxa"/>
            <w:vAlign w:val="center"/>
          </w:tcPr>
          <w:p>
            <w:pPr>
              <w:pStyle w:val="18"/>
            </w:pPr>
            <w:r>
              <w:t>支出总计</w:t>
            </w:r>
          </w:p>
        </w:tc>
        <w:tc>
          <w:tcPr>
            <w:tcW w:w="1474" w:type="dxa"/>
            <w:vAlign w:val="center"/>
          </w:tcPr>
          <w:p>
            <w:pPr>
              <w:pStyle w:val="19"/>
            </w:pPr>
            <w:r>
              <w:t>354.48</w:t>
            </w:r>
          </w:p>
        </w:tc>
        <w:tc>
          <w:tcPr>
            <w:tcW w:w="1474" w:type="dxa"/>
            <w:vAlign w:val="center"/>
          </w:tcPr>
          <w:p>
            <w:pPr>
              <w:pStyle w:val="19"/>
            </w:pPr>
            <w:r>
              <w:t>354.48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851保定市莲池区行政审批局</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354.48</w:t>
            </w:r>
          </w:p>
        </w:tc>
        <w:tc>
          <w:tcPr>
            <w:tcW w:w="2551" w:type="dxa"/>
            <w:vAlign w:val="center"/>
          </w:tcPr>
          <w:p>
            <w:pPr>
              <w:pStyle w:val="19"/>
            </w:pPr>
            <w:r>
              <w:t>319.48</w:t>
            </w:r>
          </w:p>
        </w:tc>
        <w:tc>
          <w:tcPr>
            <w:tcW w:w="2551" w:type="dxa"/>
            <w:vAlign w:val="center"/>
          </w:tcPr>
          <w:p>
            <w:pPr>
              <w:pStyle w:val="19"/>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315.36</w:t>
            </w:r>
          </w:p>
        </w:tc>
        <w:tc>
          <w:tcPr>
            <w:tcW w:w="2551" w:type="dxa"/>
            <w:vAlign w:val="center"/>
          </w:tcPr>
          <w:p>
            <w:pPr>
              <w:pStyle w:val="15"/>
            </w:pPr>
            <w:r>
              <w:t>280.36</w:t>
            </w:r>
          </w:p>
        </w:tc>
        <w:tc>
          <w:tcPr>
            <w:tcW w:w="2551" w:type="dxa"/>
            <w:vAlign w:val="center"/>
          </w:tcPr>
          <w:p>
            <w:pPr>
              <w:pStyle w:val="15"/>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315.36</w:t>
            </w:r>
          </w:p>
        </w:tc>
        <w:tc>
          <w:tcPr>
            <w:tcW w:w="2551" w:type="dxa"/>
            <w:vAlign w:val="center"/>
          </w:tcPr>
          <w:p>
            <w:pPr>
              <w:pStyle w:val="15"/>
            </w:pPr>
            <w:r>
              <w:t>280.36</w:t>
            </w:r>
          </w:p>
        </w:tc>
        <w:tc>
          <w:tcPr>
            <w:tcW w:w="2551" w:type="dxa"/>
            <w:vAlign w:val="center"/>
          </w:tcPr>
          <w:p>
            <w:pPr>
              <w:pStyle w:val="15"/>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315.36</w:t>
            </w:r>
          </w:p>
        </w:tc>
        <w:tc>
          <w:tcPr>
            <w:tcW w:w="2551" w:type="dxa"/>
            <w:vAlign w:val="center"/>
          </w:tcPr>
          <w:p>
            <w:pPr>
              <w:pStyle w:val="15"/>
            </w:pPr>
            <w:r>
              <w:t>280.36</w:t>
            </w:r>
          </w:p>
        </w:tc>
        <w:tc>
          <w:tcPr>
            <w:tcW w:w="2551" w:type="dxa"/>
            <w:vAlign w:val="center"/>
          </w:tcPr>
          <w:p>
            <w:pPr>
              <w:pStyle w:val="15"/>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15.12</w:t>
            </w:r>
          </w:p>
        </w:tc>
        <w:tc>
          <w:tcPr>
            <w:tcW w:w="2551" w:type="dxa"/>
            <w:vAlign w:val="center"/>
          </w:tcPr>
          <w:p>
            <w:pPr>
              <w:pStyle w:val="15"/>
            </w:pPr>
            <w:r>
              <w:t>15.12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15.12</w:t>
            </w:r>
          </w:p>
        </w:tc>
        <w:tc>
          <w:tcPr>
            <w:tcW w:w="2551" w:type="dxa"/>
            <w:vAlign w:val="center"/>
          </w:tcPr>
          <w:p>
            <w:pPr>
              <w:pStyle w:val="15"/>
            </w:pPr>
            <w:r>
              <w:t>15.12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10.00</w:t>
            </w:r>
          </w:p>
        </w:tc>
        <w:tc>
          <w:tcPr>
            <w:tcW w:w="2551" w:type="dxa"/>
            <w:vAlign w:val="center"/>
          </w:tcPr>
          <w:p>
            <w:pPr>
              <w:pStyle w:val="15"/>
            </w:pPr>
            <w:r>
              <w:t>10.00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5.00</w:t>
            </w:r>
          </w:p>
        </w:tc>
        <w:tc>
          <w:tcPr>
            <w:tcW w:w="2551" w:type="dxa"/>
            <w:vAlign w:val="center"/>
          </w:tcPr>
          <w:p>
            <w:pPr>
              <w:pStyle w:val="15"/>
            </w:pPr>
            <w:r>
              <w:t>5.00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2101199</w:t>
            </w:r>
          </w:p>
        </w:tc>
        <w:tc>
          <w:tcPr>
            <w:tcW w:w="4535" w:type="dxa"/>
            <w:vAlign w:val="center"/>
          </w:tcPr>
          <w:p>
            <w:pPr>
              <w:pStyle w:val="16"/>
            </w:pPr>
            <w:r>
              <w:t>其他行政事业单位医疗支出</w:t>
            </w:r>
          </w:p>
        </w:tc>
        <w:tc>
          <w:tcPr>
            <w:tcW w:w="2551" w:type="dxa"/>
            <w:vAlign w:val="center"/>
          </w:tcPr>
          <w:p>
            <w:pPr>
              <w:pStyle w:val="15"/>
            </w:pPr>
            <w:r>
              <w:t>0.12</w:t>
            </w:r>
          </w:p>
        </w:tc>
        <w:tc>
          <w:tcPr>
            <w:tcW w:w="2551" w:type="dxa"/>
            <w:vAlign w:val="center"/>
          </w:tcPr>
          <w:p>
            <w:pPr>
              <w:pStyle w:val="15"/>
            </w:pPr>
            <w:r>
              <w:t>0.12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24.00</w:t>
            </w:r>
          </w:p>
        </w:tc>
        <w:tc>
          <w:tcPr>
            <w:tcW w:w="2551" w:type="dxa"/>
            <w:vAlign w:val="center"/>
          </w:tcPr>
          <w:p>
            <w:pPr>
              <w:pStyle w:val="15"/>
            </w:pPr>
            <w:r>
              <w:t>24.00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24.00</w:t>
            </w:r>
          </w:p>
        </w:tc>
        <w:tc>
          <w:tcPr>
            <w:tcW w:w="2551" w:type="dxa"/>
            <w:vAlign w:val="center"/>
          </w:tcPr>
          <w:p>
            <w:pPr>
              <w:pStyle w:val="15"/>
            </w:pPr>
            <w:r>
              <w:t>24.00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24.00</w:t>
            </w:r>
          </w:p>
        </w:tc>
        <w:tc>
          <w:tcPr>
            <w:tcW w:w="2551" w:type="dxa"/>
            <w:vAlign w:val="center"/>
          </w:tcPr>
          <w:p>
            <w:pPr>
              <w:pStyle w:val="15"/>
            </w:pPr>
            <w:r>
              <w:t>24.00</w:t>
            </w:r>
          </w:p>
        </w:tc>
        <w:tc>
          <w:tcPr>
            <w:tcW w:w="2551"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851保定市莲池区行政审批局</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3" w:type="dxa"/>
            <w:gridSpan w:val="3"/>
            <w:vAlign w:val="center"/>
          </w:tcPr>
          <w:p>
            <w:pPr>
              <w:pStyle w:val="14"/>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319.48</w:t>
            </w:r>
          </w:p>
        </w:tc>
        <w:tc>
          <w:tcPr>
            <w:tcW w:w="2551" w:type="dxa"/>
            <w:vAlign w:val="center"/>
          </w:tcPr>
          <w:p>
            <w:pPr>
              <w:pStyle w:val="19"/>
            </w:pPr>
            <w:r>
              <w:t>295.18</w:t>
            </w:r>
          </w:p>
        </w:tc>
        <w:tc>
          <w:tcPr>
            <w:tcW w:w="2551" w:type="dxa"/>
            <w:vAlign w:val="center"/>
          </w:tcPr>
          <w:p>
            <w:pPr>
              <w:pStyle w:val="19"/>
            </w:pPr>
            <w:r>
              <w:t>24.30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295.18</w:t>
            </w:r>
          </w:p>
        </w:tc>
        <w:tc>
          <w:tcPr>
            <w:tcW w:w="2551" w:type="dxa"/>
            <w:vAlign w:val="center"/>
          </w:tcPr>
          <w:p>
            <w:pPr>
              <w:pStyle w:val="15"/>
            </w:pPr>
            <w:r>
              <w:t>295.18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85.00</w:t>
            </w:r>
          </w:p>
        </w:tc>
        <w:tc>
          <w:tcPr>
            <w:tcW w:w="2551" w:type="dxa"/>
            <w:vAlign w:val="center"/>
          </w:tcPr>
          <w:p>
            <w:pPr>
              <w:pStyle w:val="15"/>
            </w:pPr>
            <w:r>
              <w:t>85.00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60.06</w:t>
            </w:r>
          </w:p>
        </w:tc>
        <w:tc>
          <w:tcPr>
            <w:tcW w:w="2551" w:type="dxa"/>
            <w:vAlign w:val="center"/>
          </w:tcPr>
          <w:p>
            <w:pPr>
              <w:pStyle w:val="15"/>
            </w:pPr>
            <w:r>
              <w:t>60.06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41.20</w:t>
            </w:r>
          </w:p>
        </w:tc>
        <w:tc>
          <w:tcPr>
            <w:tcW w:w="2551" w:type="dxa"/>
            <w:vAlign w:val="center"/>
          </w:tcPr>
          <w:p>
            <w:pPr>
              <w:pStyle w:val="15"/>
            </w:pPr>
            <w:r>
              <w:t>41.20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37.80</w:t>
            </w:r>
          </w:p>
        </w:tc>
        <w:tc>
          <w:tcPr>
            <w:tcW w:w="2551" w:type="dxa"/>
            <w:vAlign w:val="center"/>
          </w:tcPr>
          <w:p>
            <w:pPr>
              <w:pStyle w:val="15"/>
            </w:pPr>
            <w:r>
              <w:t>37.80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30.00</w:t>
            </w:r>
          </w:p>
        </w:tc>
        <w:tc>
          <w:tcPr>
            <w:tcW w:w="2551" w:type="dxa"/>
            <w:vAlign w:val="center"/>
          </w:tcPr>
          <w:p>
            <w:pPr>
              <w:pStyle w:val="15"/>
            </w:pPr>
            <w:r>
              <w:t>30.00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10.12</w:t>
            </w:r>
          </w:p>
        </w:tc>
        <w:tc>
          <w:tcPr>
            <w:tcW w:w="2551" w:type="dxa"/>
            <w:vAlign w:val="center"/>
          </w:tcPr>
          <w:p>
            <w:pPr>
              <w:pStyle w:val="15"/>
            </w:pPr>
            <w:r>
              <w:t>10.12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5.00</w:t>
            </w:r>
          </w:p>
        </w:tc>
        <w:tc>
          <w:tcPr>
            <w:tcW w:w="2551" w:type="dxa"/>
            <w:vAlign w:val="center"/>
          </w:tcPr>
          <w:p>
            <w:pPr>
              <w:pStyle w:val="15"/>
            </w:pPr>
            <w:r>
              <w:t>5.00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2.00</w:t>
            </w:r>
          </w:p>
        </w:tc>
        <w:tc>
          <w:tcPr>
            <w:tcW w:w="2551" w:type="dxa"/>
            <w:vAlign w:val="center"/>
          </w:tcPr>
          <w:p>
            <w:pPr>
              <w:pStyle w:val="15"/>
            </w:pPr>
            <w:r>
              <w:t>2.00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24.00</w:t>
            </w:r>
          </w:p>
        </w:tc>
        <w:tc>
          <w:tcPr>
            <w:tcW w:w="2551" w:type="dxa"/>
            <w:vAlign w:val="center"/>
          </w:tcPr>
          <w:p>
            <w:pPr>
              <w:pStyle w:val="15"/>
            </w:pPr>
            <w:r>
              <w:t>24.00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24.30</w:t>
            </w:r>
          </w:p>
        </w:tc>
        <w:tc>
          <w:tcPr>
            <w:tcW w:w="2551" w:type="dxa"/>
            <w:vAlign w:val="center"/>
          </w:tcPr>
          <w:p>
            <w:pPr>
              <w:pStyle w:val="15"/>
            </w:pPr>
          </w:p>
        </w:tc>
        <w:tc>
          <w:tcPr>
            <w:tcW w:w="2551" w:type="dxa"/>
            <w:vAlign w:val="center"/>
          </w:tcPr>
          <w:p>
            <w:pPr>
              <w:pStyle w:val="15"/>
            </w:pPr>
            <w:r>
              <w:t>24.30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3.60</w:t>
            </w:r>
          </w:p>
        </w:tc>
        <w:tc>
          <w:tcPr>
            <w:tcW w:w="2551" w:type="dxa"/>
            <w:vAlign w:val="center"/>
          </w:tcPr>
          <w:p>
            <w:pPr>
              <w:pStyle w:val="15"/>
            </w:pPr>
          </w:p>
        </w:tc>
        <w:tc>
          <w:tcPr>
            <w:tcW w:w="2551" w:type="dxa"/>
            <w:vAlign w:val="center"/>
          </w:tcPr>
          <w:p>
            <w:pPr>
              <w:pStyle w:val="15"/>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7.80</w:t>
            </w:r>
          </w:p>
        </w:tc>
        <w:tc>
          <w:tcPr>
            <w:tcW w:w="2551" w:type="dxa"/>
            <w:vAlign w:val="center"/>
          </w:tcPr>
          <w:p>
            <w:pPr>
              <w:pStyle w:val="15"/>
            </w:pPr>
          </w:p>
        </w:tc>
        <w:tc>
          <w:tcPr>
            <w:tcW w:w="2551" w:type="dxa"/>
            <w:vAlign w:val="center"/>
          </w:tcPr>
          <w:p>
            <w:pPr>
              <w:pStyle w:val="15"/>
            </w:pPr>
            <w:r>
              <w:t>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1.73</w:t>
            </w:r>
          </w:p>
        </w:tc>
        <w:tc>
          <w:tcPr>
            <w:tcW w:w="2551" w:type="dxa"/>
            <w:vAlign w:val="center"/>
          </w:tcPr>
          <w:p>
            <w:pPr>
              <w:pStyle w:val="15"/>
            </w:pPr>
          </w:p>
        </w:tc>
        <w:tc>
          <w:tcPr>
            <w:tcW w:w="2551" w:type="dxa"/>
            <w:vAlign w:val="center"/>
          </w:tcPr>
          <w:p>
            <w:pPr>
              <w:pStyle w:val="15"/>
            </w:pPr>
            <w:r>
              <w:t>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2.06</w:t>
            </w:r>
          </w:p>
        </w:tc>
        <w:tc>
          <w:tcPr>
            <w:tcW w:w="2551" w:type="dxa"/>
            <w:vAlign w:val="center"/>
          </w:tcPr>
          <w:p>
            <w:pPr>
              <w:pStyle w:val="15"/>
            </w:pPr>
          </w:p>
        </w:tc>
        <w:tc>
          <w:tcPr>
            <w:tcW w:w="2551" w:type="dxa"/>
            <w:vAlign w:val="center"/>
          </w:tcPr>
          <w:p>
            <w:pPr>
              <w:pStyle w:val="15"/>
            </w:pPr>
            <w:r>
              <w:t>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9.00</w:t>
            </w:r>
          </w:p>
        </w:tc>
        <w:tc>
          <w:tcPr>
            <w:tcW w:w="2551" w:type="dxa"/>
            <w:vAlign w:val="center"/>
          </w:tcPr>
          <w:p>
            <w:pPr>
              <w:pStyle w:val="15"/>
            </w:pPr>
          </w:p>
        </w:tc>
        <w:tc>
          <w:tcPr>
            <w:tcW w:w="2551" w:type="dxa"/>
            <w:vAlign w:val="center"/>
          </w:tcPr>
          <w:p>
            <w:pPr>
              <w:pStyle w:val="15"/>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0.11</w:t>
            </w:r>
          </w:p>
        </w:tc>
        <w:tc>
          <w:tcPr>
            <w:tcW w:w="2551" w:type="dxa"/>
            <w:vAlign w:val="center"/>
          </w:tcPr>
          <w:p>
            <w:pPr>
              <w:pStyle w:val="15"/>
            </w:pPr>
          </w:p>
        </w:tc>
        <w:tc>
          <w:tcPr>
            <w:tcW w:w="2551" w:type="dxa"/>
            <w:vAlign w:val="center"/>
          </w:tcPr>
          <w:p>
            <w:pPr>
              <w:pStyle w:val="15"/>
            </w:pPr>
            <w:r>
              <w:t>0.11</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851保定市莲池区行政审批局</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851保定市莲池区行政审批局</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3"/>
            </w:pPr>
            <w:r>
              <w:t>851保定市莲池区行政审批局</w:t>
            </w:r>
          </w:p>
        </w:tc>
        <w:tc>
          <w:tcPr>
            <w:tcW w:w="2381" w:type="dxa"/>
            <w:tcBorders>
              <w:top w:val="single" w:color="FFFFFF" w:sz="6" w:space="0"/>
              <w:left w:val="single" w:color="FFFFFF" w:sz="6" w:space="0"/>
              <w:right w:val="single" w:color="FFFFFF" w:sz="6" w:space="0"/>
            </w:tcBorders>
            <w:vAlign w:val="center"/>
          </w:tcPr>
          <w:p>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保定市莲池区行政审批局2025年部门预算信息公开情况说明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保定市莲池区行政审批局2025年部门预算信息公开情况说明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按照《中华人民共和国预算法》、《地方预决算公开操作规程》和《关于进一步推进预算公开工作的实施意见》规定，现将保定市莲池区行政审批局2025年部门预算公开如下：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33"/>
      </w:pPr>
      <w:r>
        <w:t>1、贯彻执行国家、省、市、区“放管服”改革、行政审批制度改革、政务服务管理、社会信用体系建设有关方针政策和法律法规，起草有关规章，制定有关政策，协调指导并监督实施。</w:t>
      </w:r>
    </w:p>
    <w:p>
      <w:pPr>
        <w:pStyle w:val="33"/>
      </w:pPr>
      <w:r>
        <w:t>2、组织协调全区“放管服”改革工作，指导、督促贯彻落实国家、省、市、区关于“放管服”改革重要领域、关键环节重大政策措施，承担区推进政府职能转变和“放管服”改革协调小组的日常工作。</w:t>
      </w:r>
    </w:p>
    <w:p>
      <w:pPr>
        <w:pStyle w:val="33"/>
      </w:pPr>
      <w:r>
        <w:t>3、指导协调全区行政审批制度改革工作。建立健全区、乡(镇、街道)两级行政审批管理体系；推进行政审批标准化工作；承担区行政审批制度改革工作领导小组的日常工作。</w:t>
      </w:r>
    </w:p>
    <w:p>
      <w:pPr>
        <w:pStyle w:val="33"/>
      </w:pPr>
      <w:r>
        <w:t>4、指导协调全区政务服务管理工作。负责优化政务服</w:t>
      </w:r>
    </w:p>
    <w:p>
      <w:pPr>
        <w:pStyle w:val="33"/>
      </w:pPr>
      <w:r>
        <w:t>务供给，降低制度性交易成本，提升政务服务效能；负责推进审批服务便民化；负责探索建立审批与监管的有效衔接机制；指导协调区有关部门为公民、法人或其他组织提供规范、高效、优质的政务服务。</w:t>
      </w:r>
    </w:p>
    <w:p>
      <w:pPr>
        <w:pStyle w:val="33"/>
      </w:pPr>
      <w:r>
        <w:t>5、负责职责范围内本区行政许可事项和相关行政服务事项的办理及相关行政性收费；负责协调和监督管理区本级暂未划转行政审批服务事项和公共服务事项的集中统一办理；推进重点项目审批服务的综合协调和督办；组织相关部门开展审批服务事项的联合办理和联合会办；研究推进并联审批服务工作。</w:t>
      </w:r>
    </w:p>
    <w:p>
      <w:pPr>
        <w:pStyle w:val="33"/>
      </w:pPr>
      <w:r>
        <w:t>6、统筹推进全区“互联网+政务服务”工作，构建全区一体化政务服务平台。推行政务服务事项网上办理，形成管理机构、实体大厅、网上平台“三位一体”的政务服务管理模式；推进全区电子证照库建设；推进全区政务服务平台规范化、标准化、集约化建设和互联互通、数据共享。</w:t>
      </w:r>
    </w:p>
    <w:p>
      <w:pPr>
        <w:pStyle w:val="33"/>
      </w:pPr>
      <w:r>
        <w:t>7、引导和推进全区社会信用体系建设。组织制定发展规划和年度工作要点；推动健全信用法规制度和标准体系；负责区级信用信息数据库、共享平台和网站建设，推动信用信息的汇集、交换、共享和应用；负责守信联合激励和失信联合惩戒制度建设和工作实施，建立诚信综合监督体系；组织开展失信问题专项治理；加强城区信用建设，培育和发展信用服务市场；承担区社会信用体系建设领导小组的日常工作。</w:t>
      </w:r>
    </w:p>
    <w:p>
      <w:pPr>
        <w:pStyle w:val="33"/>
      </w:pPr>
      <w:r>
        <w:t>8、负责对公共服务、便民服务和中介服务进行规范和管理。</w:t>
      </w:r>
    </w:p>
    <w:p>
      <w:pPr>
        <w:pStyle w:val="33"/>
      </w:pPr>
      <w:r>
        <w:t>9、指导和监督全区政务服务中心规范化建设，协调区有关部门建立完善区审批服务联动工作机制。</w:t>
      </w:r>
    </w:p>
    <w:p>
      <w:pPr>
        <w:pStyle w:val="33"/>
        <w:rPr>
          <w:rFonts w:hint="eastAsia" w:eastAsia="方正仿宋_GBK"/>
          <w:lang w:eastAsia="zh-CN"/>
        </w:rPr>
        <w:sectPr>
          <w:pgSz w:w="11900" w:h="16840"/>
          <w:pgMar w:top="1361" w:right="1020" w:bottom="1361" w:left="1020" w:header="720" w:footer="720" w:gutter="0"/>
          <w:cols w:space="720" w:num="1"/>
        </w:sectPr>
      </w:pPr>
      <w:r>
        <w:t>10、承办区委、区政府交办的其他工作</w:t>
      </w:r>
      <w:r>
        <w:rPr>
          <w:rFonts w:hint="eastAsia"/>
          <w:lang w:eastAsia="zh-CN"/>
        </w:rPr>
        <w:t>。</w:t>
      </w:r>
    </w:p>
    <w:p>
      <w:pPr>
        <w:pStyle w:val="21"/>
        <w:ind w:left="0" w:leftChars="0" w:firstLine="0" w:firstLineChars="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保定市莲池区行政审批局本级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pStyle w:val="25"/>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按照预算管理有关规定，目前我省部门预算的编制实行综合预算管理，即全部收入和支出都反映在预算中。保定市莲池区行政审批局机关及所属事业单位的收支包含在部门预算中。</w:t>
      </w:r>
    </w:p>
    <w:p>
      <w:pPr>
        <w:pStyle w:val="25"/>
        <w:rPr>
          <w:highlight w:val="none"/>
          <w:lang w:eastAsia="zh-CN"/>
        </w:rPr>
      </w:pPr>
      <w:r>
        <w:rPr>
          <w:rFonts w:hint="eastAsia"/>
          <w:highlight w:val="none"/>
          <w:lang w:eastAsia="zh-CN"/>
        </w:rPr>
        <w:t>1、收入说明</w:t>
      </w:r>
    </w:p>
    <w:p>
      <w:pPr>
        <w:pStyle w:val="25"/>
        <w:rPr>
          <w:highlight w:val="none"/>
          <w:lang w:eastAsia="zh-CN"/>
        </w:rPr>
      </w:pPr>
      <w:r>
        <w:rPr>
          <w:rFonts w:hint="eastAsia"/>
          <w:highlight w:val="none"/>
          <w:lang w:eastAsia="zh-CN"/>
        </w:rPr>
        <w:t>反映本部门当年全部收入。</w:t>
      </w:r>
      <w:r>
        <w:rPr>
          <w:highlight w:val="none"/>
          <w:lang w:eastAsia="zh-CN"/>
        </w:rPr>
        <w:t>20</w:t>
      </w:r>
      <w:r>
        <w:rPr>
          <w:rFonts w:hint="eastAsia"/>
          <w:highlight w:val="none"/>
          <w:lang w:eastAsia="zh-CN"/>
        </w:rPr>
        <w:t>2</w:t>
      </w:r>
      <w:r>
        <w:rPr>
          <w:rFonts w:hint="eastAsia"/>
          <w:highlight w:val="none"/>
          <w:lang w:val="en-US" w:eastAsia="zh-CN"/>
        </w:rPr>
        <w:t>5</w:t>
      </w:r>
      <w:r>
        <w:rPr>
          <w:rFonts w:hint="eastAsia"/>
          <w:highlight w:val="none"/>
          <w:lang w:eastAsia="zh-CN"/>
        </w:rPr>
        <w:t>年预算收入为3</w:t>
      </w:r>
      <w:r>
        <w:rPr>
          <w:rFonts w:hint="eastAsia"/>
          <w:highlight w:val="none"/>
          <w:lang w:val="en-US" w:eastAsia="zh-CN"/>
        </w:rPr>
        <w:t>54.48</w:t>
      </w:r>
      <w:r>
        <w:rPr>
          <w:rFonts w:hint="eastAsia"/>
          <w:highlight w:val="none"/>
          <w:lang w:eastAsia="zh-CN"/>
        </w:rPr>
        <w:t>万元，其中：一般公共预算收入3</w:t>
      </w:r>
      <w:r>
        <w:rPr>
          <w:rFonts w:hint="eastAsia"/>
          <w:highlight w:val="none"/>
          <w:lang w:val="en-US" w:eastAsia="zh-CN"/>
        </w:rPr>
        <w:t>54.48</w:t>
      </w:r>
      <w:r>
        <w:rPr>
          <w:rFonts w:hint="eastAsia"/>
          <w:highlight w:val="none"/>
          <w:lang w:eastAsia="zh-CN"/>
        </w:rPr>
        <w:t>万元，</w:t>
      </w:r>
      <w:r>
        <w:rPr>
          <w:rFonts w:hint="eastAsia"/>
          <w:highlight w:val="none"/>
          <w:lang w:val="en-US" w:eastAsia="zh-CN"/>
        </w:rPr>
        <w:t>基金预算收入0.00万元，国有资本经营预算收入0.00万元，财政专户核拨收入0.00万元，单位资金收入0.00万元，上年结转结余0.00万元</w:t>
      </w:r>
      <w:r>
        <w:rPr>
          <w:rFonts w:hint="eastAsia"/>
          <w:highlight w:val="none"/>
          <w:lang w:eastAsia="zh-CN"/>
        </w:rPr>
        <w:t>。</w:t>
      </w:r>
    </w:p>
    <w:p>
      <w:pPr>
        <w:pStyle w:val="25"/>
        <w:rPr>
          <w:highlight w:val="none"/>
          <w:lang w:eastAsia="zh-CN"/>
        </w:rPr>
      </w:pPr>
      <w:r>
        <w:rPr>
          <w:rFonts w:hint="eastAsia"/>
          <w:highlight w:val="none"/>
          <w:lang w:eastAsia="zh-CN"/>
        </w:rPr>
        <w:t>2、支出说明</w:t>
      </w:r>
    </w:p>
    <w:p>
      <w:pPr>
        <w:pStyle w:val="25"/>
        <w:rPr>
          <w:highlight w:val="none"/>
          <w:lang w:eastAsia="zh-CN"/>
        </w:rPr>
      </w:pPr>
      <w:r>
        <w:rPr>
          <w:rFonts w:hint="eastAsia"/>
          <w:highlight w:val="none"/>
          <w:lang w:eastAsia="zh-CN"/>
        </w:rPr>
        <w:t>收支预算总表支出栏、基本支出表、项目支出表按经济分类和支出功能分类科目编制，反映</w:t>
      </w:r>
      <w:r>
        <w:rPr>
          <w:rFonts w:hint="eastAsia"/>
          <w:highlight w:val="none"/>
          <w:lang w:val="en-US" w:eastAsia="zh-CN"/>
        </w:rPr>
        <w:t>莲池区行政审批局</w:t>
      </w:r>
      <w:r>
        <w:rPr>
          <w:rFonts w:hint="eastAsia"/>
          <w:highlight w:val="none"/>
          <w:lang w:eastAsia="zh-CN"/>
        </w:rPr>
        <w:t>年度部门预算中支出预算的总体情况。</w:t>
      </w:r>
      <w:r>
        <w:rPr>
          <w:highlight w:val="none"/>
          <w:lang w:eastAsia="zh-CN"/>
        </w:rPr>
        <w:t>20</w:t>
      </w:r>
      <w:r>
        <w:rPr>
          <w:rFonts w:hint="eastAsia"/>
          <w:highlight w:val="none"/>
          <w:lang w:eastAsia="zh-CN"/>
        </w:rPr>
        <w:t>2</w:t>
      </w:r>
      <w:r>
        <w:rPr>
          <w:rFonts w:hint="eastAsia"/>
          <w:highlight w:val="none"/>
          <w:lang w:val="en-US" w:eastAsia="zh-CN"/>
        </w:rPr>
        <w:t>5</w:t>
      </w:r>
      <w:r>
        <w:rPr>
          <w:rFonts w:hint="eastAsia"/>
          <w:highlight w:val="none"/>
          <w:lang w:eastAsia="zh-CN"/>
        </w:rPr>
        <w:t>年部门支出安排预算总额3</w:t>
      </w:r>
      <w:r>
        <w:rPr>
          <w:rFonts w:hint="eastAsia"/>
          <w:highlight w:val="none"/>
          <w:lang w:val="en-US" w:eastAsia="zh-CN"/>
        </w:rPr>
        <w:t>54.48</w:t>
      </w:r>
      <w:r>
        <w:rPr>
          <w:rFonts w:hint="eastAsia"/>
          <w:highlight w:val="none"/>
          <w:lang w:eastAsia="zh-CN"/>
        </w:rPr>
        <w:t>万元。基本支出3</w:t>
      </w:r>
      <w:r>
        <w:rPr>
          <w:rFonts w:hint="eastAsia"/>
          <w:highlight w:val="none"/>
          <w:lang w:val="en-US" w:eastAsia="zh-CN"/>
        </w:rPr>
        <w:t>19.48</w:t>
      </w:r>
      <w:r>
        <w:rPr>
          <w:rFonts w:hint="eastAsia"/>
          <w:highlight w:val="none"/>
          <w:lang w:eastAsia="zh-CN"/>
        </w:rPr>
        <w:t>万元，</w:t>
      </w:r>
      <w:r>
        <w:rPr>
          <w:rFonts w:hint="eastAsia"/>
          <w:highlight w:val="none"/>
          <w:lang w:val="en-US" w:eastAsia="zh-CN"/>
        </w:rPr>
        <w:t>包括</w:t>
      </w:r>
      <w:r>
        <w:rPr>
          <w:rFonts w:hint="eastAsia"/>
          <w:highlight w:val="none"/>
          <w:lang w:eastAsia="zh-CN"/>
        </w:rPr>
        <w:t>人员经费2</w:t>
      </w:r>
      <w:r>
        <w:rPr>
          <w:rFonts w:hint="eastAsia"/>
          <w:highlight w:val="none"/>
          <w:lang w:val="en-US" w:eastAsia="zh-CN"/>
        </w:rPr>
        <w:t>95.18</w:t>
      </w:r>
      <w:r>
        <w:rPr>
          <w:rFonts w:hint="eastAsia"/>
          <w:highlight w:val="none"/>
          <w:lang w:eastAsia="zh-CN"/>
        </w:rPr>
        <w:t>万元</w:t>
      </w:r>
      <w:r>
        <w:rPr>
          <w:rFonts w:hint="eastAsia"/>
          <w:highlight w:val="none"/>
          <w:lang w:val="en-US" w:eastAsia="zh-CN"/>
        </w:rPr>
        <w:t>和</w:t>
      </w:r>
      <w:r>
        <w:rPr>
          <w:rFonts w:hint="eastAsia"/>
          <w:highlight w:val="none"/>
          <w:lang w:eastAsia="zh-CN"/>
        </w:rPr>
        <w:t>日常公用经费</w:t>
      </w:r>
      <w:r>
        <w:rPr>
          <w:rFonts w:hint="eastAsia"/>
          <w:highlight w:val="none"/>
          <w:lang w:val="en-US" w:eastAsia="zh-CN"/>
        </w:rPr>
        <w:t>24.3</w:t>
      </w:r>
      <w:r>
        <w:rPr>
          <w:rFonts w:hint="eastAsia"/>
          <w:highlight w:val="none"/>
          <w:lang w:eastAsia="zh-CN"/>
        </w:rPr>
        <w:t>万元；项目支出</w:t>
      </w:r>
      <w:r>
        <w:rPr>
          <w:rFonts w:hint="eastAsia"/>
          <w:highlight w:val="none"/>
          <w:lang w:val="en-US" w:eastAsia="zh-CN"/>
        </w:rPr>
        <w:t>3</w:t>
      </w:r>
      <w:r>
        <w:rPr>
          <w:rFonts w:hint="eastAsia" w:eastAsiaTheme="minorEastAsia"/>
          <w:highlight w:val="none"/>
          <w:lang w:eastAsia="zh-CN"/>
        </w:rPr>
        <w:t>5</w:t>
      </w:r>
      <w:r>
        <w:rPr>
          <w:rFonts w:hint="eastAsia"/>
          <w:highlight w:val="none"/>
          <w:lang w:eastAsia="zh-CN"/>
        </w:rPr>
        <w:t>万元</w:t>
      </w:r>
      <w:r>
        <w:rPr>
          <w:rFonts w:hint="eastAsia"/>
          <w:highlight w:val="none"/>
          <w:lang w:val="en-US" w:eastAsia="zh-CN"/>
        </w:rPr>
        <w:t>主要为：</w:t>
      </w:r>
      <w:r>
        <w:rPr>
          <w:rFonts w:ascii="方正仿宋_GBK" w:hAnsi="方正仿宋_GBK" w:eastAsia="方正仿宋_GBK" w:cs="方正仿宋_GBK"/>
          <w:color w:val="000000"/>
          <w:sz w:val="28"/>
        </w:rPr>
        <w:t>综合业务经费</w:t>
      </w:r>
      <w:r>
        <w:rPr>
          <w:rFonts w:hint="eastAsia" w:ascii="方正仿宋_GBK" w:hAnsi="方正仿宋_GBK" w:cs="方正仿宋_GBK"/>
          <w:color w:val="000000"/>
          <w:sz w:val="28"/>
          <w:lang w:val="en-US" w:eastAsia="zh-CN"/>
        </w:rPr>
        <w:t>25万元、</w:t>
      </w:r>
      <w:r>
        <w:rPr>
          <w:rFonts w:ascii="方正仿宋_GBK" w:hAnsi="方正仿宋_GBK" w:eastAsia="方正仿宋_GBK" w:cs="方正仿宋_GBK"/>
          <w:color w:val="000000"/>
          <w:sz w:val="28"/>
          <w:highlight w:val="none"/>
        </w:rPr>
        <w:t>2025年执照、许可证购买经费</w:t>
      </w:r>
      <w:r>
        <w:rPr>
          <w:rFonts w:hint="eastAsia" w:ascii="方正仿宋_GBK" w:hAnsi="方正仿宋_GBK" w:cs="方正仿宋_GBK"/>
          <w:color w:val="000000"/>
          <w:sz w:val="28"/>
          <w:highlight w:val="none"/>
          <w:lang w:val="en-US" w:eastAsia="zh-CN"/>
        </w:rPr>
        <w:t>项目10万元</w:t>
      </w:r>
      <w:r>
        <w:rPr>
          <w:rFonts w:hint="eastAsia"/>
          <w:highlight w:val="none"/>
          <w:lang w:eastAsia="zh-CN"/>
        </w:rPr>
        <w:t>。</w:t>
      </w:r>
    </w:p>
    <w:p>
      <w:pPr>
        <w:pStyle w:val="25"/>
        <w:rPr>
          <w:highlight w:val="none"/>
          <w:lang w:eastAsia="zh-CN"/>
        </w:rPr>
      </w:pPr>
      <w:r>
        <w:rPr>
          <w:rFonts w:hint="eastAsia"/>
          <w:highlight w:val="none"/>
          <w:lang w:eastAsia="zh-CN"/>
        </w:rPr>
        <w:t>3、比上年增减情况</w:t>
      </w:r>
    </w:p>
    <w:p>
      <w:pPr>
        <w:pStyle w:val="25"/>
      </w:pPr>
      <w:r>
        <w:rPr>
          <w:rFonts w:hint="eastAsia"/>
          <w:highlight w:val="none"/>
          <w:lang w:eastAsia="zh-CN"/>
        </w:rPr>
        <w:t>本年度预算收支安排3</w:t>
      </w:r>
      <w:r>
        <w:rPr>
          <w:rFonts w:hint="eastAsia"/>
          <w:highlight w:val="none"/>
          <w:lang w:val="en-US" w:eastAsia="zh-CN"/>
        </w:rPr>
        <w:t>54.48</w:t>
      </w:r>
      <w:r>
        <w:rPr>
          <w:rFonts w:hint="eastAsia"/>
          <w:highlight w:val="none"/>
          <w:lang w:eastAsia="zh-CN"/>
        </w:rPr>
        <w:t>万元，较上年</w:t>
      </w:r>
      <w:r>
        <w:rPr>
          <w:rFonts w:hint="eastAsia"/>
          <w:highlight w:val="none"/>
          <w:lang w:val="en-US" w:eastAsia="zh-CN"/>
        </w:rPr>
        <w:t>增加13.19</w:t>
      </w:r>
      <w:r>
        <w:rPr>
          <w:rFonts w:hint="eastAsia"/>
          <w:highlight w:val="none"/>
          <w:lang w:eastAsia="zh-CN"/>
        </w:rPr>
        <w:t>万元。其中</w:t>
      </w:r>
      <w:r>
        <w:rPr>
          <w:highlight w:val="none"/>
          <w:lang w:eastAsia="zh-CN"/>
        </w:rPr>
        <w:t>:</w:t>
      </w:r>
      <w:r>
        <w:rPr>
          <w:rFonts w:hint="eastAsia"/>
          <w:highlight w:val="none"/>
          <w:lang w:eastAsia="zh-CN"/>
        </w:rPr>
        <w:t>基本支出增加</w:t>
      </w:r>
      <w:r>
        <w:rPr>
          <w:rFonts w:hint="eastAsia"/>
          <w:highlight w:val="none"/>
          <w:lang w:val="en-US" w:eastAsia="zh-CN"/>
        </w:rPr>
        <w:t>3.19</w:t>
      </w:r>
      <w:r>
        <w:rPr>
          <w:rFonts w:hint="eastAsia"/>
          <w:highlight w:val="none"/>
          <w:lang w:eastAsia="zh-CN"/>
        </w:rPr>
        <w:t>万元，主要原因是202</w:t>
      </w:r>
      <w:r>
        <w:rPr>
          <w:rFonts w:hint="eastAsia"/>
          <w:highlight w:val="none"/>
          <w:lang w:val="en-US" w:eastAsia="zh-CN"/>
        </w:rPr>
        <w:t>5</w:t>
      </w:r>
      <w:r>
        <w:rPr>
          <w:rFonts w:hint="eastAsia"/>
          <w:highlight w:val="none"/>
          <w:lang w:eastAsia="zh-CN"/>
        </w:rPr>
        <w:t>年增加新增人员经费；项目支出</w:t>
      </w:r>
      <w:r>
        <w:rPr>
          <w:rFonts w:hint="eastAsia"/>
          <w:highlight w:val="none"/>
          <w:lang w:val="en-US" w:eastAsia="zh-CN"/>
        </w:rPr>
        <w:t>增加10</w:t>
      </w:r>
      <w:r>
        <w:rPr>
          <w:rFonts w:hint="eastAsia"/>
          <w:highlight w:val="none"/>
          <w:lang w:eastAsia="zh-CN"/>
        </w:rPr>
        <w:t>万元。主要原因是202</w:t>
      </w:r>
      <w:r>
        <w:rPr>
          <w:rFonts w:hint="eastAsia"/>
          <w:highlight w:val="none"/>
          <w:lang w:val="en-US" w:eastAsia="zh-CN"/>
        </w:rPr>
        <w:t>5</w:t>
      </w:r>
      <w:r>
        <w:rPr>
          <w:rFonts w:hint="eastAsia"/>
          <w:highlight w:val="none"/>
          <w:lang w:eastAsia="zh-CN"/>
        </w:rPr>
        <w:t>年</w:t>
      </w:r>
      <w:r>
        <w:rPr>
          <w:rFonts w:hint="eastAsia"/>
          <w:highlight w:val="none"/>
          <w:lang w:val="en-US" w:eastAsia="zh-CN"/>
        </w:rPr>
        <w:t>新增</w:t>
      </w:r>
      <w:r>
        <w:rPr>
          <w:rFonts w:ascii="方正仿宋_GBK" w:hAnsi="方正仿宋_GBK" w:eastAsia="方正仿宋_GBK" w:cs="方正仿宋_GBK"/>
          <w:color w:val="000000"/>
          <w:sz w:val="28"/>
          <w:highlight w:val="none"/>
        </w:rPr>
        <w:t>2025年执照、许可证购买经费</w:t>
      </w:r>
      <w:r>
        <w:rPr>
          <w:rFonts w:hint="eastAsia" w:ascii="方正仿宋_GBK" w:hAnsi="方正仿宋_GBK" w:cs="方正仿宋_GBK"/>
          <w:color w:val="000000"/>
          <w:sz w:val="28"/>
          <w:highlight w:val="none"/>
          <w:lang w:val="en-US" w:eastAsia="zh-CN"/>
        </w:rPr>
        <w:t>项目10万元</w:t>
      </w:r>
      <w:r>
        <w:rPr>
          <w:rFonts w:hint="eastAsia"/>
          <w:highlight w:val="none"/>
          <w:lang w:eastAsia="zh-CN"/>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ind w:firstLineChars="200"/>
      </w:pPr>
      <w:r>
        <w:rPr>
          <w:rFonts w:hint="eastAsia" w:cs="宋体" w:asciiTheme="minorEastAsia" w:hAnsiTheme="minorEastAsia" w:eastAsiaTheme="minorEastAsia"/>
          <w:color w:val="333333"/>
          <w:szCs w:val="28"/>
          <w:highlight w:val="none"/>
        </w:rPr>
        <w:t>2</w:t>
      </w:r>
      <w:r>
        <w:rPr>
          <w:rFonts w:hint="eastAsia"/>
          <w:highlight w:val="none"/>
          <w:lang w:eastAsia="zh-CN"/>
        </w:rPr>
        <w:t>02</w:t>
      </w:r>
      <w:r>
        <w:rPr>
          <w:rFonts w:hint="eastAsia"/>
          <w:highlight w:val="none"/>
          <w:lang w:val="en-US" w:eastAsia="zh-CN"/>
        </w:rPr>
        <w:t>5</w:t>
      </w:r>
      <w:r>
        <w:rPr>
          <w:rFonts w:hint="eastAsia"/>
          <w:highlight w:val="none"/>
          <w:lang w:eastAsia="zh-CN"/>
        </w:rPr>
        <w:t>年，我部门运行经费安排24.</w:t>
      </w:r>
      <w:r>
        <w:rPr>
          <w:rFonts w:hint="eastAsia"/>
          <w:highlight w:val="none"/>
          <w:lang w:val="en-US" w:eastAsia="zh-CN"/>
        </w:rPr>
        <w:t>3</w:t>
      </w:r>
      <w:r>
        <w:rPr>
          <w:rFonts w:hint="eastAsia"/>
          <w:highlight w:val="none"/>
          <w:lang w:eastAsia="zh-CN"/>
        </w:rPr>
        <w:t>万元，其中：办公费</w:t>
      </w:r>
      <w:r>
        <w:rPr>
          <w:rFonts w:hint="eastAsia"/>
          <w:highlight w:val="none"/>
          <w:lang w:val="en-US" w:eastAsia="zh-CN"/>
        </w:rPr>
        <w:t>3</w:t>
      </w:r>
      <w:r>
        <w:rPr>
          <w:rFonts w:hint="eastAsia"/>
          <w:highlight w:val="none"/>
          <w:lang w:eastAsia="zh-CN"/>
        </w:rPr>
        <w:t>.6万元，邮电费7.8万元，公务交通补贴9万元，工会经费1.</w:t>
      </w:r>
      <w:r>
        <w:rPr>
          <w:rFonts w:hint="eastAsia"/>
          <w:highlight w:val="none"/>
          <w:lang w:val="en-US" w:eastAsia="zh-CN"/>
        </w:rPr>
        <w:t>73</w:t>
      </w:r>
      <w:r>
        <w:rPr>
          <w:rFonts w:hint="eastAsia"/>
          <w:highlight w:val="none"/>
          <w:lang w:eastAsia="zh-CN"/>
        </w:rPr>
        <w:t>万元，福利费</w:t>
      </w:r>
      <w:r>
        <w:rPr>
          <w:rFonts w:hint="eastAsia"/>
          <w:highlight w:val="none"/>
          <w:lang w:val="en-US" w:eastAsia="zh-CN"/>
        </w:rPr>
        <w:t>2.06</w:t>
      </w:r>
      <w:r>
        <w:rPr>
          <w:rFonts w:hint="eastAsia"/>
          <w:highlight w:val="none"/>
          <w:lang w:eastAsia="zh-CN"/>
        </w:rPr>
        <w:t>万元，党组织活动经费0.11万元。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5"/>
        <w:rPr>
          <w:rFonts w:hint="eastAsia"/>
          <w:lang w:eastAsia="zh-CN"/>
        </w:rPr>
      </w:pPr>
      <w:r>
        <w:rPr>
          <w:rFonts w:hint="eastAsia"/>
          <w:lang w:eastAsia="zh-CN"/>
        </w:rPr>
        <w:t>202</w:t>
      </w:r>
      <w:r>
        <w:rPr>
          <w:rFonts w:hint="eastAsia"/>
          <w:lang w:val="en-US" w:eastAsia="zh-CN"/>
        </w:rPr>
        <w:t>5</w:t>
      </w:r>
      <w:r>
        <w:rPr>
          <w:rFonts w:hint="eastAsia"/>
          <w:lang w:eastAsia="zh-CN"/>
        </w:rPr>
        <w:t>年，我部门财政拨款“三公”经费预算安排0万元，其中因公出国（境）费0万元；公务用车购置及运维费0万元（其中：公务用车购置费为0万元，公务用车运维费0万元）；公务接待费0万元。与202</w:t>
      </w:r>
      <w:r>
        <w:rPr>
          <w:rFonts w:hint="eastAsia"/>
          <w:lang w:val="en-US" w:eastAsia="zh-CN"/>
        </w:rPr>
        <w:t>4</w:t>
      </w:r>
      <w:r>
        <w:rPr>
          <w:rFonts w:hint="eastAsia"/>
          <w:lang w:eastAsia="zh-CN"/>
        </w:rPr>
        <w:t>年相比无增减变化。</w:t>
      </w:r>
    </w:p>
    <w:p>
      <w:pPr>
        <w:spacing w:before="10" w:after="10" w:line="360" w:lineRule="auto"/>
        <w:ind w:firstLine="640"/>
        <w:jc w:val="center"/>
        <w:outlineLvl w:val="2"/>
        <w:rPr>
          <w:rFonts w:ascii="黑体" w:hAnsi="黑体" w:eastAsia="黑体" w:cs="黑体"/>
          <w:color w:val="000000"/>
          <w:sz w:val="32"/>
          <w:lang w:eastAsia="zh-CN"/>
        </w:rPr>
      </w:pPr>
      <w:r>
        <w:rPr>
          <w:rFonts w:ascii="黑体" w:hAnsi="黑体" w:eastAsia="黑体" w:cs="黑体"/>
          <w:color w:val="000000"/>
          <w:sz w:val="32"/>
        </w:rPr>
        <w:t>“三公”经费预算情况及增减变化原因</w:t>
      </w:r>
    </w:p>
    <w:p>
      <w:pPr>
        <w:pStyle w:val="14"/>
      </w:pPr>
      <w:r>
        <w:rPr>
          <w:rFonts w:hint="eastAsia"/>
        </w:rPr>
        <w:t>单位：万元</w:t>
      </w:r>
    </w:p>
    <w:tbl>
      <w:tblPr>
        <w:tblStyle w:val="8"/>
        <w:tblW w:w="4866" w:type="pct"/>
        <w:tblInd w:w="0" w:type="dxa"/>
        <w:tblLayout w:type="fixed"/>
        <w:tblCellMar>
          <w:top w:w="0" w:type="dxa"/>
          <w:left w:w="0" w:type="dxa"/>
          <w:bottom w:w="0" w:type="dxa"/>
          <w:right w:w="0" w:type="dxa"/>
        </w:tblCellMar>
      </w:tblPr>
      <w:tblGrid>
        <w:gridCol w:w="4010"/>
        <w:gridCol w:w="2186"/>
        <w:gridCol w:w="15"/>
        <w:gridCol w:w="2338"/>
        <w:gridCol w:w="2540"/>
        <w:gridCol w:w="3525"/>
      </w:tblGrid>
      <w:tr>
        <w:tblPrEx>
          <w:tblCellMar>
            <w:top w:w="0" w:type="dxa"/>
            <w:left w:w="0" w:type="dxa"/>
            <w:bottom w:w="0" w:type="dxa"/>
            <w:right w:w="0" w:type="dxa"/>
          </w:tblCellMar>
        </w:tblPrEx>
        <w:trPr>
          <w:trHeight w:val="1012" w:hRule="atLeast"/>
        </w:trPr>
        <w:tc>
          <w:tcPr>
            <w:tcW w:w="1372"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项目名称</w:t>
            </w:r>
          </w:p>
        </w:tc>
        <w:tc>
          <w:tcPr>
            <w:tcW w:w="753" w:type="pct"/>
            <w:gridSpan w:val="2"/>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20</w:t>
            </w:r>
            <w:r>
              <w:rPr>
                <w:rFonts w:hint="eastAsia"/>
              </w:rPr>
              <w:t>2</w:t>
            </w:r>
            <w:r>
              <w:rPr>
                <w:rFonts w:hint="eastAsia"/>
                <w:lang w:val="en-US" w:eastAsia="zh-CN"/>
              </w:rPr>
              <w:t>4</w:t>
            </w:r>
            <w:r>
              <w:rPr>
                <w:rFonts w:hint="eastAsia"/>
              </w:rPr>
              <w:t>年度预算</w:t>
            </w:r>
          </w:p>
        </w:tc>
        <w:tc>
          <w:tcPr>
            <w:tcW w:w="800" w:type="pct"/>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202</w:t>
            </w:r>
            <w:r>
              <w:rPr>
                <w:rFonts w:hint="eastAsia"/>
                <w:lang w:val="en-US" w:eastAsia="zh-CN"/>
              </w:rPr>
              <w:t>5</w:t>
            </w:r>
            <w:r>
              <w:rPr>
                <w:rFonts w:hint="eastAsia"/>
              </w:rPr>
              <w:t>年度预算</w:t>
            </w:r>
          </w:p>
        </w:tc>
        <w:tc>
          <w:tcPr>
            <w:tcW w:w="869" w:type="pct"/>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增减金额</w:t>
            </w:r>
          </w:p>
        </w:tc>
        <w:tc>
          <w:tcPr>
            <w:tcW w:w="1206" w:type="pct"/>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变化原因</w:t>
            </w:r>
          </w:p>
        </w:tc>
      </w:tr>
      <w:tr>
        <w:tblPrEx>
          <w:tblCellMar>
            <w:top w:w="0" w:type="dxa"/>
            <w:left w:w="0" w:type="dxa"/>
            <w:bottom w:w="0" w:type="dxa"/>
            <w:right w:w="0" w:type="dxa"/>
          </w:tblCellMar>
        </w:tblPrEx>
        <w:trPr>
          <w:trHeight w:val="600" w:hRule="atLeast"/>
        </w:trPr>
        <w:tc>
          <w:tcPr>
            <w:tcW w:w="1372" w:type="pct"/>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因公出国经费</w:t>
            </w:r>
          </w:p>
        </w:tc>
        <w:tc>
          <w:tcPr>
            <w:tcW w:w="748" w:type="pc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0</w:t>
            </w:r>
          </w:p>
        </w:tc>
        <w:tc>
          <w:tcPr>
            <w:tcW w:w="805" w:type="pct"/>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0</w:t>
            </w:r>
          </w:p>
        </w:tc>
        <w:tc>
          <w:tcPr>
            <w:tcW w:w="869" w:type="pc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0</w:t>
            </w:r>
          </w:p>
        </w:tc>
        <w:tc>
          <w:tcPr>
            <w:tcW w:w="120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14"/>
            </w:pPr>
            <w:r>
              <w:rPr>
                <w:rFonts w:hint="eastAsia"/>
              </w:rPr>
              <w:t>无增减变化</w:t>
            </w:r>
          </w:p>
        </w:tc>
      </w:tr>
      <w:tr>
        <w:tblPrEx>
          <w:tblCellMar>
            <w:top w:w="0" w:type="dxa"/>
            <w:left w:w="0" w:type="dxa"/>
            <w:bottom w:w="0" w:type="dxa"/>
            <w:right w:w="0" w:type="dxa"/>
          </w:tblCellMar>
        </w:tblPrEx>
        <w:trPr>
          <w:trHeight w:val="594" w:hRule="atLeast"/>
        </w:trPr>
        <w:tc>
          <w:tcPr>
            <w:tcW w:w="1372" w:type="pct"/>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公务用车购置经费</w:t>
            </w:r>
          </w:p>
        </w:tc>
        <w:tc>
          <w:tcPr>
            <w:tcW w:w="748" w:type="pc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0</w:t>
            </w:r>
          </w:p>
        </w:tc>
        <w:tc>
          <w:tcPr>
            <w:tcW w:w="805" w:type="pct"/>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0</w:t>
            </w:r>
          </w:p>
        </w:tc>
        <w:tc>
          <w:tcPr>
            <w:tcW w:w="869" w:type="pc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0</w:t>
            </w:r>
          </w:p>
        </w:tc>
        <w:tc>
          <w:tcPr>
            <w:tcW w:w="120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14"/>
            </w:pPr>
            <w:r>
              <w:rPr>
                <w:rFonts w:hint="eastAsia"/>
              </w:rPr>
              <w:t>无增减变化</w:t>
            </w:r>
          </w:p>
        </w:tc>
      </w:tr>
      <w:tr>
        <w:tblPrEx>
          <w:tblCellMar>
            <w:top w:w="0" w:type="dxa"/>
            <w:left w:w="0" w:type="dxa"/>
            <w:bottom w:w="0" w:type="dxa"/>
            <w:right w:w="0" w:type="dxa"/>
          </w:tblCellMar>
        </w:tblPrEx>
        <w:trPr>
          <w:trHeight w:val="570" w:hRule="atLeast"/>
        </w:trPr>
        <w:tc>
          <w:tcPr>
            <w:tcW w:w="1372" w:type="pct"/>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公务用车运行经费</w:t>
            </w:r>
          </w:p>
        </w:tc>
        <w:tc>
          <w:tcPr>
            <w:tcW w:w="748" w:type="pc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0</w:t>
            </w:r>
          </w:p>
        </w:tc>
        <w:tc>
          <w:tcPr>
            <w:tcW w:w="805" w:type="pct"/>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0</w:t>
            </w:r>
          </w:p>
        </w:tc>
        <w:tc>
          <w:tcPr>
            <w:tcW w:w="869" w:type="pc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0</w:t>
            </w:r>
          </w:p>
        </w:tc>
        <w:tc>
          <w:tcPr>
            <w:tcW w:w="120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14"/>
            </w:pPr>
            <w:r>
              <w:rPr>
                <w:rFonts w:hint="eastAsia"/>
              </w:rPr>
              <w:t>无增减变化</w:t>
            </w:r>
          </w:p>
        </w:tc>
      </w:tr>
      <w:tr>
        <w:tblPrEx>
          <w:tblCellMar>
            <w:top w:w="0" w:type="dxa"/>
            <w:left w:w="0" w:type="dxa"/>
            <w:bottom w:w="0" w:type="dxa"/>
            <w:right w:w="0" w:type="dxa"/>
          </w:tblCellMar>
        </w:tblPrEx>
        <w:trPr>
          <w:trHeight w:val="585" w:hRule="atLeast"/>
        </w:trPr>
        <w:tc>
          <w:tcPr>
            <w:tcW w:w="1372" w:type="pct"/>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公务接待费支出</w:t>
            </w:r>
          </w:p>
        </w:tc>
        <w:tc>
          <w:tcPr>
            <w:tcW w:w="748" w:type="pc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0</w:t>
            </w:r>
          </w:p>
        </w:tc>
        <w:tc>
          <w:tcPr>
            <w:tcW w:w="805" w:type="pct"/>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0</w:t>
            </w:r>
          </w:p>
        </w:tc>
        <w:tc>
          <w:tcPr>
            <w:tcW w:w="869" w:type="pc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0</w:t>
            </w:r>
          </w:p>
        </w:tc>
        <w:tc>
          <w:tcPr>
            <w:tcW w:w="120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14"/>
            </w:pPr>
            <w:r>
              <w:rPr>
                <w:rFonts w:hint="eastAsia"/>
              </w:rPr>
              <w:t>无增减变化</w:t>
            </w:r>
          </w:p>
        </w:tc>
      </w:tr>
      <w:tr>
        <w:tblPrEx>
          <w:tblCellMar>
            <w:top w:w="0" w:type="dxa"/>
            <w:left w:w="0" w:type="dxa"/>
            <w:bottom w:w="0" w:type="dxa"/>
            <w:right w:w="0" w:type="dxa"/>
          </w:tblCellMar>
        </w:tblPrEx>
        <w:trPr>
          <w:trHeight w:val="590" w:hRule="atLeast"/>
        </w:trPr>
        <w:tc>
          <w:tcPr>
            <w:tcW w:w="1372" w:type="pct"/>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合计</w:t>
            </w:r>
          </w:p>
        </w:tc>
        <w:tc>
          <w:tcPr>
            <w:tcW w:w="748" w:type="pc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0</w:t>
            </w:r>
          </w:p>
        </w:tc>
        <w:tc>
          <w:tcPr>
            <w:tcW w:w="805" w:type="pct"/>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0</w:t>
            </w:r>
          </w:p>
        </w:tc>
        <w:tc>
          <w:tcPr>
            <w:tcW w:w="869" w:type="pc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0</w:t>
            </w:r>
          </w:p>
        </w:tc>
        <w:tc>
          <w:tcPr>
            <w:tcW w:w="120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14"/>
            </w:pPr>
            <w:r>
              <w:rPr>
                <w:rFonts w:hint="eastAsia"/>
              </w:rPr>
              <w:t>无增减变化</w:t>
            </w:r>
          </w:p>
        </w:tc>
      </w:tr>
    </w:tbl>
    <w:p>
      <w:pPr>
        <w:pStyle w:val="24"/>
      </w:pPr>
    </w:p>
    <w:p>
      <w:pPr>
        <w:pStyle w:val="24"/>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pPr>
      <w:r>
        <w:rPr>
          <w:rFonts w:hint="eastAsia" w:ascii="Times New Roman" w:hAnsi="Times New Roman" w:eastAsia="方正仿宋_GBK" w:cs="Times New Roman"/>
          <w:sz w:val="28"/>
          <w:szCs w:val="24"/>
          <w:lang w:val="en-US" w:eastAsia="zh-CN" w:bidi="ar-SA"/>
        </w:rPr>
        <w:t>莲池区行政审批局深入贯彻习近平新时代中国特色社会主义思想，在区委、区政府的正确领导下，在市行政审批局的大力指导下，以不断提升市场主体和群众满意度为目标，持续优化审批服务流程，充实完善服务机制，全力打造“依规办事不求人、方便快捷少跑腿”的一流政务服务环境。</w:t>
      </w:r>
    </w:p>
    <w:p>
      <w:pPr>
        <w:numPr>
          <w:ilvl w:val="0"/>
          <w:numId w:val="2"/>
        </w:num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分项绩效目标</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1.积极推进政务服务事项赋权工作。按照“成熟一批、赋予一批”的原则，将审批服务事项向乡镇（街道）下放。按照省市要求，编制《莲池区乡级政务服务事项清单》，各乡镇（街道）、村（社区）对乡镇（街道）87个事项、村（社区）38个事项进行全面认领，确保群众和企业能够就近办理。</w:t>
      </w:r>
    </w:p>
    <w:p>
      <w:pPr>
        <w:pStyle w:val="26"/>
        <w:rPr>
          <w:rFonts w:hint="eastAsia" w:ascii="Times New Roman" w:hAnsi="Times New Roman" w:cs="Times New Roman"/>
        </w:rPr>
      </w:pPr>
      <w:r>
        <w:rPr>
          <w:rFonts w:hint="eastAsia" w:ascii="Times New Roman" w:hAnsi="Times New Roman" w:cs="Times New Roman"/>
          <w:lang w:val="en-US" w:eastAsia="zh-CN"/>
        </w:rPr>
        <w:t>2</w:t>
      </w:r>
      <w:r>
        <w:rPr>
          <w:rFonts w:hint="eastAsia" w:ascii="Times New Roman" w:hAnsi="Times New Roman" w:cs="Times New Roman"/>
        </w:rPr>
        <w:t>.推进工程建设审批制度改革。一是不断提升审批效能，保障工程建设审批制度改革措施落地实施。二是大力推行“分阶段办理”+“告知承诺制”审批。</w:t>
      </w:r>
    </w:p>
    <w:p>
      <w:pPr>
        <w:pStyle w:val="26"/>
        <w:rPr>
          <w:rFonts w:hint="eastAsia"/>
        </w:rPr>
      </w:pPr>
      <w:r>
        <w:rPr>
          <w:rFonts w:hint="eastAsia"/>
        </w:rPr>
        <w:t>3.推进商事制度改革。我局推行市场主体登记一日办结制度和企业名称自主申报制度，缩短企业开办时间。</w:t>
      </w:r>
    </w:p>
    <w:p>
      <w:pPr>
        <w:pStyle w:val="26"/>
        <w:rPr>
          <w:rFonts w:hint="eastAsia"/>
        </w:rPr>
      </w:pPr>
      <w:r>
        <w:rPr>
          <w:rFonts w:hint="eastAsia"/>
          <w:lang w:val="en-US" w:eastAsia="zh-CN"/>
        </w:rPr>
        <w:t>4</w:t>
      </w:r>
      <w:r>
        <w:rPr>
          <w:rFonts w:hint="eastAsia"/>
        </w:rPr>
        <w:t>.深入推进“高效办成一件事”工作。着力推进国家13项“高效办成一件事”重点事项上线应用</w:t>
      </w:r>
      <w:r>
        <w:rPr>
          <w:rFonts w:hint="eastAsia"/>
          <w:lang w:eastAsia="zh-CN"/>
        </w:rPr>
        <w:t>。</w:t>
      </w:r>
      <w:r>
        <w:rPr>
          <w:rFonts w:hint="eastAsia"/>
        </w:rPr>
        <w:t>根据国务院办公厅印发的《“高效办成一件事”2024年度新一批重点事项清单》统筹推进新一批重点事项清单，组织各相关单位对涉及的事项进行梳理，制定施实方案，参照分工对涉及我区“高效办成一件事”明确牵头主管部门和责任部门。加大宣传力度，增加企业群众应用率，在政务服务大厅设置“高效办成一件事”综合办事窗口，实现“一次提交、一网通办”。</w:t>
      </w:r>
    </w:p>
    <w:p>
      <w:pPr>
        <w:pStyle w:val="26"/>
        <w:rPr>
          <w:rFonts w:hint="eastAsia"/>
        </w:rPr>
      </w:pPr>
      <w:r>
        <w:rPr>
          <w:rFonts w:hint="eastAsia"/>
          <w:lang w:val="en-US" w:eastAsia="zh-CN"/>
        </w:rPr>
        <w:t>5</w:t>
      </w:r>
      <w:r>
        <w:rPr>
          <w:rFonts w:hint="eastAsia"/>
        </w:rPr>
        <w:t>.全力做好社会信用体系建设工作。一是加大政务失信排查力度。二是建立“双公示”常态化报送机制</w:t>
      </w:r>
      <w:r>
        <w:rPr>
          <w:rFonts w:hint="eastAsia"/>
          <w:lang w:eastAsia="zh-CN"/>
        </w:rPr>
        <w:t>。</w:t>
      </w:r>
      <w:r>
        <w:rPr>
          <w:rFonts w:hint="eastAsia"/>
        </w:rPr>
        <w:t>三是有序推进企业信用修复</w:t>
      </w:r>
    </w:p>
    <w:p>
      <w:pPr>
        <w:numPr>
          <w:ilvl w:val="0"/>
          <w:numId w:val="0"/>
        </w:numPr>
        <w:spacing w:before="0" w:after="0" w:line="500" w:lineRule="exact"/>
        <w:jc w:val="left"/>
        <w:outlineLvl w:val="9"/>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推进政务服务“综合窗口”改革。区政务服务中心统筹将窗口受理、前端导引、帮办代办等公共服务工作外包，择优引进政务服务专业化团队，提供引导咨询服务、帮办代办服务、跨区通办服务等多种服务，拓宽“视频帮办”“在线帮办”“电话帮办”“手语帮办”等多种服务场景，积极推行“早晚弹性办、午间不间断、周末不打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rPr>
          <w:rFonts w:hint="eastAsia"/>
        </w:rPr>
      </w:pPr>
      <w:r>
        <w:rPr>
          <w:rFonts w:hint="eastAsia" w:ascii="Times New Roman" w:hAnsi="Times New Roman" w:cs="Times New Roman"/>
          <w:lang w:val="en-US" w:eastAsia="zh-CN"/>
        </w:rPr>
        <w:t>1</w:t>
      </w:r>
      <w:r>
        <w:rPr>
          <w:rFonts w:hint="eastAsia" w:ascii="Times New Roman" w:hAnsi="Times New Roman" w:cs="Times New Roman"/>
        </w:rPr>
        <w:t>.聚精会神抓</w:t>
      </w:r>
      <w:r>
        <w:rPr>
          <w:rFonts w:hint="eastAsia"/>
        </w:rPr>
        <w:t>好政务服务环境。</w:t>
      </w:r>
      <w:r>
        <w:rPr>
          <w:rFonts w:hint="eastAsia"/>
          <w:lang w:val="en-US" w:eastAsia="zh-CN"/>
        </w:rPr>
        <w:t>一是加强</w:t>
      </w:r>
      <w:r>
        <w:rPr>
          <w:rFonts w:hint="eastAsia"/>
        </w:rPr>
        <w:t>政务服务“应进必进”事项进驻工作</w:t>
      </w:r>
      <w:r>
        <w:rPr>
          <w:rFonts w:hint="eastAsia"/>
          <w:lang w:val="en-US" w:eastAsia="zh-CN"/>
        </w:rPr>
        <w:t>管理</w:t>
      </w:r>
      <w:r>
        <w:rPr>
          <w:rFonts w:hint="eastAsia"/>
        </w:rPr>
        <w:t>。全面完成政务服务“应进必进”事项进驻工作，所有应纳入政务服务的项目已全部进驻到服务大厅，为群众提供一站式服务。</w:t>
      </w:r>
      <w:r>
        <w:rPr>
          <w:rFonts w:hint="eastAsia"/>
          <w:lang w:val="en-US" w:eastAsia="zh-CN"/>
        </w:rPr>
        <w:t>二是</w:t>
      </w:r>
      <w:r>
        <w:rPr>
          <w:rFonts w:hint="eastAsia"/>
        </w:rPr>
        <w:t>进一步科学优化设置窗口。以“只进一门、一窗受理、一次办好”为目标，设置“快捷即办窗口”，对程序简单、标准明确的事项当场办结；设置“跨区通办窗口”，网上提交实现异地办和省级事项区内受理。积极推行“早晚弹性办、午间不间断、周末不打烊”延时服务，设置“办不成事反映窗口”，为企业群众提供办事咨询引导、数字帮办、视频指导等全流程保姆式服务，最大程度地满足企业群众需求。</w:t>
      </w:r>
      <w:r>
        <w:rPr>
          <w:rFonts w:hint="eastAsia"/>
          <w:lang w:val="en-US" w:eastAsia="zh-CN"/>
        </w:rPr>
        <w:t>三是</w:t>
      </w:r>
      <w:r>
        <w:rPr>
          <w:rFonts w:hint="eastAsia"/>
        </w:rPr>
        <w:t>推进政务服务“综合窗口”改革。全力打造“依规办事不求人、方便快捷少跑腿”的一流政务服务环境。构建“前台综合受理、后台分类审批、统一窗口出件”服务新模式，让企业和群众“只进一门，只到一窗，只跑一次”就能顺利办成事。</w:t>
      </w:r>
      <w:r>
        <w:rPr>
          <w:rFonts w:hint="eastAsia"/>
          <w:lang w:val="en-US" w:eastAsia="zh-CN"/>
        </w:rPr>
        <w:t>四是</w:t>
      </w:r>
      <w:r>
        <w:rPr>
          <w:rFonts w:hint="eastAsia"/>
        </w:rPr>
        <w:t>加大政务失信排查力度</w:t>
      </w:r>
      <w:r>
        <w:rPr>
          <w:rFonts w:hint="eastAsia"/>
          <w:lang w:eastAsia="zh-CN"/>
        </w:rPr>
        <w:t>，</w:t>
      </w:r>
      <w:r>
        <w:rPr>
          <w:rFonts w:hint="eastAsia"/>
        </w:rPr>
        <w:t>建立“双公示”常态化报送机制</w:t>
      </w:r>
      <w:r>
        <w:rPr>
          <w:rFonts w:hint="eastAsia"/>
          <w:lang w:eastAsia="zh-CN"/>
        </w:rPr>
        <w:t>，</w:t>
      </w:r>
      <w:r>
        <w:rPr>
          <w:rFonts w:hint="eastAsia"/>
        </w:rPr>
        <w:t>有序推进企业信用修复。</w:t>
      </w:r>
    </w:p>
    <w:p>
      <w:pPr>
        <w:pStyle w:val="27"/>
        <w:sectPr>
          <w:pgSz w:w="16840" w:h="11900" w:orient="landscape"/>
          <w:pgMar w:top="1361" w:right="1020" w:bottom="1361" w:left="1020" w:header="720" w:footer="720" w:gutter="0"/>
        </w:sectPr>
      </w:pPr>
      <w:r>
        <w:rPr>
          <w:rFonts w:hint="eastAsia" w:ascii="Times New Roman" w:hAnsi="Times New Roman" w:cs="Times New Roman"/>
          <w:lang w:val="en-US" w:eastAsia="zh-CN"/>
        </w:rPr>
        <w:t>2</w:t>
      </w:r>
      <w:r>
        <w:rPr>
          <w:rFonts w:hint="eastAsia" w:ascii="Times New Roman" w:hAnsi="Times New Roman" w:cs="Times New Roman"/>
        </w:rPr>
        <w:t>.</w:t>
      </w:r>
      <w:r>
        <w:rPr>
          <w:rFonts w:hint="eastAsia"/>
        </w:rPr>
        <w:t>多措并举，持续正风肃纪。</w:t>
      </w:r>
      <w:r>
        <w:rPr>
          <w:rFonts w:hint="eastAsia"/>
          <w:lang w:val="en-US" w:eastAsia="zh-CN"/>
        </w:rPr>
        <w:t>一是</w:t>
      </w:r>
      <w:r>
        <w:rPr>
          <w:rFonts w:hint="eastAsia"/>
        </w:rPr>
        <w:t>推进政务服务中心上档升级。不断完善政务大厅功能分区设置，高标准建设功能完善、设施齐备、便民利企的自助咨询、企业开办、工程项目改革等专区。优化综合受理窗口设置、出证窗口设置、人员配置及运行流程，提升窗口综合服务效能和窗口满意率。积极推行线上办、预约办、帮代办、“不打烊”等服务模式，对企业群众关注度较高的事项领域及重点工程设置“绿色通道”，提供优质服务。</w:t>
      </w:r>
      <w:r>
        <w:rPr>
          <w:rFonts w:hint="eastAsia"/>
          <w:lang w:val="en-US" w:eastAsia="zh-CN"/>
        </w:rPr>
        <w:t>二是</w:t>
      </w:r>
      <w:r>
        <w:rPr>
          <w:rFonts w:hint="eastAsia"/>
        </w:rPr>
        <w:t>建立健全审批监管机制。通过建立短信平台、办不成请您“码上说”二维码、设立投诉举报箱、聘请企业和群众监督员等多种方式，随时倾听办事群众意见建议，倒服务窗口的质量效能提升。</w:t>
      </w:r>
      <w:r>
        <w:rPr>
          <w:rFonts w:hint="eastAsia"/>
          <w:lang w:val="en-US" w:eastAsia="zh-CN"/>
        </w:rPr>
        <w:t>三是</w:t>
      </w:r>
      <w:r>
        <w:rPr>
          <w:rFonts w:hint="eastAsia"/>
        </w:rPr>
        <w:t>推进政务服务“好差评”。认真做好国家一体化政务服务平台投诉、12345政府服务热线及日常投诉差评处理工作，向社会公开监督举报电话和办不成事请您“码上说”二维码，多渠道收集市场主体和群众意见建议，自觉接受社会监督，及时整改，倒逼服务效能提升，不断提升投诉差评处理的响应率、解决率和满意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280" w:firstLineChars="400"/>
        <w:outlineLvl w:val="2"/>
        <w:rPr>
          <w:rFonts w:ascii="黑体" w:hAnsi="黑体" w:eastAsia="黑体" w:cs="黑体"/>
          <w:color w:val="000000"/>
          <w:sz w:val="32"/>
        </w:rPr>
        <w:sectPr>
          <w:pgSz w:w="16840" w:h="11900" w:orient="landscape"/>
          <w:pgMar w:top="1361" w:right="1020" w:bottom="1134" w:left="1020" w:header="720" w:footer="720" w:gutter="0"/>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1、2025年执照、许可证购买经费绩效目标表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13060625P00504310111D</w:t>
            </w:r>
          </w:p>
        </w:tc>
        <w:tc>
          <w:tcPr>
            <w:tcW w:w="2835" w:type="dxa"/>
            <w:vAlign w:val="center"/>
          </w:tcPr>
          <w:p>
            <w:pPr>
              <w:pStyle w:val="14"/>
            </w:pPr>
            <w:r>
              <w:t>项目名称</w:t>
            </w:r>
          </w:p>
        </w:tc>
        <w:tc>
          <w:tcPr>
            <w:tcW w:w="6095" w:type="dxa"/>
            <w:gridSpan w:val="3"/>
            <w:vAlign w:val="center"/>
          </w:tcPr>
          <w:p>
            <w:pPr>
              <w:pStyle w:val="16"/>
            </w:pPr>
            <w:r>
              <w:t>2025年执照、许可证购买经费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p>
            <w:r>
              <w:t>七、部门项目预算安排情况及绩效目标</w:t>
            </w:r>
          </w:p>
        </w:tc>
        <w:tc>
          <w:tcPr>
            <w:tcW w:w="2268" w:type="dxa"/>
            <w:vAlign w:val="center"/>
          </w:tcPr>
          <w:p>
            <w:pPr>
              <w:pStyle w:val="14"/>
            </w:pPr>
            <w:r>
              <w:t>预算数</w:t>
            </w:r>
          </w:p>
        </w:tc>
        <w:tc>
          <w:tcPr>
            <w:tcW w:w="2835" w:type="dxa"/>
            <w:vAlign w:val="center"/>
          </w:tcPr>
          <w:p>
            <w:pPr>
              <w:pStyle w:val="16"/>
            </w:pPr>
            <w:r>
              <w:t>10.00</w:t>
            </w:r>
          </w:p>
        </w:tc>
        <w:tc>
          <w:tcPr>
            <w:tcW w:w="2835" w:type="dxa"/>
            <w:vAlign w:val="center"/>
          </w:tcPr>
          <w:p>
            <w:pPr>
              <w:pStyle w:val="14"/>
            </w:pPr>
            <w:r>
              <w:t>其中：财政    资金</w:t>
            </w:r>
          </w:p>
        </w:tc>
        <w:tc>
          <w:tcPr>
            <w:tcW w:w="2551" w:type="dxa"/>
            <w:vAlign w:val="center"/>
          </w:tcPr>
          <w:p>
            <w:pPr>
              <w:pStyle w:val="16"/>
            </w:pPr>
            <w:r>
              <w:t>10.00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r>
              <w:t>七、部门项目预算安排情况及绩效目标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七、部门项目预算安排情况及绩效目标</w:t>
            </w:r>
          </w:p>
          <w:p>
            <w:r>
              <w:t>七、部门项目预算安排情况及绩效目标</w:t>
            </w:r>
          </w:p>
        </w:tc>
        <w:tc>
          <w:tcPr>
            <w:tcW w:w="5103" w:type="dxa"/>
            <w:gridSpan w:val="2"/>
            <w:vAlign w:val="center"/>
          </w:tcPr>
          <w:p>
            <w:r>
              <w:t>七、部门项目预算安排情况及绩效目标</w:t>
            </w:r>
          </w:p>
        </w:tc>
        <w:tc>
          <w:tcPr>
            <w:tcW w:w="2835" w:type="dxa"/>
            <w:vAlign w:val="center"/>
          </w:tcPr>
          <w:p>
            <w:r>
              <w:t>七、部门项目预算安排情况及绩效目标</w:t>
            </w:r>
          </w:p>
        </w:tc>
        <w:tc>
          <w:tcPr>
            <w:tcW w:w="2551" w:type="dxa"/>
            <w:vAlign w:val="center"/>
          </w:tcPr>
          <w:p>
            <w:r>
              <w:t>七、部门项目预算安排情况及绩效目标</w:t>
            </w:r>
          </w:p>
        </w:tc>
        <w:tc>
          <w:tcPr>
            <w:tcW w:w="3544" w:type="dxa"/>
            <w:gridSpan w:val="2"/>
            <w:vAlign w:val="center"/>
          </w:tcPr>
          <w:p>
            <w:r>
              <w:t>七、部门项目预算安排情况及绩效目标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r>
              <w:t>七、部门项目预算安排情况及绩效目标</w:t>
            </w:r>
          </w:p>
        </w:tc>
        <w:tc>
          <w:tcPr>
            <w:tcW w:w="2835" w:type="dxa"/>
            <w:vAlign w:val="center"/>
          </w:tcPr>
          <w:p>
            <w:r>
              <w:t>七、部门项目预算安排情况及绩效目标</w:t>
            </w:r>
          </w:p>
        </w:tc>
        <w:tc>
          <w:tcPr>
            <w:tcW w:w="2551" w:type="dxa"/>
            <w:vAlign w:val="center"/>
          </w:tcPr>
          <w:p>
            <w:r>
              <w:t>七、部门项目预算安排情况及绩效目标</w:t>
            </w:r>
          </w:p>
        </w:tc>
        <w:tc>
          <w:tcPr>
            <w:tcW w:w="3544" w:type="dxa"/>
            <w:gridSpan w:val="2"/>
            <w:vAlign w:val="center"/>
          </w:tcPr>
          <w:p>
            <w:r>
              <w:t>七、部门项目预算安排情况及绩效目标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r>
              <w:t>七、部门项目预算安排情况及绩效目标</w:t>
            </w:r>
          </w:p>
        </w:tc>
        <w:tc>
          <w:tcPr>
            <w:tcW w:w="14033" w:type="dxa"/>
            <w:gridSpan w:val="6"/>
            <w:vAlign w:val="center"/>
          </w:tcPr>
          <w:p>
            <w:r>
              <w:t>七、部门项目预算安排情况及绩效目标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工作日保障单位运转</w:t>
            </w:r>
          </w:p>
        </w:tc>
        <w:tc>
          <w:tcPr>
            <w:tcW w:w="5386" w:type="dxa"/>
            <w:vAlign w:val="center"/>
          </w:tcPr>
          <w:p>
            <w:pPr>
              <w:pStyle w:val="16"/>
            </w:pPr>
            <w:r>
              <w:t>各类执照许可发放</w:t>
            </w:r>
          </w:p>
        </w:tc>
        <w:tc>
          <w:tcPr>
            <w:tcW w:w="2268" w:type="dxa"/>
            <w:vAlign w:val="center"/>
          </w:tcPr>
          <w:p>
            <w:pPr>
              <w:pStyle w:val="16"/>
            </w:pPr>
            <w:r>
              <w:t>≥100百分比</w:t>
            </w:r>
          </w:p>
        </w:tc>
        <w:tc>
          <w:tcPr>
            <w:tcW w:w="1276" w:type="dxa"/>
            <w:vAlign w:val="center"/>
          </w:tcPr>
          <w:p>
            <w:pPr>
              <w:pStyle w:val="16"/>
            </w:pPr>
            <w:r>
              <w:t xml:space="preserve"> 行业历史标准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p>
        </w:tc>
        <w:tc>
          <w:tcPr>
            <w:tcW w:w="5386" w:type="dxa"/>
            <w:vAlign w:val="center"/>
          </w:tcPr>
          <w:p>
            <w:pPr>
              <w:pStyle w:val="16"/>
            </w:pPr>
            <w:r>
              <w:t>按照经费性质分类支出</w:t>
            </w:r>
          </w:p>
        </w:tc>
        <w:tc>
          <w:tcPr>
            <w:tcW w:w="2268" w:type="dxa"/>
            <w:vAlign w:val="center"/>
          </w:tcPr>
          <w:p>
            <w:pPr>
              <w:pStyle w:val="16"/>
            </w:pPr>
            <w:r>
              <w:t>≥95百分比</w:t>
            </w:r>
          </w:p>
        </w:tc>
        <w:tc>
          <w:tcPr>
            <w:tcW w:w="1276" w:type="dxa"/>
            <w:vAlign w:val="center"/>
          </w:tcPr>
          <w:p>
            <w:pPr>
              <w:pStyle w:val="16"/>
            </w:pPr>
            <w:r>
              <w:t xml:space="preserve"> 行业历史标准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支出及时率</w:t>
            </w:r>
          </w:p>
        </w:tc>
        <w:tc>
          <w:tcPr>
            <w:tcW w:w="5386" w:type="dxa"/>
            <w:vAlign w:val="center"/>
          </w:tcPr>
          <w:p>
            <w:pPr>
              <w:pStyle w:val="16"/>
            </w:pPr>
            <w:r>
              <w:t>按时间进度要求支付使用资金</w:t>
            </w:r>
          </w:p>
        </w:tc>
        <w:tc>
          <w:tcPr>
            <w:tcW w:w="2268" w:type="dxa"/>
            <w:vAlign w:val="center"/>
          </w:tcPr>
          <w:p>
            <w:pPr>
              <w:pStyle w:val="16"/>
            </w:pPr>
            <w:r>
              <w:t>100百分比</w:t>
            </w:r>
          </w:p>
        </w:tc>
        <w:tc>
          <w:tcPr>
            <w:tcW w:w="1276" w:type="dxa"/>
            <w:vAlign w:val="center"/>
          </w:tcPr>
          <w:p>
            <w:pPr>
              <w:pStyle w:val="16"/>
            </w:pPr>
            <w:r>
              <w:t xml:space="preserve"> 行业历史标准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预算成本支出数</w:t>
            </w:r>
          </w:p>
        </w:tc>
        <w:tc>
          <w:tcPr>
            <w:tcW w:w="5386" w:type="dxa"/>
            <w:vAlign w:val="center"/>
          </w:tcPr>
          <w:p>
            <w:pPr>
              <w:pStyle w:val="16"/>
            </w:pPr>
            <w:r>
              <w:t>项目预算执行情况</w:t>
            </w:r>
          </w:p>
        </w:tc>
        <w:tc>
          <w:tcPr>
            <w:tcW w:w="2268" w:type="dxa"/>
            <w:vAlign w:val="center"/>
          </w:tcPr>
          <w:p>
            <w:pPr>
              <w:pStyle w:val="16"/>
            </w:pPr>
            <w:r>
              <w:t>≤100百分比</w:t>
            </w:r>
          </w:p>
        </w:tc>
        <w:tc>
          <w:tcPr>
            <w:tcW w:w="1276" w:type="dxa"/>
            <w:vAlign w:val="center"/>
          </w:tcPr>
          <w:p>
            <w:pPr>
              <w:pStyle w:val="16"/>
            </w:pPr>
            <w:r>
              <w:t xml:space="preserve"> 行业历史标准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正常办公条件保障情况</w:t>
            </w:r>
          </w:p>
        </w:tc>
        <w:tc>
          <w:tcPr>
            <w:tcW w:w="5386" w:type="dxa"/>
            <w:vAlign w:val="center"/>
          </w:tcPr>
          <w:p>
            <w:pPr>
              <w:pStyle w:val="16"/>
            </w:pPr>
            <w:r>
              <w:t>保障办公物资需求，改善办公条件</w:t>
            </w:r>
          </w:p>
        </w:tc>
        <w:tc>
          <w:tcPr>
            <w:tcW w:w="2268" w:type="dxa"/>
            <w:vAlign w:val="center"/>
          </w:tcPr>
          <w:p>
            <w:pPr>
              <w:pStyle w:val="16"/>
            </w:pPr>
            <w:r>
              <w:t>≥100百分比</w:t>
            </w:r>
          </w:p>
        </w:tc>
        <w:tc>
          <w:tcPr>
            <w:tcW w:w="1276" w:type="dxa"/>
            <w:vAlign w:val="center"/>
          </w:tcPr>
          <w:p>
            <w:pPr>
              <w:pStyle w:val="16"/>
            </w:pPr>
            <w:r>
              <w:t xml:space="preserve"> 行业历史标准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发挥财政资金使用效益</w:t>
            </w:r>
          </w:p>
        </w:tc>
        <w:tc>
          <w:tcPr>
            <w:tcW w:w="5386" w:type="dxa"/>
            <w:vAlign w:val="center"/>
          </w:tcPr>
          <w:p>
            <w:pPr>
              <w:pStyle w:val="16"/>
            </w:pPr>
            <w:r>
              <w:t>财政资金使用情况</w:t>
            </w:r>
          </w:p>
        </w:tc>
        <w:tc>
          <w:tcPr>
            <w:tcW w:w="2268" w:type="dxa"/>
            <w:vAlign w:val="center"/>
          </w:tcPr>
          <w:p>
            <w:pPr>
              <w:pStyle w:val="16"/>
            </w:pPr>
            <w:r>
              <w:t>100百分比</w:t>
            </w:r>
          </w:p>
        </w:tc>
        <w:tc>
          <w:tcPr>
            <w:tcW w:w="1276" w:type="dxa"/>
            <w:vAlign w:val="center"/>
          </w:tcPr>
          <w:p>
            <w:pPr>
              <w:pStyle w:val="16"/>
            </w:pPr>
            <w:r>
              <w:t xml:space="preserve"> 行业历史标准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使用节能减排产品使用率</w:t>
            </w:r>
          </w:p>
        </w:tc>
        <w:tc>
          <w:tcPr>
            <w:tcW w:w="5386" w:type="dxa"/>
            <w:vAlign w:val="center"/>
          </w:tcPr>
          <w:p>
            <w:pPr>
              <w:pStyle w:val="16"/>
            </w:pPr>
            <w:r>
              <w:t>响应节能减排号召</w:t>
            </w:r>
          </w:p>
        </w:tc>
        <w:tc>
          <w:tcPr>
            <w:tcW w:w="2268" w:type="dxa"/>
            <w:vAlign w:val="center"/>
          </w:tcPr>
          <w:p>
            <w:pPr>
              <w:pStyle w:val="16"/>
            </w:pPr>
            <w:r>
              <w:t>≥90百分比</w:t>
            </w:r>
          </w:p>
        </w:tc>
        <w:tc>
          <w:tcPr>
            <w:tcW w:w="1276" w:type="dxa"/>
            <w:vAlign w:val="center"/>
          </w:tcPr>
          <w:p>
            <w:pPr>
              <w:pStyle w:val="16"/>
            </w:pPr>
            <w:r>
              <w:t xml:space="preserve"> 行业历史标准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综合业务工作可持续性</w:t>
            </w:r>
          </w:p>
        </w:tc>
        <w:tc>
          <w:tcPr>
            <w:tcW w:w="5386" w:type="dxa"/>
            <w:vAlign w:val="center"/>
          </w:tcPr>
          <w:p>
            <w:pPr>
              <w:pStyle w:val="16"/>
            </w:pPr>
            <w:r>
              <w:t>综合业务工作可持续性</w:t>
            </w:r>
          </w:p>
        </w:tc>
        <w:tc>
          <w:tcPr>
            <w:tcW w:w="2268" w:type="dxa"/>
            <w:vAlign w:val="center"/>
          </w:tcPr>
          <w:p>
            <w:pPr>
              <w:pStyle w:val="16"/>
            </w:pPr>
            <w:r>
              <w:t>≥100百分比</w:t>
            </w:r>
          </w:p>
        </w:tc>
        <w:tc>
          <w:tcPr>
            <w:tcW w:w="1276" w:type="dxa"/>
            <w:vAlign w:val="center"/>
          </w:tcPr>
          <w:p>
            <w:pPr>
              <w:pStyle w:val="16"/>
            </w:pPr>
            <w:r>
              <w:t xml:space="preserve"> 行业历史标准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单位工作人员满意率</w:t>
            </w:r>
          </w:p>
        </w:tc>
        <w:tc>
          <w:tcPr>
            <w:tcW w:w="5386" w:type="dxa"/>
            <w:vAlign w:val="center"/>
          </w:tcPr>
          <w:p>
            <w:pPr>
              <w:pStyle w:val="16"/>
            </w:pPr>
            <w:r>
              <w:t>支出是否达到工作人员满意</w:t>
            </w:r>
          </w:p>
        </w:tc>
        <w:tc>
          <w:tcPr>
            <w:tcW w:w="2268" w:type="dxa"/>
            <w:vAlign w:val="center"/>
          </w:tcPr>
          <w:p>
            <w:pPr>
              <w:pStyle w:val="16"/>
            </w:pPr>
            <w:r>
              <w:t>≥90百分比</w:t>
            </w:r>
          </w:p>
        </w:tc>
        <w:tc>
          <w:tcPr>
            <w:tcW w:w="1276" w:type="dxa"/>
            <w:vAlign w:val="center"/>
          </w:tcPr>
          <w:p>
            <w:pPr>
              <w:pStyle w:val="16"/>
            </w:pPr>
            <w:r>
              <w:t xml:space="preserve"> 行业历史标准</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2、综合业务经费绩效目标表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13060625P00504310119A</w:t>
            </w:r>
          </w:p>
        </w:tc>
        <w:tc>
          <w:tcPr>
            <w:tcW w:w="2835" w:type="dxa"/>
            <w:vAlign w:val="center"/>
          </w:tcPr>
          <w:p>
            <w:pPr>
              <w:pStyle w:val="14"/>
            </w:pPr>
            <w:r>
              <w:t>项目名称</w:t>
            </w:r>
          </w:p>
        </w:tc>
        <w:tc>
          <w:tcPr>
            <w:tcW w:w="6095" w:type="dxa"/>
            <w:gridSpan w:val="3"/>
            <w:vAlign w:val="center"/>
          </w:tcPr>
          <w:p>
            <w:pPr>
              <w:pStyle w:val="16"/>
            </w:pPr>
            <w:r>
              <w:t>综合业务经费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25.00</w:t>
            </w:r>
          </w:p>
        </w:tc>
        <w:tc>
          <w:tcPr>
            <w:tcW w:w="2835" w:type="dxa"/>
            <w:vAlign w:val="center"/>
          </w:tcPr>
          <w:p>
            <w:pPr>
              <w:pStyle w:val="14"/>
            </w:pPr>
            <w:r>
              <w:t>其中：财政    资金</w:t>
            </w:r>
          </w:p>
        </w:tc>
        <w:tc>
          <w:tcPr>
            <w:tcW w:w="2551" w:type="dxa"/>
            <w:vAlign w:val="center"/>
          </w:tcPr>
          <w:p>
            <w:pPr>
              <w:pStyle w:val="16"/>
            </w:pPr>
            <w:r>
              <w:t>25.00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综合业务经费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50%</w:t>
            </w:r>
          </w:p>
        </w:tc>
        <w:tc>
          <w:tcPr>
            <w:tcW w:w="2835" w:type="dxa"/>
            <w:vAlign w:val="center"/>
          </w:tcPr>
          <w:p>
            <w:pPr>
              <w:pStyle w:val="17"/>
            </w:pPr>
            <w:r>
              <w:t>100%</w:t>
            </w:r>
          </w:p>
        </w:tc>
        <w:tc>
          <w:tcPr>
            <w:tcW w:w="2551" w:type="dxa"/>
            <w:vAlign w:val="center"/>
          </w:tcPr>
          <w:p>
            <w:pPr>
              <w:pStyle w:val="17"/>
            </w:pPr>
            <w:r>
              <w:t xml:space="preserve"> </w:t>
            </w:r>
          </w:p>
        </w:tc>
        <w:tc>
          <w:tcPr>
            <w:tcW w:w="3544" w:type="dxa"/>
            <w:gridSpan w:val="2"/>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1."保障机关正常运转，服务于机关全年目标任务。</w:t>
            </w:r>
            <w:r>
              <w:tab/>
            </w:r>
            <w:r>
              <w:tab/>
            </w:r>
            <w:r>
              <w:tab/>
            </w:r>
            <w:r>
              <w:tab/>
            </w:r>
            <w:r>
              <w:tab/>
            </w:r>
            <w:r>
              <w:tab/>
            </w:r>
          </w:p>
          <w:p>
            <w:pPr>
              <w:pStyle w:val="16"/>
            </w:pPr>
            <w:r>
              <w:t>"</w:t>
            </w:r>
            <w:r>
              <w:tab/>
            </w:r>
            <w:r>
              <w:tab/>
            </w:r>
            <w:r>
              <w:tab/>
            </w:r>
            <w:r>
              <w:tab/>
            </w:r>
            <w:r>
              <w:tab/>
            </w:r>
            <w:r>
              <w:tab/>
            </w:r>
          </w:p>
          <w:p>
            <w:pPr>
              <w:pStyle w:val="16"/>
            </w:pPr>
          </w:p>
          <w:p>
            <w:pPr>
              <w:pStyle w:val="16"/>
            </w:pPr>
            <w:r>
              <w:t>2.合理安排财政资金支出计划，遵循单位财务规章制度，在预算内按进度支出。</w:t>
            </w:r>
            <w:r>
              <w:tab/>
            </w:r>
            <w:r>
              <w:tab/>
            </w:r>
            <w:r>
              <w:tab/>
            </w:r>
            <w:r>
              <w:tab/>
            </w:r>
            <w:r>
              <w:tab/>
            </w:r>
            <w:r>
              <w:tab/>
            </w:r>
          </w:p>
          <w:p>
            <w:pPr>
              <w:pStyle w:val="16"/>
            </w:pPr>
            <w:r>
              <w:t>"</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工作日保障单位运转</w:t>
            </w:r>
          </w:p>
        </w:tc>
        <w:tc>
          <w:tcPr>
            <w:tcW w:w="5386" w:type="dxa"/>
            <w:vAlign w:val="center"/>
          </w:tcPr>
          <w:p>
            <w:pPr>
              <w:pStyle w:val="16"/>
            </w:pPr>
            <w:r>
              <w:t>工作日工作时间</w:t>
            </w:r>
          </w:p>
        </w:tc>
        <w:tc>
          <w:tcPr>
            <w:tcW w:w="2268" w:type="dxa"/>
            <w:vAlign w:val="center"/>
          </w:tcPr>
          <w:p>
            <w:pPr>
              <w:pStyle w:val="16"/>
            </w:pPr>
            <w:r>
              <w:t>≥8小时</w:t>
            </w:r>
          </w:p>
        </w:tc>
        <w:tc>
          <w:tcPr>
            <w:tcW w:w="1276" w:type="dxa"/>
            <w:vAlign w:val="center"/>
          </w:tcPr>
          <w:p>
            <w:pPr>
              <w:pStyle w:val="16"/>
            </w:pPr>
            <w:r>
              <w:t>行政事业单位法定工作时间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p>
        </w:tc>
        <w:tc>
          <w:tcPr>
            <w:tcW w:w="5386" w:type="dxa"/>
            <w:vAlign w:val="center"/>
          </w:tcPr>
          <w:p>
            <w:pPr>
              <w:pStyle w:val="16"/>
            </w:pPr>
            <w:r>
              <w:t>按照经费性质分类支出</w:t>
            </w:r>
          </w:p>
        </w:tc>
        <w:tc>
          <w:tcPr>
            <w:tcW w:w="2268" w:type="dxa"/>
            <w:vAlign w:val="center"/>
          </w:tcPr>
          <w:p>
            <w:pPr>
              <w:pStyle w:val="16"/>
            </w:pPr>
            <w:r>
              <w:t>≥100百分比</w:t>
            </w:r>
          </w:p>
        </w:tc>
        <w:tc>
          <w:tcPr>
            <w:tcW w:w="1276" w:type="dxa"/>
            <w:vAlign w:val="center"/>
          </w:tcPr>
          <w:p>
            <w:pPr>
              <w:pStyle w:val="16"/>
            </w:pPr>
            <w:r>
              <w:t>符合财务管理制度和内控要求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按时间进度要求支付使用资金</w:t>
            </w:r>
          </w:p>
        </w:tc>
        <w:tc>
          <w:tcPr>
            <w:tcW w:w="5386" w:type="dxa"/>
            <w:vAlign w:val="center"/>
          </w:tcPr>
          <w:p>
            <w:pPr>
              <w:pStyle w:val="16"/>
            </w:pPr>
            <w:r>
              <w:t>按时间进度要求支付使用资金</w:t>
            </w:r>
          </w:p>
        </w:tc>
        <w:tc>
          <w:tcPr>
            <w:tcW w:w="2268" w:type="dxa"/>
            <w:vAlign w:val="center"/>
          </w:tcPr>
          <w:p>
            <w:pPr>
              <w:pStyle w:val="16"/>
            </w:pPr>
            <w:r>
              <w:t>≥100百分比</w:t>
            </w:r>
          </w:p>
        </w:tc>
        <w:tc>
          <w:tcPr>
            <w:tcW w:w="1276" w:type="dxa"/>
            <w:vAlign w:val="center"/>
          </w:tcPr>
          <w:p>
            <w:pPr>
              <w:pStyle w:val="16"/>
            </w:pPr>
            <w:r>
              <w:t>支出进度要求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各项经费成本</w:t>
            </w:r>
          </w:p>
        </w:tc>
        <w:tc>
          <w:tcPr>
            <w:tcW w:w="5386" w:type="dxa"/>
            <w:vAlign w:val="center"/>
          </w:tcPr>
          <w:p>
            <w:pPr>
              <w:pStyle w:val="16"/>
            </w:pPr>
            <w:r>
              <w:t>按照经费标准支出</w:t>
            </w:r>
          </w:p>
        </w:tc>
        <w:tc>
          <w:tcPr>
            <w:tcW w:w="2268" w:type="dxa"/>
            <w:vAlign w:val="center"/>
          </w:tcPr>
          <w:p>
            <w:pPr>
              <w:pStyle w:val="16"/>
            </w:pPr>
            <w:r>
              <w:t>≤25万元</w:t>
            </w:r>
          </w:p>
        </w:tc>
        <w:tc>
          <w:tcPr>
            <w:tcW w:w="1276" w:type="dxa"/>
            <w:vAlign w:val="center"/>
          </w:tcPr>
          <w:p>
            <w:pPr>
              <w:pStyle w:val="16"/>
            </w:pPr>
            <w:r>
              <w:t>行政、事业人均标准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正常办公条件保障情况</w:t>
            </w:r>
          </w:p>
        </w:tc>
        <w:tc>
          <w:tcPr>
            <w:tcW w:w="5386" w:type="dxa"/>
            <w:vAlign w:val="center"/>
          </w:tcPr>
          <w:p>
            <w:pPr>
              <w:pStyle w:val="16"/>
            </w:pPr>
            <w:r>
              <w:t>保障办公物资需求，改善办公条件</w:t>
            </w:r>
          </w:p>
        </w:tc>
        <w:tc>
          <w:tcPr>
            <w:tcW w:w="2268" w:type="dxa"/>
            <w:vAlign w:val="center"/>
          </w:tcPr>
          <w:p>
            <w:pPr>
              <w:pStyle w:val="16"/>
            </w:pPr>
            <w:r>
              <w:t>≥90百分比</w:t>
            </w:r>
          </w:p>
        </w:tc>
        <w:tc>
          <w:tcPr>
            <w:tcW w:w="1276" w:type="dxa"/>
            <w:vAlign w:val="center"/>
          </w:tcPr>
          <w:p>
            <w:pPr>
              <w:pStyle w:val="16"/>
            </w:pPr>
            <w:r>
              <w:t>维护机关正常办公秩序，保障公职人员履职需要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发挥财政资金使用效益</w:t>
            </w:r>
          </w:p>
        </w:tc>
        <w:tc>
          <w:tcPr>
            <w:tcW w:w="5386" w:type="dxa"/>
            <w:vAlign w:val="center"/>
          </w:tcPr>
          <w:p>
            <w:pPr>
              <w:pStyle w:val="16"/>
            </w:pPr>
            <w:r>
              <w:t>发挥财政资金使用效益</w:t>
            </w:r>
          </w:p>
        </w:tc>
        <w:tc>
          <w:tcPr>
            <w:tcW w:w="2268" w:type="dxa"/>
            <w:vAlign w:val="center"/>
          </w:tcPr>
          <w:p>
            <w:pPr>
              <w:pStyle w:val="16"/>
            </w:pPr>
            <w:r>
              <w:t>≥100百分比</w:t>
            </w:r>
          </w:p>
        </w:tc>
        <w:tc>
          <w:tcPr>
            <w:tcW w:w="1276" w:type="dxa"/>
            <w:vAlign w:val="center"/>
          </w:tcPr>
          <w:p>
            <w:pPr>
              <w:pStyle w:val="16"/>
            </w:pPr>
            <w:r>
              <w:t>响应“压缩开支，厉行节约”要求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使用节能减排产品</w:t>
            </w:r>
          </w:p>
        </w:tc>
        <w:tc>
          <w:tcPr>
            <w:tcW w:w="5386" w:type="dxa"/>
            <w:vAlign w:val="center"/>
          </w:tcPr>
          <w:p>
            <w:pPr>
              <w:pStyle w:val="16"/>
            </w:pPr>
            <w:r>
              <w:t>响应节能减排号召</w:t>
            </w:r>
          </w:p>
        </w:tc>
        <w:tc>
          <w:tcPr>
            <w:tcW w:w="2268" w:type="dxa"/>
            <w:vAlign w:val="center"/>
          </w:tcPr>
          <w:p>
            <w:pPr>
              <w:pStyle w:val="16"/>
            </w:pPr>
            <w:r>
              <w:t>≥90百分比</w:t>
            </w:r>
          </w:p>
        </w:tc>
        <w:tc>
          <w:tcPr>
            <w:tcW w:w="1276" w:type="dxa"/>
            <w:vAlign w:val="center"/>
          </w:tcPr>
          <w:p>
            <w:pPr>
              <w:pStyle w:val="16"/>
            </w:pPr>
            <w:r>
              <w:t>响应节能减排号召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5386" w:type="dxa"/>
            <w:vAlign w:val="center"/>
          </w:tcPr>
          <w:p>
            <w:pPr>
              <w:pStyle w:val="16"/>
            </w:pPr>
            <w:r>
              <w:t>长期使用性</w:t>
            </w:r>
          </w:p>
        </w:tc>
        <w:tc>
          <w:tcPr>
            <w:tcW w:w="2268" w:type="dxa"/>
            <w:vAlign w:val="center"/>
          </w:tcPr>
          <w:p>
            <w:pPr>
              <w:pStyle w:val="16"/>
            </w:pPr>
            <w:r>
              <w:t>≥90百分比</w:t>
            </w:r>
          </w:p>
        </w:tc>
        <w:tc>
          <w:tcPr>
            <w:tcW w:w="1276" w:type="dxa"/>
            <w:vAlign w:val="center"/>
          </w:tcPr>
          <w:p>
            <w:pPr>
              <w:pStyle w:val="16"/>
            </w:pPr>
            <w:r>
              <w:t>长期使用性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单位工作人员满意率</w:t>
            </w:r>
          </w:p>
        </w:tc>
        <w:tc>
          <w:tcPr>
            <w:tcW w:w="5386" w:type="dxa"/>
            <w:vAlign w:val="center"/>
          </w:tcPr>
          <w:p>
            <w:pPr>
              <w:pStyle w:val="16"/>
            </w:pPr>
            <w:r>
              <w:t>支出是否达到工作人员满意</w:t>
            </w:r>
          </w:p>
        </w:tc>
        <w:tc>
          <w:tcPr>
            <w:tcW w:w="2268" w:type="dxa"/>
            <w:vAlign w:val="center"/>
          </w:tcPr>
          <w:p>
            <w:pPr>
              <w:pStyle w:val="16"/>
            </w:pPr>
            <w:r>
              <w:t>≥95百分比</w:t>
            </w:r>
          </w:p>
        </w:tc>
        <w:tc>
          <w:tcPr>
            <w:tcW w:w="1276" w:type="dxa"/>
            <w:vAlign w:val="center"/>
          </w:tcPr>
          <w:p>
            <w:pPr>
              <w:pStyle w:val="16"/>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851保定市莲池区行政审批局</w:t>
            </w:r>
          </w:p>
        </w:tc>
        <w:tc>
          <w:tcPr>
            <w:tcW w:w="7712"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8" w:type="dxa"/>
            <w:gridSpan w:val="7"/>
            <w:vAlign w:val="center"/>
          </w:tcPr>
          <w:p>
            <w:pPr>
              <w:pStyle w:val="14"/>
            </w:pPr>
            <w:r>
              <w:t>政府采购金额（当年部门预算安排资金）</w:t>
            </w:r>
          </w:p>
        </w:tc>
        <w:tc>
          <w:tcPr>
            <w:tcW w:w="964" w:type="dxa"/>
            <w:vMerge w:val="restart"/>
            <w:vAlign w:val="center"/>
          </w:tcPr>
          <w:p>
            <w:pPr>
              <w:pStyle w:val="14"/>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保定市莲池区行政审批局（含所属单位）上年末固定资产金额为</w:t>
      </w:r>
      <w:r>
        <w:rPr>
          <w:rFonts w:hint="eastAsia" w:eastAsia="方正仿宋_GBK" w:cs="Times New Roman"/>
          <w:b w:val="0"/>
          <w:color w:val="000000"/>
          <w:sz w:val="28"/>
          <w:highlight w:val="none"/>
          <w:lang w:val="en-US" w:eastAsia="zh-CN"/>
        </w:rPr>
        <w:t>142</w:t>
      </w:r>
      <w:r>
        <w:rPr>
          <w:rFonts w:ascii="Times New Roman" w:hAnsi="Times New Roman" w:eastAsia="方正仿宋_GBK" w:cs="Times New Roman"/>
          <w:b w:val="0"/>
          <w:color w:val="000000"/>
          <w:sz w:val="28"/>
          <w:highlight w:val="none"/>
        </w:rPr>
        <w:t>.</w:t>
      </w:r>
      <w:r>
        <w:rPr>
          <w:rFonts w:hint="eastAsia" w:eastAsia="方正仿宋_GBK" w:cs="Times New Roman"/>
          <w:b w:val="0"/>
          <w:color w:val="000000"/>
          <w:sz w:val="28"/>
          <w:highlight w:val="none"/>
          <w:lang w:val="en-US" w:eastAsia="zh-CN"/>
        </w:rPr>
        <w:t>921</w:t>
      </w:r>
      <w:r>
        <w:rPr>
          <w:rFonts w:ascii="Times New Roman" w:hAnsi="Times New Roman" w:eastAsia="方正仿宋_GBK" w:cs="Times New Roman"/>
          <w:b w:val="0"/>
          <w:color w:val="000000"/>
          <w:sz w:val="28"/>
          <w:highlight w:val="none"/>
        </w:rPr>
        <w:t>万元（详见下表）。本年度拟购置固定资产总额为0.00万元，已按要求列入政府采购预算，详见政府采购预算表。</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highlight w:val="none"/>
              </w:rPr>
            </w:pPr>
            <w:r>
              <w:rPr>
                <w:highlight w:val="none"/>
              </w:rPr>
              <w:t>851保定市莲池区行政审批局</w:t>
            </w:r>
          </w:p>
        </w:tc>
        <w:tc>
          <w:tcPr>
            <w:tcW w:w="5670" w:type="dxa"/>
            <w:gridSpan w:val="2"/>
            <w:tcBorders>
              <w:top w:val="single" w:color="FFFFFF" w:sz="6" w:space="0"/>
              <w:left w:val="single" w:color="FFFFFF" w:sz="6" w:space="0"/>
              <w:right w:val="single" w:color="FFFFFF" w:sz="6" w:space="0"/>
            </w:tcBorders>
            <w:vAlign w:val="center"/>
          </w:tcPr>
          <w:p>
            <w:pPr>
              <w:pStyle w:val="11"/>
              <w:rPr>
                <w:highlight w:val="none"/>
              </w:rPr>
            </w:pPr>
            <w:r>
              <w:rPr>
                <w:highlight w:val="none"/>
              </w:rPr>
              <w:t>截止时间：202</w:t>
            </w:r>
            <w:r>
              <w:rPr>
                <w:rFonts w:hint="eastAsia"/>
                <w:highlight w:val="none"/>
                <w:lang w:val="en-US" w:eastAsia="zh-CN"/>
              </w:rPr>
              <w:t>4</w:t>
            </w:r>
            <w:r>
              <w:rPr>
                <w:highlight w:val="none"/>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rPr>
                <w:highlight w:val="none"/>
              </w:rPr>
            </w:pPr>
            <w:r>
              <w:rPr>
                <w:highlight w:val="none"/>
              </w:rPr>
              <w:t>项   目</w:t>
            </w:r>
          </w:p>
        </w:tc>
        <w:tc>
          <w:tcPr>
            <w:tcW w:w="2835" w:type="dxa"/>
            <w:vAlign w:val="center"/>
          </w:tcPr>
          <w:p>
            <w:pPr>
              <w:pStyle w:val="14"/>
              <w:rPr>
                <w:highlight w:val="none"/>
              </w:rPr>
            </w:pPr>
            <w:r>
              <w:rPr>
                <w:highlight w:val="none"/>
              </w:rPr>
              <w:t>数量</w:t>
            </w:r>
          </w:p>
        </w:tc>
        <w:tc>
          <w:tcPr>
            <w:tcW w:w="2835" w:type="dxa"/>
            <w:vAlign w:val="center"/>
          </w:tcPr>
          <w:p>
            <w:pPr>
              <w:pStyle w:val="14"/>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jc w:val="center"/>
              <w:rPr>
                <w:rFonts w:cs="宋体" w:asciiTheme="minorEastAsia" w:hAnsiTheme="minorEastAsia"/>
                <w:color w:val="333333"/>
                <w:szCs w:val="21"/>
                <w:highlight w:val="none"/>
              </w:rPr>
            </w:pPr>
            <w:r>
              <w:rPr>
                <w:rFonts w:hint="eastAsia" w:cs="宋体" w:asciiTheme="minorEastAsia" w:hAnsiTheme="minorEastAsia"/>
                <w:b/>
                <w:bCs/>
                <w:color w:val="000000"/>
                <w:szCs w:val="21"/>
                <w:highlight w:val="none"/>
              </w:rPr>
              <w:t>固定资产总额</w:t>
            </w:r>
          </w:p>
        </w:tc>
        <w:tc>
          <w:tcPr>
            <w:tcW w:w="2835" w:type="dxa"/>
            <w:vAlign w:val="center"/>
          </w:tcPr>
          <w:p>
            <w:pPr>
              <w:spacing w:line="312" w:lineRule="atLeast"/>
              <w:ind w:firstLine="480"/>
              <w:jc w:val="center"/>
              <w:rPr>
                <w:rFonts w:cs="宋体" w:asciiTheme="minorEastAsia" w:hAnsiTheme="minorEastAsia"/>
                <w:color w:val="333333"/>
                <w:szCs w:val="21"/>
                <w:highlight w:val="none"/>
              </w:rPr>
            </w:pPr>
            <w:r>
              <w:rPr>
                <w:rFonts w:cs="宋体" w:asciiTheme="minorEastAsia" w:hAnsiTheme="minorEastAsia"/>
                <w:color w:val="000000"/>
                <w:szCs w:val="21"/>
                <w:highlight w:val="none"/>
              </w:rPr>
              <w:t>—</w:t>
            </w:r>
          </w:p>
        </w:tc>
        <w:tc>
          <w:tcPr>
            <w:tcW w:w="2835" w:type="dxa"/>
            <w:vAlign w:val="center"/>
          </w:tcPr>
          <w:p>
            <w:pPr>
              <w:spacing w:line="312" w:lineRule="atLeast"/>
              <w:ind w:firstLine="480"/>
              <w:jc w:val="center"/>
              <w:rPr>
                <w:rFonts w:hint="default" w:eastAsia="宋体" w:cs="宋体" w:asciiTheme="minorEastAsia" w:hAnsiTheme="minorEastAsia"/>
                <w:szCs w:val="21"/>
                <w:highlight w:val="none"/>
                <w:lang w:val="en-US" w:eastAsia="zh-CN"/>
              </w:rPr>
            </w:pPr>
            <w:r>
              <w:rPr>
                <w:rFonts w:hint="eastAsia" w:eastAsia="宋体" w:cs="宋体" w:asciiTheme="minorEastAsia" w:hAnsiTheme="minorEastAsia"/>
                <w:b/>
                <w:bCs/>
                <w:szCs w:val="21"/>
                <w:highlight w:val="none"/>
                <w:lang w:val="en-US" w:eastAsia="zh-CN"/>
              </w:rPr>
              <w:t>142.921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333333"/>
                <w:szCs w:val="21"/>
                <w:highlight w:val="none"/>
              </w:rPr>
            </w:pPr>
            <w:r>
              <w:rPr>
                <w:rFonts w:cs="宋体" w:asciiTheme="minorEastAsia" w:hAnsiTheme="minorEastAsia"/>
                <w:color w:val="000000"/>
                <w:szCs w:val="21"/>
                <w:highlight w:val="none"/>
              </w:rPr>
              <w:t>  1</w:t>
            </w:r>
            <w:r>
              <w:rPr>
                <w:rFonts w:hint="eastAsia" w:cs="宋体" w:asciiTheme="minorEastAsia" w:hAnsiTheme="minorEastAsia"/>
                <w:color w:val="000000"/>
                <w:szCs w:val="21"/>
                <w:highlight w:val="none"/>
              </w:rPr>
              <w:t>、房屋（平方米）</w:t>
            </w:r>
          </w:p>
        </w:tc>
        <w:tc>
          <w:tcPr>
            <w:tcW w:w="2835" w:type="dxa"/>
            <w:vAlign w:val="center"/>
          </w:tcPr>
          <w:p>
            <w:pPr>
              <w:spacing w:line="312" w:lineRule="atLeast"/>
              <w:ind w:firstLine="480"/>
              <w:jc w:val="center"/>
              <w:rPr>
                <w:rFonts w:cs="宋体" w:asciiTheme="minorEastAsia" w:hAnsiTheme="minorEastAsia"/>
                <w:color w:val="333333"/>
                <w:szCs w:val="21"/>
                <w:highlight w:val="none"/>
              </w:rPr>
            </w:pPr>
            <w:r>
              <w:rPr>
                <w:rFonts w:cs="宋体" w:asciiTheme="minorEastAsia" w:hAnsiTheme="minorEastAsia"/>
                <w:color w:val="000000"/>
                <w:szCs w:val="21"/>
                <w:highlight w:val="none"/>
              </w:rPr>
              <w:t>0</w:t>
            </w:r>
          </w:p>
        </w:tc>
        <w:tc>
          <w:tcPr>
            <w:tcW w:w="2835" w:type="dxa"/>
            <w:vAlign w:val="center"/>
          </w:tcPr>
          <w:p>
            <w:pPr>
              <w:spacing w:line="312" w:lineRule="atLeast"/>
              <w:ind w:firstLine="480"/>
              <w:jc w:val="center"/>
              <w:rPr>
                <w:rFonts w:cs="宋体" w:asciiTheme="minorEastAsia" w:hAnsiTheme="minorEastAsia"/>
                <w:szCs w:val="21"/>
                <w:highlight w:val="none"/>
              </w:rPr>
            </w:pPr>
            <w:r>
              <w:rPr>
                <w:rFonts w:cs="宋体" w:asciiTheme="minorEastAsia" w:hAnsiTheme="minorEastAsia"/>
                <w:szCs w:val="21"/>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333333"/>
                <w:szCs w:val="21"/>
                <w:highlight w:val="none"/>
              </w:rPr>
            </w:pPr>
            <w:r>
              <w:rPr>
                <w:rFonts w:cs="宋体" w:asciiTheme="minorEastAsia" w:hAnsiTheme="minorEastAsia"/>
                <w:color w:val="000000"/>
                <w:szCs w:val="21"/>
                <w:highlight w:val="none"/>
              </w:rPr>
              <w:t>   </w:t>
            </w:r>
            <w:r>
              <w:rPr>
                <w:rFonts w:hint="eastAsia" w:cs="宋体" w:asciiTheme="minorEastAsia" w:hAnsiTheme="minorEastAsia"/>
                <w:color w:val="000000"/>
                <w:szCs w:val="21"/>
                <w:highlight w:val="none"/>
              </w:rPr>
              <w:t>其中：办公用房（平方米）</w:t>
            </w:r>
          </w:p>
        </w:tc>
        <w:tc>
          <w:tcPr>
            <w:tcW w:w="2835" w:type="dxa"/>
            <w:vAlign w:val="center"/>
          </w:tcPr>
          <w:p>
            <w:pPr>
              <w:spacing w:line="312" w:lineRule="atLeast"/>
              <w:ind w:firstLine="480"/>
              <w:jc w:val="center"/>
              <w:rPr>
                <w:rFonts w:cs="宋体" w:asciiTheme="minorEastAsia" w:hAnsiTheme="minorEastAsia"/>
                <w:color w:val="333333"/>
                <w:szCs w:val="21"/>
                <w:highlight w:val="none"/>
              </w:rPr>
            </w:pPr>
            <w:r>
              <w:rPr>
                <w:rFonts w:cs="宋体" w:asciiTheme="minorEastAsia" w:hAnsiTheme="minorEastAsia"/>
                <w:color w:val="000000"/>
                <w:szCs w:val="21"/>
                <w:highlight w:val="none"/>
              </w:rPr>
              <w:t>0</w:t>
            </w:r>
          </w:p>
        </w:tc>
        <w:tc>
          <w:tcPr>
            <w:tcW w:w="2835" w:type="dxa"/>
            <w:vAlign w:val="center"/>
          </w:tcPr>
          <w:p>
            <w:pPr>
              <w:spacing w:line="312" w:lineRule="atLeast"/>
              <w:ind w:firstLine="480"/>
              <w:jc w:val="center"/>
              <w:rPr>
                <w:rFonts w:cs="宋体" w:asciiTheme="minorEastAsia" w:hAnsiTheme="minorEastAsia"/>
                <w:szCs w:val="21"/>
                <w:highlight w:val="none"/>
              </w:rPr>
            </w:pPr>
            <w:r>
              <w:rPr>
                <w:rFonts w:cs="宋体" w:asciiTheme="minorEastAsia" w:hAnsiTheme="minorEastAsia"/>
                <w:szCs w:val="21"/>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333333"/>
                <w:szCs w:val="21"/>
                <w:highlight w:val="none"/>
              </w:rPr>
            </w:pPr>
            <w:r>
              <w:rPr>
                <w:rFonts w:cs="宋体" w:asciiTheme="minorEastAsia" w:hAnsiTheme="minorEastAsia"/>
                <w:color w:val="000000"/>
                <w:szCs w:val="21"/>
                <w:highlight w:val="none"/>
              </w:rPr>
              <w:t>  2</w:t>
            </w:r>
            <w:r>
              <w:rPr>
                <w:rFonts w:hint="eastAsia" w:cs="宋体" w:asciiTheme="minorEastAsia" w:hAnsiTheme="minorEastAsia"/>
                <w:color w:val="000000"/>
                <w:szCs w:val="21"/>
                <w:highlight w:val="none"/>
              </w:rPr>
              <w:t>、车辆（台、辆）</w:t>
            </w:r>
          </w:p>
        </w:tc>
        <w:tc>
          <w:tcPr>
            <w:tcW w:w="2835" w:type="dxa"/>
            <w:vAlign w:val="center"/>
          </w:tcPr>
          <w:p>
            <w:pPr>
              <w:spacing w:line="312" w:lineRule="atLeast"/>
              <w:ind w:firstLine="480"/>
              <w:jc w:val="center"/>
              <w:rPr>
                <w:rFonts w:cs="宋体" w:asciiTheme="minorEastAsia" w:hAnsiTheme="minorEastAsia"/>
                <w:color w:val="333333"/>
                <w:szCs w:val="21"/>
                <w:highlight w:val="none"/>
              </w:rPr>
            </w:pPr>
            <w:r>
              <w:rPr>
                <w:rFonts w:hint="eastAsia" w:cs="宋体" w:asciiTheme="minorEastAsia" w:hAnsiTheme="minorEastAsia"/>
                <w:color w:val="000000"/>
                <w:szCs w:val="21"/>
                <w:highlight w:val="none"/>
              </w:rPr>
              <w:t>0</w:t>
            </w:r>
          </w:p>
        </w:tc>
        <w:tc>
          <w:tcPr>
            <w:tcW w:w="2835" w:type="dxa"/>
            <w:vAlign w:val="center"/>
          </w:tcPr>
          <w:p>
            <w:pPr>
              <w:spacing w:line="312" w:lineRule="atLeast"/>
              <w:ind w:firstLine="480"/>
              <w:jc w:val="center"/>
              <w:rPr>
                <w:rFonts w:cs="宋体" w:asciiTheme="minorEastAsia" w:hAnsiTheme="minorEastAsia"/>
                <w:szCs w:val="21"/>
                <w:highlight w:val="none"/>
              </w:rPr>
            </w:pPr>
            <w:r>
              <w:rPr>
                <w:rFonts w:hint="eastAsia" w:cs="宋体" w:asciiTheme="minorEastAsia" w:hAnsiTheme="minorEastAsia"/>
                <w:szCs w:val="21"/>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333333"/>
                <w:szCs w:val="21"/>
                <w:highlight w:val="none"/>
              </w:rPr>
            </w:pPr>
            <w:r>
              <w:rPr>
                <w:rFonts w:cs="宋体" w:asciiTheme="minorEastAsia" w:hAnsiTheme="minorEastAsia"/>
                <w:color w:val="000000"/>
                <w:szCs w:val="21"/>
                <w:highlight w:val="none"/>
              </w:rPr>
              <w:t>  3</w:t>
            </w:r>
            <w:r>
              <w:rPr>
                <w:rFonts w:hint="eastAsia" w:cs="宋体" w:asciiTheme="minorEastAsia" w:hAnsiTheme="minorEastAsia"/>
                <w:color w:val="000000"/>
                <w:szCs w:val="21"/>
                <w:highlight w:val="none"/>
              </w:rPr>
              <w:t>、单价在50万元以上的设备（台、套）</w:t>
            </w:r>
          </w:p>
        </w:tc>
        <w:tc>
          <w:tcPr>
            <w:tcW w:w="2835" w:type="dxa"/>
            <w:vAlign w:val="center"/>
          </w:tcPr>
          <w:p>
            <w:pPr>
              <w:spacing w:line="312" w:lineRule="atLeast"/>
              <w:ind w:firstLine="480"/>
              <w:jc w:val="center"/>
              <w:rPr>
                <w:rFonts w:cs="宋体" w:asciiTheme="minorEastAsia" w:hAnsiTheme="minorEastAsia"/>
                <w:color w:val="333333"/>
                <w:szCs w:val="21"/>
                <w:highlight w:val="none"/>
              </w:rPr>
            </w:pPr>
            <w:r>
              <w:rPr>
                <w:rFonts w:hint="eastAsia" w:cs="宋体" w:asciiTheme="minorEastAsia" w:hAnsiTheme="minorEastAsia"/>
                <w:color w:val="333333"/>
                <w:szCs w:val="21"/>
                <w:highlight w:val="none"/>
              </w:rPr>
              <w:t>0</w:t>
            </w:r>
          </w:p>
        </w:tc>
        <w:tc>
          <w:tcPr>
            <w:tcW w:w="2835" w:type="dxa"/>
            <w:vAlign w:val="center"/>
          </w:tcPr>
          <w:p>
            <w:pPr>
              <w:spacing w:line="312" w:lineRule="atLeast"/>
              <w:ind w:firstLine="480"/>
              <w:jc w:val="center"/>
              <w:rPr>
                <w:rFonts w:cs="宋体" w:asciiTheme="minorEastAsia" w:hAnsiTheme="minorEastAsia"/>
                <w:szCs w:val="21"/>
                <w:highlight w:val="none"/>
              </w:rPr>
            </w:pPr>
            <w:r>
              <w:rPr>
                <w:rFonts w:hint="eastAsia" w:cs="宋体" w:asciiTheme="minorEastAsia" w:hAnsiTheme="minorEastAsia"/>
                <w:szCs w:val="21"/>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12" w:lineRule="atLeast"/>
              <w:rPr>
                <w:rFonts w:cs="宋体" w:asciiTheme="minorEastAsia" w:hAnsiTheme="minorEastAsia"/>
                <w:color w:val="000000"/>
                <w:szCs w:val="21"/>
                <w:highlight w:val="none"/>
              </w:rPr>
            </w:pPr>
            <w:r>
              <w:rPr>
                <w:rFonts w:hint="eastAsia" w:cs="宋体" w:asciiTheme="minorEastAsia" w:hAnsiTheme="minorEastAsia"/>
                <w:color w:val="000000"/>
                <w:szCs w:val="21"/>
                <w:highlight w:val="none"/>
              </w:rPr>
              <w:t>其中：单价50万元（含）以上的通用设备</w:t>
            </w:r>
          </w:p>
        </w:tc>
        <w:tc>
          <w:tcPr>
            <w:tcW w:w="2835" w:type="dxa"/>
            <w:vAlign w:val="center"/>
          </w:tcPr>
          <w:p>
            <w:pPr>
              <w:spacing w:line="312" w:lineRule="atLeast"/>
              <w:ind w:firstLine="480"/>
              <w:jc w:val="center"/>
              <w:rPr>
                <w:rFonts w:cs="宋体" w:asciiTheme="minorEastAsia" w:hAnsiTheme="minorEastAsia"/>
                <w:color w:val="000000"/>
                <w:szCs w:val="21"/>
                <w:highlight w:val="none"/>
              </w:rPr>
            </w:pPr>
            <w:r>
              <w:rPr>
                <w:rFonts w:hint="eastAsia" w:cs="宋体" w:asciiTheme="minorEastAsia" w:hAnsiTheme="minorEastAsia"/>
                <w:color w:val="000000"/>
                <w:szCs w:val="21"/>
                <w:highlight w:val="none"/>
              </w:rPr>
              <w:t>0</w:t>
            </w:r>
          </w:p>
        </w:tc>
        <w:tc>
          <w:tcPr>
            <w:tcW w:w="2835" w:type="dxa"/>
            <w:vAlign w:val="center"/>
          </w:tcPr>
          <w:p>
            <w:pPr>
              <w:spacing w:line="312" w:lineRule="atLeast"/>
              <w:ind w:firstLine="480"/>
              <w:jc w:val="center"/>
              <w:rPr>
                <w:rFonts w:cs="宋体" w:asciiTheme="minorEastAsia" w:hAnsiTheme="minorEastAsia"/>
                <w:szCs w:val="21"/>
                <w:highlight w:val="none"/>
              </w:rPr>
            </w:pPr>
            <w:r>
              <w:rPr>
                <w:rFonts w:hint="eastAsia" w:cs="宋体" w:asciiTheme="minorEastAsia" w:hAnsiTheme="minorEastAsia"/>
                <w:szCs w:val="21"/>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000000"/>
                <w:szCs w:val="21"/>
                <w:highlight w:val="none"/>
              </w:rPr>
            </w:pPr>
            <w:r>
              <w:rPr>
                <w:rFonts w:hint="eastAsia" w:cs="宋体" w:asciiTheme="minorEastAsia" w:hAnsiTheme="minorEastAsia"/>
                <w:color w:val="000000"/>
                <w:szCs w:val="21"/>
                <w:highlight w:val="none"/>
              </w:rPr>
              <w:t>单价100万元（含）以上的通用设备</w:t>
            </w:r>
          </w:p>
        </w:tc>
        <w:tc>
          <w:tcPr>
            <w:tcW w:w="2835" w:type="dxa"/>
            <w:vAlign w:val="center"/>
          </w:tcPr>
          <w:p>
            <w:pPr>
              <w:spacing w:line="312" w:lineRule="atLeast"/>
              <w:ind w:firstLine="480"/>
              <w:jc w:val="center"/>
              <w:rPr>
                <w:rFonts w:cs="宋体" w:asciiTheme="minorEastAsia" w:hAnsiTheme="minorEastAsia"/>
                <w:color w:val="000000"/>
                <w:szCs w:val="21"/>
                <w:highlight w:val="none"/>
              </w:rPr>
            </w:pPr>
            <w:r>
              <w:rPr>
                <w:rFonts w:hint="eastAsia" w:cs="宋体" w:asciiTheme="minorEastAsia" w:hAnsiTheme="minorEastAsia"/>
                <w:color w:val="000000"/>
                <w:szCs w:val="21"/>
                <w:highlight w:val="none"/>
              </w:rPr>
              <w:t>0</w:t>
            </w:r>
          </w:p>
        </w:tc>
        <w:tc>
          <w:tcPr>
            <w:tcW w:w="2835" w:type="dxa"/>
            <w:vAlign w:val="center"/>
          </w:tcPr>
          <w:p>
            <w:pPr>
              <w:spacing w:line="312" w:lineRule="atLeast"/>
              <w:ind w:firstLine="480"/>
              <w:jc w:val="center"/>
              <w:rPr>
                <w:rFonts w:cs="宋体" w:asciiTheme="minorEastAsia" w:hAnsiTheme="minorEastAsia"/>
                <w:szCs w:val="21"/>
                <w:highlight w:val="none"/>
              </w:rPr>
            </w:pPr>
            <w:r>
              <w:rPr>
                <w:rFonts w:hint="eastAsia" w:cs="宋体" w:asciiTheme="minorEastAsia" w:hAnsiTheme="minorEastAsia"/>
                <w:szCs w:val="21"/>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333333"/>
                <w:szCs w:val="21"/>
                <w:highlight w:val="none"/>
              </w:rPr>
            </w:pPr>
            <w:r>
              <w:rPr>
                <w:rFonts w:cs="宋体" w:asciiTheme="minorEastAsia" w:hAnsiTheme="minorEastAsia"/>
                <w:color w:val="000000"/>
                <w:szCs w:val="21"/>
                <w:highlight w:val="none"/>
              </w:rPr>
              <w:t>  4</w:t>
            </w:r>
            <w:r>
              <w:rPr>
                <w:rFonts w:hint="eastAsia" w:cs="宋体" w:asciiTheme="minorEastAsia" w:hAnsiTheme="minorEastAsia"/>
                <w:color w:val="000000"/>
                <w:szCs w:val="21"/>
                <w:highlight w:val="none"/>
              </w:rPr>
              <w:t>、其他固定资产</w:t>
            </w:r>
          </w:p>
        </w:tc>
        <w:tc>
          <w:tcPr>
            <w:tcW w:w="2835" w:type="dxa"/>
            <w:vAlign w:val="center"/>
          </w:tcPr>
          <w:p>
            <w:pPr>
              <w:spacing w:line="312" w:lineRule="atLeast"/>
              <w:ind w:firstLine="480"/>
              <w:jc w:val="center"/>
              <w:rPr>
                <w:rFonts w:hint="default" w:eastAsia="宋体" w:cs="宋体" w:asciiTheme="minorEastAsia" w:hAnsiTheme="minorEastAsia"/>
                <w:color w:val="333333"/>
                <w:szCs w:val="21"/>
                <w:highlight w:val="none"/>
                <w:lang w:val="en-US" w:eastAsia="zh-CN"/>
              </w:rPr>
            </w:pPr>
            <w:r>
              <w:rPr>
                <w:rFonts w:hint="eastAsia" w:eastAsia="宋体" w:cs="宋体" w:asciiTheme="minorEastAsia" w:hAnsiTheme="minorEastAsia"/>
                <w:color w:val="333333"/>
                <w:szCs w:val="21"/>
                <w:highlight w:val="none"/>
                <w:lang w:val="en-US" w:eastAsia="zh-CN"/>
              </w:rPr>
              <w:t>480</w:t>
            </w:r>
          </w:p>
        </w:tc>
        <w:tc>
          <w:tcPr>
            <w:tcW w:w="2835" w:type="dxa"/>
            <w:vAlign w:val="center"/>
          </w:tcPr>
          <w:p>
            <w:pPr>
              <w:spacing w:line="312" w:lineRule="atLeast"/>
              <w:ind w:firstLine="480"/>
              <w:jc w:val="center"/>
              <w:rPr>
                <w:rFonts w:hint="default" w:eastAsia="宋体" w:cs="宋体" w:asciiTheme="minorEastAsia" w:hAnsiTheme="minorEastAsia"/>
                <w:szCs w:val="21"/>
                <w:highlight w:val="none"/>
                <w:lang w:val="en-US" w:eastAsia="zh-CN"/>
              </w:rPr>
            </w:pPr>
            <w:r>
              <w:rPr>
                <w:rFonts w:hint="eastAsia" w:eastAsia="宋体" w:cs="宋体" w:asciiTheme="minorEastAsia" w:hAnsiTheme="minorEastAsia"/>
                <w:szCs w:val="21"/>
                <w:highlight w:val="none"/>
                <w:lang w:val="en-US" w:eastAsia="zh-CN"/>
              </w:rPr>
              <w:t>142.921</w:t>
            </w:r>
          </w:p>
        </w:tc>
      </w:tr>
    </w:tbl>
    <w:p>
      <w:pPr>
        <w:spacing w:before="0" w:after="0" w:line="240" w:lineRule="auto"/>
        <w:ind w:firstLine="420"/>
        <w:jc w:val="left"/>
        <w:outlineLvl w:val="9"/>
        <w:rPr>
          <w:highlight w:val="yellow"/>
        </w:rPr>
      </w:pPr>
      <w:r>
        <w:rPr>
          <w:rFonts w:ascii="方正书宋_GBK" w:hAnsi="方正书宋_GBK" w:eastAsia="方正书宋_GBK" w:cs="方正书宋_GBK"/>
          <w:color w:val="000000"/>
          <w:sz w:val="21"/>
          <w:highlight w:val="none"/>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一、保定市莲池区行政审批局本级收支预算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3"/>
            </w:pPr>
            <w:r>
              <w:t>851001保定市莲池区行政审批局本级</w:t>
            </w:r>
          </w:p>
        </w:tc>
        <w:tc>
          <w:tcPr>
            <w:tcW w:w="2126" w:type="dxa"/>
            <w:tcBorders>
              <w:top w:val="single" w:color="FFFFFF" w:sz="6" w:space="0"/>
              <w:left w:val="single" w:color="FFFFFF" w:sz="6" w:space="0"/>
              <w:right w:val="single" w:color="FFFFFF" w:sz="6" w:space="0"/>
            </w:tcBorders>
            <w:vAlign w:val="center"/>
          </w:tcPr>
          <w:p>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354.48</w:t>
            </w:r>
          </w:p>
        </w:tc>
        <w:tc>
          <w:tcPr>
            <w:tcW w:w="4535" w:type="dxa"/>
            <w:vAlign w:val="center"/>
          </w:tcPr>
          <w:p>
            <w:pPr>
              <w:pStyle w:val="16"/>
            </w:pPr>
            <w:r>
              <w:t>一、一般公共服务支出</w:t>
            </w:r>
          </w:p>
        </w:tc>
        <w:tc>
          <w:tcPr>
            <w:tcW w:w="2126" w:type="dxa"/>
            <w:vAlign w:val="center"/>
          </w:tcPr>
          <w:p>
            <w:pPr>
              <w:pStyle w:val="15"/>
            </w:pPr>
            <w:r>
              <w:t>315.36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354.48</w:t>
            </w:r>
          </w:p>
        </w:tc>
        <w:tc>
          <w:tcPr>
            <w:tcW w:w="4535" w:type="dxa"/>
            <w:vAlign w:val="center"/>
          </w:tcPr>
          <w:p>
            <w:pPr>
              <w:pStyle w:val="18"/>
            </w:pPr>
            <w:r>
              <w:t>本年支出合计</w:t>
            </w:r>
          </w:p>
        </w:tc>
        <w:tc>
          <w:tcPr>
            <w:tcW w:w="2126" w:type="dxa"/>
            <w:vAlign w:val="center"/>
          </w:tcPr>
          <w:p>
            <w:pPr>
              <w:pStyle w:val="19"/>
            </w:pPr>
            <w:r>
              <w:t>354.48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354.48</w:t>
            </w:r>
          </w:p>
        </w:tc>
        <w:tc>
          <w:tcPr>
            <w:tcW w:w="4535" w:type="dxa"/>
            <w:vAlign w:val="center"/>
          </w:tcPr>
          <w:p>
            <w:pPr>
              <w:pStyle w:val="18"/>
            </w:pPr>
            <w:r>
              <w:t>支出总计</w:t>
            </w:r>
          </w:p>
        </w:tc>
        <w:tc>
          <w:tcPr>
            <w:tcW w:w="2126" w:type="dxa"/>
            <w:vAlign w:val="center"/>
          </w:tcPr>
          <w:p>
            <w:pPr>
              <w:pStyle w:val="19"/>
            </w:pPr>
            <w:r>
              <w:t>354.48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851001保定市莲池区行政审批局本级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354.48</w:t>
            </w:r>
          </w:p>
        </w:tc>
        <w:tc>
          <w:tcPr>
            <w:tcW w:w="1134" w:type="dxa"/>
            <w:vAlign w:val="center"/>
          </w:tcPr>
          <w:p>
            <w:pPr>
              <w:pStyle w:val="19"/>
            </w:pPr>
            <w:r>
              <w:t>354.48</w:t>
            </w:r>
          </w:p>
        </w:tc>
        <w:tc>
          <w:tcPr>
            <w:tcW w:w="1134" w:type="dxa"/>
            <w:vAlign w:val="center"/>
          </w:tcPr>
          <w:p>
            <w:pPr>
              <w:pStyle w:val="19"/>
            </w:pPr>
            <w:r>
              <w:t>354.48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315.36</w:t>
            </w:r>
          </w:p>
        </w:tc>
        <w:tc>
          <w:tcPr>
            <w:tcW w:w="1134" w:type="dxa"/>
            <w:vAlign w:val="center"/>
          </w:tcPr>
          <w:p>
            <w:pPr>
              <w:pStyle w:val="15"/>
            </w:pPr>
            <w:r>
              <w:t>315.36</w:t>
            </w:r>
          </w:p>
        </w:tc>
        <w:tc>
          <w:tcPr>
            <w:tcW w:w="1134" w:type="dxa"/>
            <w:vAlign w:val="center"/>
          </w:tcPr>
          <w:p>
            <w:pPr>
              <w:pStyle w:val="15"/>
            </w:pPr>
            <w:r>
              <w:t>315.36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315.36</w:t>
            </w:r>
          </w:p>
        </w:tc>
        <w:tc>
          <w:tcPr>
            <w:tcW w:w="1134" w:type="dxa"/>
            <w:vAlign w:val="center"/>
          </w:tcPr>
          <w:p>
            <w:pPr>
              <w:pStyle w:val="15"/>
            </w:pPr>
            <w:r>
              <w:t>315.36</w:t>
            </w:r>
          </w:p>
        </w:tc>
        <w:tc>
          <w:tcPr>
            <w:tcW w:w="1134" w:type="dxa"/>
            <w:vAlign w:val="center"/>
          </w:tcPr>
          <w:p>
            <w:pPr>
              <w:pStyle w:val="15"/>
            </w:pPr>
            <w:r>
              <w:t>315.36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315.36</w:t>
            </w:r>
          </w:p>
        </w:tc>
        <w:tc>
          <w:tcPr>
            <w:tcW w:w="1134" w:type="dxa"/>
            <w:vAlign w:val="center"/>
          </w:tcPr>
          <w:p>
            <w:pPr>
              <w:pStyle w:val="15"/>
            </w:pPr>
            <w:r>
              <w:t>315.36</w:t>
            </w:r>
          </w:p>
        </w:tc>
        <w:tc>
          <w:tcPr>
            <w:tcW w:w="1134" w:type="dxa"/>
            <w:vAlign w:val="center"/>
          </w:tcPr>
          <w:p>
            <w:pPr>
              <w:pStyle w:val="15"/>
            </w:pPr>
            <w:r>
              <w:t>315.36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15.12</w:t>
            </w:r>
          </w:p>
        </w:tc>
        <w:tc>
          <w:tcPr>
            <w:tcW w:w="1134" w:type="dxa"/>
            <w:vAlign w:val="center"/>
          </w:tcPr>
          <w:p>
            <w:pPr>
              <w:pStyle w:val="15"/>
            </w:pPr>
            <w:r>
              <w:t>15.12</w:t>
            </w:r>
          </w:p>
        </w:tc>
        <w:tc>
          <w:tcPr>
            <w:tcW w:w="1134" w:type="dxa"/>
            <w:vAlign w:val="center"/>
          </w:tcPr>
          <w:p>
            <w:pPr>
              <w:pStyle w:val="15"/>
            </w:pPr>
            <w:r>
              <w:t>15.12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15.12</w:t>
            </w:r>
          </w:p>
        </w:tc>
        <w:tc>
          <w:tcPr>
            <w:tcW w:w="1134" w:type="dxa"/>
            <w:vAlign w:val="center"/>
          </w:tcPr>
          <w:p>
            <w:pPr>
              <w:pStyle w:val="15"/>
            </w:pPr>
            <w:r>
              <w:t>15.12</w:t>
            </w:r>
          </w:p>
        </w:tc>
        <w:tc>
          <w:tcPr>
            <w:tcW w:w="1134" w:type="dxa"/>
            <w:vAlign w:val="center"/>
          </w:tcPr>
          <w:p>
            <w:pPr>
              <w:pStyle w:val="15"/>
            </w:pPr>
            <w:r>
              <w:t>15.12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2101199</w:t>
            </w:r>
          </w:p>
        </w:tc>
        <w:tc>
          <w:tcPr>
            <w:tcW w:w="1559" w:type="dxa"/>
            <w:vAlign w:val="center"/>
          </w:tcPr>
          <w:p>
            <w:pPr>
              <w:pStyle w:val="16"/>
            </w:pPr>
            <w:r>
              <w:t>其他行政事业单位医疗支出</w:t>
            </w:r>
          </w:p>
        </w:tc>
        <w:tc>
          <w:tcPr>
            <w:tcW w:w="1134" w:type="dxa"/>
            <w:vAlign w:val="center"/>
          </w:tcPr>
          <w:p>
            <w:pPr>
              <w:pStyle w:val="15"/>
            </w:pPr>
            <w:r>
              <w:t>0.12</w:t>
            </w:r>
          </w:p>
        </w:tc>
        <w:tc>
          <w:tcPr>
            <w:tcW w:w="1134" w:type="dxa"/>
            <w:vAlign w:val="center"/>
          </w:tcPr>
          <w:p>
            <w:pPr>
              <w:pStyle w:val="15"/>
            </w:pPr>
            <w:r>
              <w:t>0.12</w:t>
            </w:r>
          </w:p>
        </w:tc>
        <w:tc>
          <w:tcPr>
            <w:tcW w:w="1134" w:type="dxa"/>
            <w:vAlign w:val="center"/>
          </w:tcPr>
          <w:p>
            <w:pPr>
              <w:pStyle w:val="15"/>
            </w:pPr>
            <w:r>
              <w:t>0.12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3"/>
            </w:pPr>
            <w:r>
              <w:t>851001保定市莲池区行政审批局本级</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7"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354.48</w:t>
            </w:r>
          </w:p>
        </w:tc>
        <w:tc>
          <w:tcPr>
            <w:tcW w:w="1361" w:type="dxa"/>
            <w:vAlign w:val="center"/>
          </w:tcPr>
          <w:p>
            <w:pPr>
              <w:pStyle w:val="19"/>
            </w:pPr>
            <w:r>
              <w:t>319.48</w:t>
            </w:r>
          </w:p>
        </w:tc>
        <w:tc>
          <w:tcPr>
            <w:tcW w:w="1361" w:type="dxa"/>
            <w:vAlign w:val="center"/>
          </w:tcPr>
          <w:p>
            <w:pPr>
              <w:pStyle w:val="19"/>
            </w:pPr>
            <w:r>
              <w:t>35.00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315.36</w:t>
            </w:r>
          </w:p>
        </w:tc>
        <w:tc>
          <w:tcPr>
            <w:tcW w:w="1361" w:type="dxa"/>
            <w:vAlign w:val="center"/>
          </w:tcPr>
          <w:p>
            <w:pPr>
              <w:pStyle w:val="15"/>
            </w:pPr>
            <w:r>
              <w:t>280.36</w:t>
            </w:r>
          </w:p>
        </w:tc>
        <w:tc>
          <w:tcPr>
            <w:tcW w:w="1361" w:type="dxa"/>
            <w:vAlign w:val="center"/>
          </w:tcPr>
          <w:p>
            <w:pPr>
              <w:pStyle w:val="15"/>
            </w:pPr>
            <w:r>
              <w:t>35.00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315.36</w:t>
            </w:r>
          </w:p>
        </w:tc>
        <w:tc>
          <w:tcPr>
            <w:tcW w:w="1361" w:type="dxa"/>
            <w:vAlign w:val="center"/>
          </w:tcPr>
          <w:p>
            <w:pPr>
              <w:pStyle w:val="15"/>
            </w:pPr>
            <w:r>
              <w:t>280.36</w:t>
            </w:r>
          </w:p>
        </w:tc>
        <w:tc>
          <w:tcPr>
            <w:tcW w:w="1361" w:type="dxa"/>
            <w:vAlign w:val="center"/>
          </w:tcPr>
          <w:p>
            <w:pPr>
              <w:pStyle w:val="15"/>
            </w:pPr>
            <w:r>
              <w:t>35.00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315.36</w:t>
            </w:r>
          </w:p>
        </w:tc>
        <w:tc>
          <w:tcPr>
            <w:tcW w:w="1361" w:type="dxa"/>
            <w:vAlign w:val="center"/>
          </w:tcPr>
          <w:p>
            <w:pPr>
              <w:pStyle w:val="15"/>
            </w:pPr>
            <w:r>
              <w:t>280.36</w:t>
            </w:r>
          </w:p>
        </w:tc>
        <w:tc>
          <w:tcPr>
            <w:tcW w:w="1361" w:type="dxa"/>
            <w:vAlign w:val="center"/>
          </w:tcPr>
          <w:p>
            <w:pPr>
              <w:pStyle w:val="15"/>
            </w:pPr>
            <w:r>
              <w:t>35.00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15.12</w:t>
            </w:r>
          </w:p>
        </w:tc>
        <w:tc>
          <w:tcPr>
            <w:tcW w:w="1361" w:type="dxa"/>
            <w:vAlign w:val="center"/>
          </w:tcPr>
          <w:p>
            <w:pPr>
              <w:pStyle w:val="15"/>
            </w:pPr>
            <w:r>
              <w:t>15.12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15.12</w:t>
            </w:r>
          </w:p>
        </w:tc>
        <w:tc>
          <w:tcPr>
            <w:tcW w:w="1361" w:type="dxa"/>
            <w:vAlign w:val="center"/>
          </w:tcPr>
          <w:p>
            <w:pPr>
              <w:pStyle w:val="15"/>
            </w:pPr>
            <w:r>
              <w:t>15.12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10.00</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5.00</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2101199</w:t>
            </w:r>
          </w:p>
        </w:tc>
        <w:tc>
          <w:tcPr>
            <w:tcW w:w="4535" w:type="dxa"/>
            <w:vAlign w:val="center"/>
          </w:tcPr>
          <w:p>
            <w:pPr>
              <w:pStyle w:val="16"/>
            </w:pPr>
            <w:r>
              <w:t>其他行政事业单位医疗支出</w:t>
            </w:r>
          </w:p>
        </w:tc>
        <w:tc>
          <w:tcPr>
            <w:tcW w:w="1361" w:type="dxa"/>
            <w:vAlign w:val="center"/>
          </w:tcPr>
          <w:p>
            <w:pPr>
              <w:pStyle w:val="15"/>
            </w:pPr>
            <w:r>
              <w:t>0.12</w:t>
            </w:r>
          </w:p>
        </w:tc>
        <w:tc>
          <w:tcPr>
            <w:tcW w:w="1361" w:type="dxa"/>
            <w:vAlign w:val="center"/>
          </w:tcPr>
          <w:p>
            <w:pPr>
              <w:pStyle w:val="15"/>
            </w:pPr>
            <w:r>
              <w:t>0.12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24.00</w:t>
            </w: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24.00</w:t>
            </w: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24.00</w:t>
            </w: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851001保定市莲池区行政审批局本级</w:t>
            </w:r>
          </w:p>
        </w:tc>
        <w:tc>
          <w:tcPr>
            <w:tcW w:w="3402" w:type="dxa"/>
            <w:tcBorders>
              <w:top w:val="single" w:color="FFFFFF" w:sz="6" w:space="0"/>
              <w:left w:val="single" w:color="FFFFFF" w:sz="6" w:space="0"/>
              <w:right w:val="single" w:color="FFFFFF" w:sz="6" w:space="0"/>
            </w:tcBorders>
            <w:vAlign w:val="center"/>
          </w:tcPr>
          <w:p>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354.48</w:t>
            </w:r>
          </w:p>
        </w:tc>
        <w:tc>
          <w:tcPr>
            <w:tcW w:w="3402" w:type="dxa"/>
            <w:vAlign w:val="center"/>
          </w:tcPr>
          <w:p>
            <w:pPr>
              <w:pStyle w:val="16"/>
            </w:pPr>
            <w:r>
              <w:t>一、一般公共服务支出</w:t>
            </w:r>
          </w:p>
        </w:tc>
        <w:tc>
          <w:tcPr>
            <w:tcW w:w="1474" w:type="dxa"/>
            <w:vAlign w:val="center"/>
          </w:tcPr>
          <w:p>
            <w:pPr>
              <w:pStyle w:val="15"/>
            </w:pPr>
            <w:r>
              <w:t>315.36</w:t>
            </w:r>
          </w:p>
        </w:tc>
        <w:tc>
          <w:tcPr>
            <w:tcW w:w="1474" w:type="dxa"/>
            <w:vAlign w:val="center"/>
          </w:tcPr>
          <w:p>
            <w:pPr>
              <w:pStyle w:val="15"/>
            </w:pPr>
            <w:r>
              <w:t>315.36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15.12</w:t>
            </w:r>
          </w:p>
        </w:tc>
        <w:tc>
          <w:tcPr>
            <w:tcW w:w="1474" w:type="dxa"/>
            <w:vAlign w:val="center"/>
          </w:tcPr>
          <w:p>
            <w:pPr>
              <w:pStyle w:val="15"/>
            </w:pPr>
            <w:r>
              <w:t>15.12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24.00</w:t>
            </w:r>
          </w:p>
        </w:tc>
        <w:tc>
          <w:tcPr>
            <w:tcW w:w="1474" w:type="dxa"/>
            <w:vAlign w:val="center"/>
          </w:tcPr>
          <w:p>
            <w:pPr>
              <w:pStyle w:val="15"/>
            </w:pPr>
            <w:r>
              <w:t>24.00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354.48</w:t>
            </w:r>
          </w:p>
        </w:tc>
        <w:tc>
          <w:tcPr>
            <w:tcW w:w="3402" w:type="dxa"/>
            <w:vAlign w:val="center"/>
          </w:tcPr>
          <w:p>
            <w:pPr>
              <w:pStyle w:val="18"/>
            </w:pPr>
            <w:r>
              <w:t>本年支出合计</w:t>
            </w:r>
          </w:p>
        </w:tc>
        <w:tc>
          <w:tcPr>
            <w:tcW w:w="1474" w:type="dxa"/>
            <w:vAlign w:val="center"/>
          </w:tcPr>
          <w:p>
            <w:pPr>
              <w:pStyle w:val="19"/>
            </w:pPr>
            <w:r>
              <w:t>354.48</w:t>
            </w:r>
          </w:p>
        </w:tc>
        <w:tc>
          <w:tcPr>
            <w:tcW w:w="1474" w:type="dxa"/>
            <w:vAlign w:val="center"/>
          </w:tcPr>
          <w:p>
            <w:pPr>
              <w:pStyle w:val="19"/>
            </w:pPr>
            <w:r>
              <w:t>354.48</w:t>
            </w:r>
          </w:p>
        </w:tc>
        <w:tc>
          <w:tcPr>
            <w:tcW w:w="1474" w:type="dxa"/>
            <w:vAlign w:val="center"/>
          </w:tcPr>
          <w:p>
            <w:pPr>
              <w:pStyle w:val="19"/>
            </w:pPr>
          </w:p>
        </w:tc>
        <w:tc>
          <w:tcPr>
            <w:tcW w:w="147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354.48</w:t>
            </w:r>
          </w:p>
        </w:tc>
        <w:tc>
          <w:tcPr>
            <w:tcW w:w="3402" w:type="dxa"/>
            <w:vAlign w:val="center"/>
          </w:tcPr>
          <w:p>
            <w:pPr>
              <w:pStyle w:val="18"/>
            </w:pPr>
            <w:r>
              <w:t>支出总计</w:t>
            </w:r>
          </w:p>
        </w:tc>
        <w:tc>
          <w:tcPr>
            <w:tcW w:w="1474" w:type="dxa"/>
            <w:vAlign w:val="center"/>
          </w:tcPr>
          <w:p>
            <w:pPr>
              <w:pStyle w:val="19"/>
            </w:pPr>
            <w:r>
              <w:t>354.48</w:t>
            </w:r>
          </w:p>
        </w:tc>
        <w:tc>
          <w:tcPr>
            <w:tcW w:w="1474" w:type="dxa"/>
            <w:vAlign w:val="center"/>
          </w:tcPr>
          <w:p>
            <w:pPr>
              <w:pStyle w:val="19"/>
            </w:pPr>
            <w:r>
              <w:t>354.48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851001保定市莲池区行政审批局本级</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354.48</w:t>
            </w:r>
          </w:p>
        </w:tc>
        <w:tc>
          <w:tcPr>
            <w:tcW w:w="2551" w:type="dxa"/>
            <w:vAlign w:val="center"/>
          </w:tcPr>
          <w:p>
            <w:pPr>
              <w:pStyle w:val="19"/>
            </w:pPr>
            <w:r>
              <w:t>319.48</w:t>
            </w:r>
          </w:p>
        </w:tc>
        <w:tc>
          <w:tcPr>
            <w:tcW w:w="2551" w:type="dxa"/>
            <w:vAlign w:val="center"/>
          </w:tcPr>
          <w:p>
            <w:pPr>
              <w:pStyle w:val="19"/>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315.36</w:t>
            </w:r>
          </w:p>
        </w:tc>
        <w:tc>
          <w:tcPr>
            <w:tcW w:w="2551" w:type="dxa"/>
            <w:vAlign w:val="center"/>
          </w:tcPr>
          <w:p>
            <w:pPr>
              <w:pStyle w:val="15"/>
            </w:pPr>
            <w:r>
              <w:t>280.36</w:t>
            </w:r>
          </w:p>
        </w:tc>
        <w:tc>
          <w:tcPr>
            <w:tcW w:w="2551" w:type="dxa"/>
            <w:vAlign w:val="center"/>
          </w:tcPr>
          <w:p>
            <w:pPr>
              <w:pStyle w:val="15"/>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315.36</w:t>
            </w:r>
          </w:p>
        </w:tc>
        <w:tc>
          <w:tcPr>
            <w:tcW w:w="2551" w:type="dxa"/>
            <w:vAlign w:val="center"/>
          </w:tcPr>
          <w:p>
            <w:pPr>
              <w:pStyle w:val="15"/>
            </w:pPr>
            <w:r>
              <w:t>280.36</w:t>
            </w:r>
          </w:p>
        </w:tc>
        <w:tc>
          <w:tcPr>
            <w:tcW w:w="2551" w:type="dxa"/>
            <w:vAlign w:val="center"/>
          </w:tcPr>
          <w:p>
            <w:pPr>
              <w:pStyle w:val="15"/>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315.36</w:t>
            </w:r>
          </w:p>
        </w:tc>
        <w:tc>
          <w:tcPr>
            <w:tcW w:w="2551" w:type="dxa"/>
            <w:vAlign w:val="center"/>
          </w:tcPr>
          <w:p>
            <w:pPr>
              <w:pStyle w:val="15"/>
            </w:pPr>
            <w:r>
              <w:t>280.36</w:t>
            </w:r>
          </w:p>
        </w:tc>
        <w:tc>
          <w:tcPr>
            <w:tcW w:w="2551" w:type="dxa"/>
            <w:vAlign w:val="center"/>
          </w:tcPr>
          <w:p>
            <w:pPr>
              <w:pStyle w:val="15"/>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15.12</w:t>
            </w:r>
          </w:p>
        </w:tc>
        <w:tc>
          <w:tcPr>
            <w:tcW w:w="2551" w:type="dxa"/>
            <w:vAlign w:val="center"/>
          </w:tcPr>
          <w:p>
            <w:pPr>
              <w:pStyle w:val="15"/>
            </w:pPr>
            <w:r>
              <w:t>15.12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15.12</w:t>
            </w:r>
          </w:p>
        </w:tc>
        <w:tc>
          <w:tcPr>
            <w:tcW w:w="2551" w:type="dxa"/>
            <w:vAlign w:val="center"/>
          </w:tcPr>
          <w:p>
            <w:pPr>
              <w:pStyle w:val="15"/>
            </w:pPr>
            <w:r>
              <w:t>15.12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10.00</w:t>
            </w:r>
          </w:p>
        </w:tc>
        <w:tc>
          <w:tcPr>
            <w:tcW w:w="2551" w:type="dxa"/>
            <w:vAlign w:val="center"/>
          </w:tcPr>
          <w:p>
            <w:pPr>
              <w:pStyle w:val="15"/>
            </w:pPr>
            <w:r>
              <w:t>10.00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5.00</w:t>
            </w:r>
          </w:p>
        </w:tc>
        <w:tc>
          <w:tcPr>
            <w:tcW w:w="2551" w:type="dxa"/>
            <w:vAlign w:val="center"/>
          </w:tcPr>
          <w:p>
            <w:pPr>
              <w:pStyle w:val="15"/>
            </w:pPr>
            <w:r>
              <w:t>5.00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2101199</w:t>
            </w:r>
          </w:p>
        </w:tc>
        <w:tc>
          <w:tcPr>
            <w:tcW w:w="4535" w:type="dxa"/>
            <w:vAlign w:val="center"/>
          </w:tcPr>
          <w:p>
            <w:pPr>
              <w:pStyle w:val="16"/>
            </w:pPr>
            <w:r>
              <w:t>其他行政事业单位医疗支出</w:t>
            </w:r>
          </w:p>
        </w:tc>
        <w:tc>
          <w:tcPr>
            <w:tcW w:w="2551" w:type="dxa"/>
            <w:vAlign w:val="center"/>
          </w:tcPr>
          <w:p>
            <w:pPr>
              <w:pStyle w:val="15"/>
            </w:pPr>
            <w:r>
              <w:t>0.12</w:t>
            </w:r>
          </w:p>
        </w:tc>
        <w:tc>
          <w:tcPr>
            <w:tcW w:w="2551" w:type="dxa"/>
            <w:vAlign w:val="center"/>
          </w:tcPr>
          <w:p>
            <w:pPr>
              <w:pStyle w:val="15"/>
            </w:pPr>
            <w:r>
              <w:t>0.12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24.00</w:t>
            </w:r>
          </w:p>
        </w:tc>
        <w:tc>
          <w:tcPr>
            <w:tcW w:w="2551" w:type="dxa"/>
            <w:vAlign w:val="center"/>
          </w:tcPr>
          <w:p>
            <w:pPr>
              <w:pStyle w:val="15"/>
            </w:pPr>
            <w:r>
              <w:t>24.00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24.00</w:t>
            </w:r>
          </w:p>
        </w:tc>
        <w:tc>
          <w:tcPr>
            <w:tcW w:w="2551" w:type="dxa"/>
            <w:vAlign w:val="center"/>
          </w:tcPr>
          <w:p>
            <w:pPr>
              <w:pStyle w:val="15"/>
            </w:pPr>
            <w:r>
              <w:t>24.00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24.00</w:t>
            </w:r>
          </w:p>
        </w:tc>
        <w:tc>
          <w:tcPr>
            <w:tcW w:w="2551" w:type="dxa"/>
            <w:vAlign w:val="center"/>
          </w:tcPr>
          <w:p>
            <w:pPr>
              <w:pStyle w:val="15"/>
            </w:pPr>
            <w:r>
              <w:t>24.00</w:t>
            </w:r>
          </w:p>
        </w:tc>
        <w:tc>
          <w:tcPr>
            <w:tcW w:w="2551"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851001保定市莲池区行政审批局本级</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3" w:type="dxa"/>
            <w:gridSpan w:val="3"/>
            <w:vAlign w:val="center"/>
          </w:tcPr>
          <w:p>
            <w:pPr>
              <w:pStyle w:val="14"/>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319.48</w:t>
            </w:r>
          </w:p>
        </w:tc>
        <w:tc>
          <w:tcPr>
            <w:tcW w:w="2551" w:type="dxa"/>
            <w:vAlign w:val="center"/>
          </w:tcPr>
          <w:p>
            <w:pPr>
              <w:pStyle w:val="19"/>
            </w:pPr>
            <w:r>
              <w:t>295.18</w:t>
            </w:r>
          </w:p>
        </w:tc>
        <w:tc>
          <w:tcPr>
            <w:tcW w:w="2551" w:type="dxa"/>
            <w:vAlign w:val="center"/>
          </w:tcPr>
          <w:p>
            <w:pPr>
              <w:pStyle w:val="19"/>
            </w:pPr>
            <w:r>
              <w:t>24.30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295.18</w:t>
            </w:r>
          </w:p>
        </w:tc>
        <w:tc>
          <w:tcPr>
            <w:tcW w:w="2551" w:type="dxa"/>
            <w:vAlign w:val="center"/>
          </w:tcPr>
          <w:p>
            <w:pPr>
              <w:pStyle w:val="15"/>
            </w:pPr>
            <w:r>
              <w:t>295.18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85.00</w:t>
            </w:r>
          </w:p>
        </w:tc>
        <w:tc>
          <w:tcPr>
            <w:tcW w:w="2551" w:type="dxa"/>
            <w:vAlign w:val="center"/>
          </w:tcPr>
          <w:p>
            <w:pPr>
              <w:pStyle w:val="15"/>
            </w:pPr>
            <w:r>
              <w:t>85.00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60.06</w:t>
            </w:r>
          </w:p>
        </w:tc>
        <w:tc>
          <w:tcPr>
            <w:tcW w:w="2551" w:type="dxa"/>
            <w:vAlign w:val="center"/>
          </w:tcPr>
          <w:p>
            <w:pPr>
              <w:pStyle w:val="15"/>
            </w:pPr>
            <w:r>
              <w:t>60.06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41.20</w:t>
            </w:r>
          </w:p>
        </w:tc>
        <w:tc>
          <w:tcPr>
            <w:tcW w:w="2551" w:type="dxa"/>
            <w:vAlign w:val="center"/>
          </w:tcPr>
          <w:p>
            <w:pPr>
              <w:pStyle w:val="15"/>
            </w:pPr>
            <w:r>
              <w:t>41.20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37.80</w:t>
            </w:r>
          </w:p>
        </w:tc>
        <w:tc>
          <w:tcPr>
            <w:tcW w:w="2551" w:type="dxa"/>
            <w:vAlign w:val="center"/>
          </w:tcPr>
          <w:p>
            <w:pPr>
              <w:pStyle w:val="15"/>
            </w:pPr>
            <w:r>
              <w:t>37.80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30.00</w:t>
            </w:r>
          </w:p>
        </w:tc>
        <w:tc>
          <w:tcPr>
            <w:tcW w:w="2551" w:type="dxa"/>
            <w:vAlign w:val="center"/>
          </w:tcPr>
          <w:p>
            <w:pPr>
              <w:pStyle w:val="15"/>
            </w:pPr>
            <w:r>
              <w:t>30.00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10.12</w:t>
            </w:r>
          </w:p>
        </w:tc>
        <w:tc>
          <w:tcPr>
            <w:tcW w:w="2551" w:type="dxa"/>
            <w:vAlign w:val="center"/>
          </w:tcPr>
          <w:p>
            <w:pPr>
              <w:pStyle w:val="15"/>
            </w:pPr>
            <w:r>
              <w:t>10.12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5.00</w:t>
            </w:r>
          </w:p>
        </w:tc>
        <w:tc>
          <w:tcPr>
            <w:tcW w:w="2551" w:type="dxa"/>
            <w:vAlign w:val="center"/>
          </w:tcPr>
          <w:p>
            <w:pPr>
              <w:pStyle w:val="15"/>
            </w:pPr>
            <w:r>
              <w:t>5.00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2.00</w:t>
            </w:r>
          </w:p>
        </w:tc>
        <w:tc>
          <w:tcPr>
            <w:tcW w:w="2551" w:type="dxa"/>
            <w:vAlign w:val="center"/>
          </w:tcPr>
          <w:p>
            <w:pPr>
              <w:pStyle w:val="15"/>
            </w:pPr>
            <w:r>
              <w:t>2.00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24.00</w:t>
            </w:r>
          </w:p>
        </w:tc>
        <w:tc>
          <w:tcPr>
            <w:tcW w:w="2551" w:type="dxa"/>
            <w:vAlign w:val="center"/>
          </w:tcPr>
          <w:p>
            <w:pPr>
              <w:pStyle w:val="15"/>
            </w:pPr>
            <w:r>
              <w:t>24.00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24.30</w:t>
            </w:r>
          </w:p>
        </w:tc>
        <w:tc>
          <w:tcPr>
            <w:tcW w:w="2551" w:type="dxa"/>
            <w:vAlign w:val="center"/>
          </w:tcPr>
          <w:p>
            <w:pPr>
              <w:pStyle w:val="15"/>
            </w:pPr>
          </w:p>
        </w:tc>
        <w:tc>
          <w:tcPr>
            <w:tcW w:w="2551" w:type="dxa"/>
            <w:vAlign w:val="center"/>
          </w:tcPr>
          <w:p>
            <w:pPr>
              <w:pStyle w:val="15"/>
            </w:pPr>
            <w:r>
              <w:t>24.30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3.60</w:t>
            </w:r>
          </w:p>
        </w:tc>
        <w:tc>
          <w:tcPr>
            <w:tcW w:w="2551" w:type="dxa"/>
            <w:vAlign w:val="center"/>
          </w:tcPr>
          <w:p>
            <w:pPr>
              <w:pStyle w:val="15"/>
            </w:pPr>
          </w:p>
        </w:tc>
        <w:tc>
          <w:tcPr>
            <w:tcW w:w="2551" w:type="dxa"/>
            <w:vAlign w:val="center"/>
          </w:tcPr>
          <w:p>
            <w:pPr>
              <w:pStyle w:val="15"/>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7.80</w:t>
            </w:r>
          </w:p>
        </w:tc>
        <w:tc>
          <w:tcPr>
            <w:tcW w:w="2551" w:type="dxa"/>
            <w:vAlign w:val="center"/>
          </w:tcPr>
          <w:p>
            <w:pPr>
              <w:pStyle w:val="15"/>
            </w:pPr>
          </w:p>
        </w:tc>
        <w:tc>
          <w:tcPr>
            <w:tcW w:w="2551" w:type="dxa"/>
            <w:vAlign w:val="center"/>
          </w:tcPr>
          <w:p>
            <w:pPr>
              <w:pStyle w:val="15"/>
            </w:pPr>
            <w:r>
              <w:t>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1.73</w:t>
            </w:r>
          </w:p>
        </w:tc>
        <w:tc>
          <w:tcPr>
            <w:tcW w:w="2551" w:type="dxa"/>
            <w:vAlign w:val="center"/>
          </w:tcPr>
          <w:p>
            <w:pPr>
              <w:pStyle w:val="15"/>
            </w:pPr>
          </w:p>
        </w:tc>
        <w:tc>
          <w:tcPr>
            <w:tcW w:w="2551" w:type="dxa"/>
            <w:vAlign w:val="center"/>
          </w:tcPr>
          <w:p>
            <w:pPr>
              <w:pStyle w:val="15"/>
            </w:pPr>
            <w:r>
              <w:t>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2.06</w:t>
            </w:r>
          </w:p>
        </w:tc>
        <w:tc>
          <w:tcPr>
            <w:tcW w:w="2551" w:type="dxa"/>
            <w:vAlign w:val="center"/>
          </w:tcPr>
          <w:p>
            <w:pPr>
              <w:pStyle w:val="15"/>
            </w:pPr>
          </w:p>
        </w:tc>
        <w:tc>
          <w:tcPr>
            <w:tcW w:w="2551" w:type="dxa"/>
            <w:vAlign w:val="center"/>
          </w:tcPr>
          <w:p>
            <w:pPr>
              <w:pStyle w:val="15"/>
            </w:pPr>
            <w:r>
              <w:t>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9.00</w:t>
            </w:r>
          </w:p>
        </w:tc>
        <w:tc>
          <w:tcPr>
            <w:tcW w:w="2551" w:type="dxa"/>
            <w:vAlign w:val="center"/>
          </w:tcPr>
          <w:p>
            <w:pPr>
              <w:pStyle w:val="15"/>
            </w:pPr>
          </w:p>
        </w:tc>
        <w:tc>
          <w:tcPr>
            <w:tcW w:w="2551" w:type="dxa"/>
            <w:vAlign w:val="center"/>
          </w:tcPr>
          <w:p>
            <w:pPr>
              <w:pStyle w:val="15"/>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0.11</w:t>
            </w:r>
          </w:p>
        </w:tc>
        <w:tc>
          <w:tcPr>
            <w:tcW w:w="2551" w:type="dxa"/>
            <w:vAlign w:val="center"/>
          </w:tcPr>
          <w:p>
            <w:pPr>
              <w:pStyle w:val="15"/>
            </w:pPr>
          </w:p>
        </w:tc>
        <w:tc>
          <w:tcPr>
            <w:tcW w:w="2551" w:type="dxa"/>
            <w:vAlign w:val="center"/>
          </w:tcPr>
          <w:p>
            <w:pPr>
              <w:pStyle w:val="15"/>
            </w:pPr>
            <w:r>
              <w:t>0.11</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851001保定市莲池区行政审批局本级</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851001保定市莲池区行政审批局本级</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3"/>
            </w:pPr>
            <w:r>
              <w:t>851001保定市莲池区行政审批局本级</w:t>
            </w:r>
          </w:p>
        </w:tc>
        <w:tc>
          <w:tcPr>
            <w:tcW w:w="2381" w:type="dxa"/>
            <w:tcBorders>
              <w:top w:val="single" w:color="FFFFFF" w:sz="6" w:space="0"/>
              <w:left w:val="single" w:color="FFFFFF" w:sz="6" w:space="0"/>
              <w:right w:val="single" w:color="FFFFFF" w:sz="6" w:space="0"/>
            </w:tcBorders>
            <w:vAlign w:val="center"/>
          </w:tcPr>
          <w:p>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保定市莲池区行政审批局本级2025年单位预算信息公开情况说明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按照《中华人民共和国预算法》、《地方预决算公开操作规程》和《关于进一步推进预算公开工作的实施意见》规定，现将保定市莲池区行政审批局本级2025年单位预算公开如下：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33"/>
      </w:pPr>
      <w:r>
        <w:t>1、贯彻执行国家、省、市、区“放管服”改革、行政审批制度改革、政务服务管理、社会信用体系建设有关方针政策和法律法规，起草有关规章，制定有关政策，协调指导并监督实施。</w:t>
      </w:r>
    </w:p>
    <w:p>
      <w:pPr>
        <w:pStyle w:val="33"/>
      </w:pPr>
      <w:r>
        <w:t>2、组织协调全区“放管服”改革工作，指导、督促贯彻落实国家、省、市、区关于“放管服”改革重要领域、关键环节重大政策措施，承担区推进政府职能转变和“放管服”改革协调小组的日常工作。</w:t>
      </w:r>
    </w:p>
    <w:p>
      <w:pPr>
        <w:pStyle w:val="33"/>
      </w:pPr>
      <w:r>
        <w:t>3、指导协调全区行政审批制度改革工作。建立健全区、乡(镇、街道)两级行政审批管理体系；推进行政审批标准化工作；承担区行政审批制度改革工作领导小组的日常工作。</w:t>
      </w:r>
    </w:p>
    <w:p>
      <w:pPr>
        <w:pStyle w:val="33"/>
      </w:pPr>
      <w:r>
        <w:t>4、指导协调全区政务服务管理工作。负责优化政务服</w:t>
      </w:r>
    </w:p>
    <w:p>
      <w:pPr>
        <w:pStyle w:val="33"/>
      </w:pPr>
      <w:r>
        <w:t>务供给，降低制度性交易成本，提升政务服务效能；负责推进审批服务便民化；负责探索建立审批与监管的有效衔接机制；指导协调区有关部门为公民、法人或其他组织提供规范、高效、优质的政务服务。</w:t>
      </w:r>
    </w:p>
    <w:p>
      <w:pPr>
        <w:pStyle w:val="33"/>
      </w:pPr>
      <w:r>
        <w:t>5、负责职责范围内本区行政许可事项和相关行政服务事项的办理及相关行政性收费；负责协调和监督管理区本级暂未划转行政审批服务事项和公共服务事项的集中统一办理；推进重点项目审批服务的综合协调和督办；组织相关部门开展审批服务事项的联合办理和联合会办；研究推进并联审批服务工作。</w:t>
      </w:r>
    </w:p>
    <w:p>
      <w:pPr>
        <w:pStyle w:val="33"/>
      </w:pPr>
      <w:r>
        <w:t>6、统筹推进全区“互联网+政务服务”工作，构建全区一体化政务服务平台。推行政务服务事项网上办理，形成管理机构、实体大厅、网上平台“三位一体”的政务服务管理模式；推进全区电子证照库建设；推进全区政务服务平台规范化、标准化、集约化建设和互联互通、数据共享。</w:t>
      </w:r>
    </w:p>
    <w:p>
      <w:pPr>
        <w:pStyle w:val="33"/>
      </w:pPr>
      <w:r>
        <w:t>7、引导和推进全区社会信用体系建设。组织制定发展规划和年度工作要点；推动健全信用法规制度和标准体系；负责区级信用信息数据库、共享平台和网站建设，推动信用信息的汇集、交换、共享和应用；负责守信联合激励和失信联合惩戒制度建设和工作实施，建立诚信综合监督体系；组织开展失信问题专项治理；加强城区信用建设，培育和发展信用服务市场；承担区社会信用体系建设领导小组的日常工作。</w:t>
      </w:r>
    </w:p>
    <w:p>
      <w:pPr>
        <w:pStyle w:val="33"/>
      </w:pPr>
      <w:r>
        <w:t>8、负责对公共服务、便民服务和中介服务进行规范和管理。</w:t>
      </w:r>
    </w:p>
    <w:p>
      <w:pPr>
        <w:pStyle w:val="33"/>
      </w:pPr>
      <w:r>
        <w:t>9、指导和监督全区政务服务中心规范化建设，协调区有关部门建立完善区审批服务联动工作机制。</w:t>
      </w:r>
    </w:p>
    <w:p>
      <w:pPr>
        <w:pStyle w:val="33"/>
        <w:rPr>
          <w:rFonts w:hint="eastAsia" w:eastAsia="方正仿宋_GBK"/>
          <w:lang w:eastAsia="zh-CN"/>
        </w:rPr>
        <w:sectPr>
          <w:pgSz w:w="11900" w:h="16840"/>
          <w:pgMar w:top="1361" w:right="1020" w:bottom="1361" w:left="1020" w:header="720" w:footer="720" w:gutter="0"/>
          <w:cols w:space="720" w:num="1"/>
        </w:sectPr>
      </w:pPr>
      <w:r>
        <w:t>10、承办区委、区政府交办的其他工作</w:t>
      </w:r>
      <w:r>
        <w:rPr>
          <w:rFonts w:hint="eastAsia"/>
          <w:lang w:eastAsia="zh-CN"/>
        </w:rPr>
        <w:t>。</w:t>
      </w:r>
    </w:p>
    <w:p>
      <w:pPr>
        <w:spacing w:before="0" w:after="0" w:line="240" w:lineRule="auto"/>
        <w:jc w:val="left"/>
        <w:outlineLvl w:val="9"/>
        <w:rPr>
          <w:rFonts w:ascii="方正楷体_GBK" w:hAnsi="方正楷体_GBK" w:eastAsia="方正楷体_GBK" w:cs="方正楷体_GBK"/>
          <w:b/>
          <w:color w:val="000000"/>
          <w:sz w:val="32"/>
        </w:rPr>
      </w:pPr>
    </w:p>
    <w:p>
      <w:pPr>
        <w:pStyle w:val="2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保定市莲池区行政审批局本级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5"/>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按照预算管理有关规定，目前我省部门预算的编制实行综合预算管理，即全部收入和支出都反映在预算中。保定市莲池区行政审批局机关及所属事业单位的收支包含在部门预算中。</w:t>
      </w:r>
    </w:p>
    <w:p>
      <w:pPr>
        <w:pStyle w:val="25"/>
        <w:rPr>
          <w:highlight w:val="none"/>
          <w:lang w:eastAsia="zh-CN"/>
        </w:rPr>
      </w:pPr>
      <w:r>
        <w:rPr>
          <w:rFonts w:hint="eastAsia"/>
          <w:highlight w:val="none"/>
          <w:lang w:eastAsia="zh-CN"/>
        </w:rPr>
        <w:t>1、收入说明</w:t>
      </w:r>
    </w:p>
    <w:p>
      <w:pPr>
        <w:pStyle w:val="25"/>
        <w:rPr>
          <w:highlight w:val="none"/>
          <w:lang w:eastAsia="zh-CN"/>
        </w:rPr>
      </w:pPr>
      <w:r>
        <w:rPr>
          <w:rFonts w:hint="eastAsia"/>
          <w:highlight w:val="none"/>
          <w:lang w:eastAsia="zh-CN"/>
        </w:rPr>
        <w:t>反映本</w:t>
      </w:r>
      <w:r>
        <w:rPr>
          <w:rFonts w:hint="eastAsia"/>
          <w:highlight w:val="none"/>
          <w:lang w:val="en-US" w:eastAsia="zh-CN"/>
        </w:rPr>
        <w:t>单位</w:t>
      </w:r>
      <w:r>
        <w:rPr>
          <w:rFonts w:hint="eastAsia"/>
          <w:highlight w:val="none"/>
          <w:lang w:eastAsia="zh-CN"/>
        </w:rPr>
        <w:t>当年全部收入。</w:t>
      </w:r>
      <w:r>
        <w:rPr>
          <w:highlight w:val="none"/>
          <w:lang w:eastAsia="zh-CN"/>
        </w:rPr>
        <w:t>20</w:t>
      </w:r>
      <w:r>
        <w:rPr>
          <w:rFonts w:hint="eastAsia"/>
          <w:highlight w:val="none"/>
          <w:lang w:eastAsia="zh-CN"/>
        </w:rPr>
        <w:t>2</w:t>
      </w:r>
      <w:r>
        <w:rPr>
          <w:rFonts w:hint="eastAsia"/>
          <w:highlight w:val="none"/>
          <w:lang w:val="en-US" w:eastAsia="zh-CN"/>
        </w:rPr>
        <w:t>5</w:t>
      </w:r>
      <w:r>
        <w:rPr>
          <w:rFonts w:hint="eastAsia"/>
          <w:highlight w:val="none"/>
          <w:lang w:eastAsia="zh-CN"/>
        </w:rPr>
        <w:t>年预算收入为3</w:t>
      </w:r>
      <w:r>
        <w:rPr>
          <w:rFonts w:hint="eastAsia"/>
          <w:highlight w:val="none"/>
          <w:lang w:val="en-US" w:eastAsia="zh-CN"/>
        </w:rPr>
        <w:t>54.48</w:t>
      </w:r>
      <w:r>
        <w:rPr>
          <w:rFonts w:hint="eastAsia"/>
          <w:highlight w:val="none"/>
          <w:lang w:eastAsia="zh-CN"/>
        </w:rPr>
        <w:t>万元，其中：一般公共预算收入3</w:t>
      </w:r>
      <w:r>
        <w:rPr>
          <w:rFonts w:hint="eastAsia"/>
          <w:highlight w:val="none"/>
          <w:lang w:val="en-US" w:eastAsia="zh-CN"/>
        </w:rPr>
        <w:t>54.48</w:t>
      </w:r>
      <w:r>
        <w:rPr>
          <w:rFonts w:hint="eastAsia"/>
          <w:highlight w:val="none"/>
          <w:lang w:eastAsia="zh-CN"/>
        </w:rPr>
        <w:t>万元，</w:t>
      </w:r>
      <w:r>
        <w:rPr>
          <w:rFonts w:hint="eastAsia"/>
          <w:highlight w:val="none"/>
          <w:lang w:val="en-US" w:eastAsia="zh-CN"/>
        </w:rPr>
        <w:t>基金预算收入0.00万元，国有资本经营预算收入0.00万元，财政专户核拨收入0.00万元，单位资金收入0.00万元，上年结转结余0.00万元</w:t>
      </w:r>
      <w:r>
        <w:rPr>
          <w:rFonts w:hint="eastAsia"/>
          <w:highlight w:val="none"/>
          <w:lang w:eastAsia="zh-CN"/>
        </w:rPr>
        <w:t>。</w:t>
      </w:r>
    </w:p>
    <w:p>
      <w:pPr>
        <w:pStyle w:val="25"/>
        <w:rPr>
          <w:highlight w:val="none"/>
          <w:lang w:eastAsia="zh-CN"/>
        </w:rPr>
      </w:pPr>
      <w:r>
        <w:rPr>
          <w:rFonts w:hint="eastAsia"/>
          <w:highlight w:val="none"/>
          <w:lang w:eastAsia="zh-CN"/>
        </w:rPr>
        <w:t>2、支出说明</w:t>
      </w:r>
    </w:p>
    <w:p>
      <w:pPr>
        <w:pStyle w:val="25"/>
        <w:rPr>
          <w:highlight w:val="none"/>
          <w:lang w:eastAsia="zh-CN"/>
        </w:rPr>
      </w:pPr>
      <w:r>
        <w:rPr>
          <w:rFonts w:hint="eastAsia"/>
          <w:highlight w:val="none"/>
          <w:lang w:eastAsia="zh-CN"/>
        </w:rPr>
        <w:t>收支预算总表支出栏、基本支出表、项目支出表按经济分类和支出功能分类科目编制，反映</w:t>
      </w:r>
      <w:r>
        <w:rPr>
          <w:rFonts w:hint="eastAsia"/>
          <w:highlight w:val="none"/>
          <w:lang w:val="en-US" w:eastAsia="zh-CN"/>
        </w:rPr>
        <w:t>莲池区行政审批局</w:t>
      </w:r>
      <w:r>
        <w:rPr>
          <w:rFonts w:hint="eastAsia"/>
          <w:highlight w:val="none"/>
          <w:lang w:eastAsia="zh-CN"/>
        </w:rPr>
        <w:t>年度</w:t>
      </w:r>
      <w:r>
        <w:rPr>
          <w:rFonts w:hint="eastAsia"/>
          <w:highlight w:val="none"/>
          <w:lang w:val="en-US" w:eastAsia="zh-CN"/>
        </w:rPr>
        <w:t>单位</w:t>
      </w:r>
      <w:r>
        <w:rPr>
          <w:rFonts w:hint="eastAsia"/>
          <w:highlight w:val="none"/>
          <w:lang w:eastAsia="zh-CN"/>
        </w:rPr>
        <w:t>预算中支出预算的总体情况。</w:t>
      </w:r>
      <w:r>
        <w:rPr>
          <w:highlight w:val="none"/>
          <w:lang w:eastAsia="zh-CN"/>
        </w:rPr>
        <w:t>20</w:t>
      </w:r>
      <w:r>
        <w:rPr>
          <w:rFonts w:hint="eastAsia"/>
          <w:highlight w:val="none"/>
          <w:lang w:eastAsia="zh-CN"/>
        </w:rPr>
        <w:t>2</w:t>
      </w:r>
      <w:r>
        <w:rPr>
          <w:rFonts w:hint="eastAsia"/>
          <w:highlight w:val="none"/>
          <w:lang w:val="en-US" w:eastAsia="zh-CN"/>
        </w:rPr>
        <w:t>5</w:t>
      </w:r>
      <w:r>
        <w:rPr>
          <w:rFonts w:hint="eastAsia"/>
          <w:highlight w:val="none"/>
          <w:lang w:eastAsia="zh-CN"/>
        </w:rPr>
        <w:t>年</w:t>
      </w:r>
      <w:r>
        <w:rPr>
          <w:rFonts w:hint="eastAsia"/>
          <w:highlight w:val="none"/>
          <w:lang w:val="en-US" w:eastAsia="zh-CN"/>
        </w:rPr>
        <w:t>单位</w:t>
      </w:r>
      <w:r>
        <w:rPr>
          <w:rFonts w:hint="eastAsia"/>
          <w:highlight w:val="none"/>
          <w:lang w:eastAsia="zh-CN"/>
        </w:rPr>
        <w:t>支出安排预算总额3</w:t>
      </w:r>
      <w:r>
        <w:rPr>
          <w:rFonts w:hint="eastAsia"/>
          <w:highlight w:val="none"/>
          <w:lang w:val="en-US" w:eastAsia="zh-CN"/>
        </w:rPr>
        <w:t>54.48</w:t>
      </w:r>
      <w:r>
        <w:rPr>
          <w:rFonts w:hint="eastAsia"/>
          <w:highlight w:val="none"/>
          <w:lang w:eastAsia="zh-CN"/>
        </w:rPr>
        <w:t>万元。基本支出3</w:t>
      </w:r>
      <w:r>
        <w:rPr>
          <w:rFonts w:hint="eastAsia"/>
          <w:highlight w:val="none"/>
          <w:lang w:val="en-US" w:eastAsia="zh-CN"/>
        </w:rPr>
        <w:t>19.48</w:t>
      </w:r>
      <w:r>
        <w:rPr>
          <w:rFonts w:hint="eastAsia"/>
          <w:highlight w:val="none"/>
          <w:lang w:eastAsia="zh-CN"/>
        </w:rPr>
        <w:t>万元，</w:t>
      </w:r>
      <w:r>
        <w:rPr>
          <w:rFonts w:hint="eastAsia"/>
          <w:highlight w:val="none"/>
          <w:lang w:val="en-US" w:eastAsia="zh-CN"/>
        </w:rPr>
        <w:t>包括</w:t>
      </w:r>
      <w:r>
        <w:rPr>
          <w:rFonts w:hint="eastAsia"/>
          <w:highlight w:val="none"/>
          <w:lang w:eastAsia="zh-CN"/>
        </w:rPr>
        <w:t>人员经费2</w:t>
      </w:r>
      <w:r>
        <w:rPr>
          <w:rFonts w:hint="eastAsia"/>
          <w:highlight w:val="none"/>
          <w:lang w:val="en-US" w:eastAsia="zh-CN"/>
        </w:rPr>
        <w:t>95.18</w:t>
      </w:r>
      <w:r>
        <w:rPr>
          <w:rFonts w:hint="eastAsia"/>
          <w:highlight w:val="none"/>
          <w:lang w:eastAsia="zh-CN"/>
        </w:rPr>
        <w:t>万元</w:t>
      </w:r>
      <w:r>
        <w:rPr>
          <w:rFonts w:hint="eastAsia"/>
          <w:highlight w:val="none"/>
          <w:lang w:val="en-US" w:eastAsia="zh-CN"/>
        </w:rPr>
        <w:t>和</w:t>
      </w:r>
      <w:r>
        <w:rPr>
          <w:rFonts w:hint="eastAsia"/>
          <w:highlight w:val="none"/>
          <w:lang w:eastAsia="zh-CN"/>
        </w:rPr>
        <w:t>日常公用经费</w:t>
      </w:r>
      <w:r>
        <w:rPr>
          <w:rFonts w:hint="eastAsia"/>
          <w:highlight w:val="none"/>
          <w:lang w:val="en-US" w:eastAsia="zh-CN"/>
        </w:rPr>
        <w:t>24.3</w:t>
      </w:r>
      <w:r>
        <w:rPr>
          <w:rFonts w:hint="eastAsia"/>
          <w:highlight w:val="none"/>
          <w:lang w:eastAsia="zh-CN"/>
        </w:rPr>
        <w:t>万元；项目支出</w:t>
      </w:r>
      <w:r>
        <w:rPr>
          <w:rFonts w:hint="eastAsia"/>
          <w:highlight w:val="none"/>
          <w:lang w:val="en-US" w:eastAsia="zh-CN"/>
        </w:rPr>
        <w:t>3</w:t>
      </w:r>
      <w:r>
        <w:rPr>
          <w:rFonts w:hint="eastAsia" w:eastAsiaTheme="minorEastAsia"/>
          <w:highlight w:val="none"/>
          <w:lang w:eastAsia="zh-CN"/>
        </w:rPr>
        <w:t>5</w:t>
      </w:r>
      <w:r>
        <w:rPr>
          <w:rFonts w:hint="eastAsia"/>
          <w:highlight w:val="none"/>
          <w:lang w:eastAsia="zh-CN"/>
        </w:rPr>
        <w:t>万元</w:t>
      </w:r>
      <w:r>
        <w:rPr>
          <w:rFonts w:hint="eastAsia"/>
          <w:highlight w:val="none"/>
          <w:lang w:val="en-US" w:eastAsia="zh-CN"/>
        </w:rPr>
        <w:t>主要为：</w:t>
      </w:r>
      <w:r>
        <w:rPr>
          <w:rFonts w:ascii="方正仿宋_GBK" w:hAnsi="方正仿宋_GBK" w:eastAsia="方正仿宋_GBK" w:cs="方正仿宋_GBK"/>
          <w:color w:val="000000"/>
          <w:sz w:val="28"/>
        </w:rPr>
        <w:t>综合业务经费</w:t>
      </w:r>
      <w:r>
        <w:rPr>
          <w:rFonts w:hint="eastAsia" w:ascii="方正仿宋_GBK" w:hAnsi="方正仿宋_GBK" w:cs="方正仿宋_GBK"/>
          <w:color w:val="000000"/>
          <w:sz w:val="28"/>
          <w:lang w:val="en-US" w:eastAsia="zh-CN"/>
        </w:rPr>
        <w:t>25万元、</w:t>
      </w:r>
      <w:r>
        <w:rPr>
          <w:rFonts w:ascii="方正仿宋_GBK" w:hAnsi="方正仿宋_GBK" w:eastAsia="方正仿宋_GBK" w:cs="方正仿宋_GBK"/>
          <w:color w:val="000000"/>
          <w:sz w:val="28"/>
          <w:highlight w:val="none"/>
        </w:rPr>
        <w:t>2025年执照、许可证购买经费</w:t>
      </w:r>
      <w:r>
        <w:rPr>
          <w:rFonts w:hint="eastAsia" w:ascii="方正仿宋_GBK" w:hAnsi="方正仿宋_GBK" w:cs="方正仿宋_GBK"/>
          <w:color w:val="000000"/>
          <w:sz w:val="28"/>
          <w:highlight w:val="none"/>
          <w:lang w:val="en-US" w:eastAsia="zh-CN"/>
        </w:rPr>
        <w:t>项目10万元</w:t>
      </w:r>
      <w:r>
        <w:rPr>
          <w:rFonts w:hint="eastAsia"/>
          <w:highlight w:val="none"/>
          <w:lang w:eastAsia="zh-CN"/>
        </w:rPr>
        <w:t>。</w:t>
      </w:r>
    </w:p>
    <w:p>
      <w:pPr>
        <w:pStyle w:val="25"/>
        <w:rPr>
          <w:highlight w:val="none"/>
          <w:lang w:eastAsia="zh-CN"/>
        </w:rPr>
      </w:pPr>
      <w:r>
        <w:rPr>
          <w:rFonts w:hint="eastAsia"/>
          <w:highlight w:val="none"/>
          <w:lang w:eastAsia="zh-CN"/>
        </w:rPr>
        <w:t>3、比上年增减情况</w:t>
      </w:r>
    </w:p>
    <w:p>
      <w:pPr>
        <w:pStyle w:val="25"/>
      </w:pPr>
      <w:r>
        <w:rPr>
          <w:rFonts w:hint="eastAsia"/>
          <w:highlight w:val="none"/>
          <w:lang w:eastAsia="zh-CN"/>
        </w:rPr>
        <w:t>本年度预算收支安排3</w:t>
      </w:r>
      <w:r>
        <w:rPr>
          <w:rFonts w:hint="eastAsia"/>
          <w:highlight w:val="none"/>
          <w:lang w:val="en-US" w:eastAsia="zh-CN"/>
        </w:rPr>
        <w:t>54.48</w:t>
      </w:r>
      <w:r>
        <w:rPr>
          <w:rFonts w:hint="eastAsia"/>
          <w:highlight w:val="none"/>
          <w:lang w:eastAsia="zh-CN"/>
        </w:rPr>
        <w:t>万元，较上年</w:t>
      </w:r>
      <w:r>
        <w:rPr>
          <w:rFonts w:hint="eastAsia"/>
          <w:highlight w:val="none"/>
          <w:lang w:val="en-US" w:eastAsia="zh-CN"/>
        </w:rPr>
        <w:t>增加13.19</w:t>
      </w:r>
      <w:r>
        <w:rPr>
          <w:rFonts w:hint="eastAsia"/>
          <w:highlight w:val="none"/>
          <w:lang w:eastAsia="zh-CN"/>
        </w:rPr>
        <w:t>万元。其中</w:t>
      </w:r>
      <w:r>
        <w:rPr>
          <w:highlight w:val="none"/>
          <w:lang w:eastAsia="zh-CN"/>
        </w:rPr>
        <w:t>:</w:t>
      </w:r>
      <w:r>
        <w:rPr>
          <w:rFonts w:hint="eastAsia"/>
          <w:highlight w:val="none"/>
          <w:lang w:eastAsia="zh-CN"/>
        </w:rPr>
        <w:t>基本支出增加</w:t>
      </w:r>
      <w:r>
        <w:rPr>
          <w:rFonts w:hint="eastAsia"/>
          <w:highlight w:val="none"/>
          <w:lang w:val="en-US" w:eastAsia="zh-CN"/>
        </w:rPr>
        <w:t>3.19</w:t>
      </w:r>
      <w:r>
        <w:rPr>
          <w:rFonts w:hint="eastAsia"/>
          <w:highlight w:val="none"/>
          <w:lang w:eastAsia="zh-CN"/>
        </w:rPr>
        <w:t>万元，主要原因是202</w:t>
      </w:r>
      <w:r>
        <w:rPr>
          <w:rFonts w:hint="eastAsia"/>
          <w:highlight w:val="none"/>
          <w:lang w:val="en-US" w:eastAsia="zh-CN"/>
        </w:rPr>
        <w:t>5</w:t>
      </w:r>
      <w:r>
        <w:rPr>
          <w:rFonts w:hint="eastAsia"/>
          <w:highlight w:val="none"/>
          <w:lang w:eastAsia="zh-CN"/>
        </w:rPr>
        <w:t>年增加新增人员经费；项目支出</w:t>
      </w:r>
      <w:r>
        <w:rPr>
          <w:rFonts w:hint="eastAsia"/>
          <w:highlight w:val="none"/>
          <w:lang w:val="en-US" w:eastAsia="zh-CN"/>
        </w:rPr>
        <w:t>增加10</w:t>
      </w:r>
      <w:r>
        <w:rPr>
          <w:rFonts w:hint="eastAsia"/>
          <w:highlight w:val="none"/>
          <w:lang w:eastAsia="zh-CN"/>
        </w:rPr>
        <w:t>万元。主要原因是202</w:t>
      </w:r>
      <w:r>
        <w:rPr>
          <w:rFonts w:hint="eastAsia"/>
          <w:highlight w:val="none"/>
          <w:lang w:val="en-US" w:eastAsia="zh-CN"/>
        </w:rPr>
        <w:t>5</w:t>
      </w:r>
      <w:r>
        <w:rPr>
          <w:rFonts w:hint="eastAsia"/>
          <w:highlight w:val="none"/>
          <w:lang w:eastAsia="zh-CN"/>
        </w:rPr>
        <w:t>年</w:t>
      </w:r>
      <w:r>
        <w:rPr>
          <w:rFonts w:hint="eastAsia"/>
          <w:highlight w:val="none"/>
          <w:lang w:val="en-US" w:eastAsia="zh-CN"/>
        </w:rPr>
        <w:t>新增</w:t>
      </w:r>
      <w:r>
        <w:rPr>
          <w:rFonts w:ascii="方正仿宋_GBK" w:hAnsi="方正仿宋_GBK" w:eastAsia="方正仿宋_GBK" w:cs="方正仿宋_GBK"/>
          <w:color w:val="000000"/>
          <w:sz w:val="28"/>
          <w:highlight w:val="none"/>
        </w:rPr>
        <w:t>2025年执照、许可证购买经费</w:t>
      </w:r>
      <w:r>
        <w:rPr>
          <w:rFonts w:hint="eastAsia" w:ascii="方正仿宋_GBK" w:hAnsi="方正仿宋_GBK" w:cs="方正仿宋_GBK"/>
          <w:color w:val="000000"/>
          <w:sz w:val="28"/>
          <w:highlight w:val="none"/>
          <w:lang w:val="en-US" w:eastAsia="zh-CN"/>
        </w:rPr>
        <w:t>项目10万元</w:t>
      </w:r>
      <w:r>
        <w:rPr>
          <w:rFonts w:hint="eastAsia"/>
          <w:highlight w:val="none"/>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ind w:firstLineChars="200"/>
      </w:pPr>
      <w:r>
        <w:rPr>
          <w:rFonts w:hint="eastAsia" w:cs="宋体" w:asciiTheme="minorEastAsia" w:hAnsiTheme="minorEastAsia" w:eastAsiaTheme="minorEastAsia"/>
          <w:color w:val="333333"/>
          <w:szCs w:val="28"/>
          <w:highlight w:val="none"/>
        </w:rPr>
        <w:t>2</w:t>
      </w:r>
      <w:r>
        <w:rPr>
          <w:rFonts w:hint="eastAsia"/>
          <w:highlight w:val="none"/>
          <w:lang w:eastAsia="zh-CN"/>
        </w:rPr>
        <w:t>02</w:t>
      </w:r>
      <w:r>
        <w:rPr>
          <w:rFonts w:hint="eastAsia"/>
          <w:highlight w:val="none"/>
          <w:lang w:val="en-US" w:eastAsia="zh-CN"/>
        </w:rPr>
        <w:t>5</w:t>
      </w:r>
      <w:r>
        <w:rPr>
          <w:rFonts w:hint="eastAsia"/>
          <w:highlight w:val="none"/>
          <w:lang w:eastAsia="zh-CN"/>
        </w:rPr>
        <w:t>年，我</w:t>
      </w:r>
      <w:r>
        <w:rPr>
          <w:rFonts w:hint="eastAsia"/>
          <w:highlight w:val="none"/>
          <w:lang w:val="en-US" w:eastAsia="zh-CN"/>
        </w:rPr>
        <w:t>单位</w:t>
      </w:r>
      <w:r>
        <w:rPr>
          <w:rFonts w:hint="eastAsia"/>
          <w:highlight w:val="none"/>
          <w:lang w:eastAsia="zh-CN"/>
        </w:rPr>
        <w:t>运行经费安排24.</w:t>
      </w:r>
      <w:r>
        <w:rPr>
          <w:rFonts w:hint="eastAsia"/>
          <w:highlight w:val="none"/>
          <w:lang w:val="en-US" w:eastAsia="zh-CN"/>
        </w:rPr>
        <w:t>3</w:t>
      </w:r>
      <w:r>
        <w:rPr>
          <w:rFonts w:hint="eastAsia"/>
          <w:highlight w:val="none"/>
          <w:lang w:eastAsia="zh-CN"/>
        </w:rPr>
        <w:t>万元，其中：办公费</w:t>
      </w:r>
      <w:r>
        <w:rPr>
          <w:rFonts w:hint="eastAsia"/>
          <w:highlight w:val="none"/>
          <w:lang w:val="en-US" w:eastAsia="zh-CN"/>
        </w:rPr>
        <w:t>3</w:t>
      </w:r>
      <w:r>
        <w:rPr>
          <w:rFonts w:hint="eastAsia"/>
          <w:highlight w:val="none"/>
          <w:lang w:eastAsia="zh-CN"/>
        </w:rPr>
        <w:t>.6万元，邮电费7.8万元，公务交通补贴9万元，工会经费1.</w:t>
      </w:r>
      <w:r>
        <w:rPr>
          <w:rFonts w:hint="eastAsia"/>
          <w:highlight w:val="none"/>
          <w:lang w:val="en-US" w:eastAsia="zh-CN"/>
        </w:rPr>
        <w:t>73</w:t>
      </w:r>
      <w:r>
        <w:rPr>
          <w:rFonts w:hint="eastAsia"/>
          <w:highlight w:val="none"/>
          <w:lang w:eastAsia="zh-CN"/>
        </w:rPr>
        <w:t>万元，福利费</w:t>
      </w:r>
      <w:r>
        <w:rPr>
          <w:rFonts w:hint="eastAsia"/>
          <w:highlight w:val="none"/>
          <w:lang w:val="en-US" w:eastAsia="zh-CN"/>
        </w:rPr>
        <w:t>2.06</w:t>
      </w:r>
      <w:r>
        <w:rPr>
          <w:rFonts w:hint="eastAsia"/>
          <w:highlight w:val="none"/>
          <w:lang w:eastAsia="zh-CN"/>
        </w:rPr>
        <w:t>万元，党组织活动经费0.11万元。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5"/>
        <w:rPr>
          <w:rFonts w:hint="eastAsia"/>
          <w:lang w:eastAsia="zh-CN"/>
        </w:rPr>
      </w:pPr>
      <w:r>
        <w:rPr>
          <w:rFonts w:hint="eastAsia"/>
          <w:lang w:eastAsia="zh-CN"/>
        </w:rPr>
        <w:t>202</w:t>
      </w:r>
      <w:r>
        <w:rPr>
          <w:rFonts w:hint="eastAsia"/>
          <w:lang w:val="en-US" w:eastAsia="zh-CN"/>
        </w:rPr>
        <w:t>5</w:t>
      </w:r>
      <w:r>
        <w:rPr>
          <w:rFonts w:hint="eastAsia"/>
          <w:lang w:eastAsia="zh-CN"/>
        </w:rPr>
        <w:t>年，我</w:t>
      </w:r>
      <w:r>
        <w:rPr>
          <w:rFonts w:hint="eastAsia"/>
          <w:lang w:val="en-US" w:eastAsia="zh-CN"/>
        </w:rPr>
        <w:t>单位</w:t>
      </w:r>
      <w:r>
        <w:rPr>
          <w:rFonts w:hint="eastAsia"/>
          <w:lang w:eastAsia="zh-CN"/>
        </w:rPr>
        <w:t>财政拨款“三公”经费预算安排0万元，其中因公出国（境）费0万元；公务用车购置及运维费0万元（其中：公务用车购置费为0万元，公务用车运维费0万元）；公务接待费0万元。与202</w:t>
      </w:r>
      <w:r>
        <w:rPr>
          <w:rFonts w:hint="eastAsia"/>
          <w:lang w:val="en-US" w:eastAsia="zh-CN"/>
        </w:rPr>
        <w:t>4</w:t>
      </w:r>
      <w:bookmarkStart w:id="21" w:name="_GoBack"/>
      <w:bookmarkEnd w:id="21"/>
      <w:r>
        <w:rPr>
          <w:rFonts w:hint="eastAsia"/>
          <w:lang w:eastAsia="zh-CN"/>
        </w:rPr>
        <w:t>年相比无增减变化。</w:t>
      </w:r>
    </w:p>
    <w:p>
      <w:pPr>
        <w:spacing w:before="10" w:after="10" w:line="360" w:lineRule="auto"/>
        <w:ind w:firstLine="640"/>
        <w:jc w:val="center"/>
        <w:outlineLvl w:val="2"/>
        <w:rPr>
          <w:rFonts w:ascii="黑体" w:hAnsi="黑体" w:eastAsia="黑体" w:cs="黑体"/>
          <w:color w:val="000000"/>
          <w:sz w:val="32"/>
          <w:lang w:eastAsia="zh-CN"/>
        </w:rPr>
      </w:pPr>
      <w:r>
        <w:rPr>
          <w:rFonts w:ascii="黑体" w:hAnsi="黑体" w:eastAsia="黑体" w:cs="黑体"/>
          <w:color w:val="000000"/>
          <w:sz w:val="32"/>
        </w:rPr>
        <w:t>“三公”经费预算情况及增减变化原因</w:t>
      </w:r>
    </w:p>
    <w:p>
      <w:pPr>
        <w:pStyle w:val="14"/>
      </w:pPr>
      <w:r>
        <w:rPr>
          <w:rFonts w:hint="eastAsia"/>
        </w:rPr>
        <w:t>单位：万元</w:t>
      </w:r>
    </w:p>
    <w:tbl>
      <w:tblPr>
        <w:tblStyle w:val="8"/>
        <w:tblW w:w="4866" w:type="pct"/>
        <w:tblInd w:w="0" w:type="dxa"/>
        <w:tblLayout w:type="fixed"/>
        <w:tblCellMar>
          <w:top w:w="0" w:type="dxa"/>
          <w:left w:w="0" w:type="dxa"/>
          <w:bottom w:w="0" w:type="dxa"/>
          <w:right w:w="0" w:type="dxa"/>
        </w:tblCellMar>
      </w:tblPr>
      <w:tblGrid>
        <w:gridCol w:w="4010"/>
        <w:gridCol w:w="2186"/>
        <w:gridCol w:w="15"/>
        <w:gridCol w:w="2338"/>
        <w:gridCol w:w="2540"/>
        <w:gridCol w:w="3525"/>
      </w:tblGrid>
      <w:tr>
        <w:tblPrEx>
          <w:tblCellMar>
            <w:top w:w="0" w:type="dxa"/>
            <w:left w:w="0" w:type="dxa"/>
            <w:bottom w:w="0" w:type="dxa"/>
            <w:right w:w="0" w:type="dxa"/>
          </w:tblCellMar>
        </w:tblPrEx>
        <w:trPr>
          <w:trHeight w:val="1012" w:hRule="atLeast"/>
        </w:trPr>
        <w:tc>
          <w:tcPr>
            <w:tcW w:w="1372"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项目名称</w:t>
            </w:r>
          </w:p>
        </w:tc>
        <w:tc>
          <w:tcPr>
            <w:tcW w:w="753" w:type="pct"/>
            <w:gridSpan w:val="2"/>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20</w:t>
            </w:r>
            <w:r>
              <w:rPr>
                <w:rFonts w:hint="eastAsia"/>
              </w:rPr>
              <w:t>2</w:t>
            </w:r>
            <w:r>
              <w:rPr>
                <w:rFonts w:hint="eastAsia"/>
                <w:lang w:val="en-US" w:eastAsia="zh-CN"/>
              </w:rPr>
              <w:t>4</w:t>
            </w:r>
            <w:r>
              <w:rPr>
                <w:rFonts w:hint="eastAsia"/>
              </w:rPr>
              <w:t>年度预算</w:t>
            </w:r>
          </w:p>
        </w:tc>
        <w:tc>
          <w:tcPr>
            <w:tcW w:w="800" w:type="pct"/>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202</w:t>
            </w:r>
            <w:r>
              <w:rPr>
                <w:rFonts w:hint="eastAsia"/>
                <w:lang w:val="en-US" w:eastAsia="zh-CN"/>
              </w:rPr>
              <w:t>5</w:t>
            </w:r>
            <w:r>
              <w:rPr>
                <w:rFonts w:hint="eastAsia"/>
              </w:rPr>
              <w:t>年度预算</w:t>
            </w:r>
          </w:p>
        </w:tc>
        <w:tc>
          <w:tcPr>
            <w:tcW w:w="869" w:type="pct"/>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增减金额</w:t>
            </w:r>
          </w:p>
        </w:tc>
        <w:tc>
          <w:tcPr>
            <w:tcW w:w="1206" w:type="pct"/>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变化原因</w:t>
            </w:r>
          </w:p>
        </w:tc>
      </w:tr>
      <w:tr>
        <w:tblPrEx>
          <w:tblCellMar>
            <w:top w:w="0" w:type="dxa"/>
            <w:left w:w="0" w:type="dxa"/>
            <w:bottom w:w="0" w:type="dxa"/>
            <w:right w:w="0" w:type="dxa"/>
          </w:tblCellMar>
        </w:tblPrEx>
        <w:trPr>
          <w:trHeight w:val="600" w:hRule="atLeast"/>
        </w:trPr>
        <w:tc>
          <w:tcPr>
            <w:tcW w:w="1372" w:type="pct"/>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因公出国经费</w:t>
            </w:r>
          </w:p>
        </w:tc>
        <w:tc>
          <w:tcPr>
            <w:tcW w:w="748" w:type="pc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0</w:t>
            </w:r>
          </w:p>
        </w:tc>
        <w:tc>
          <w:tcPr>
            <w:tcW w:w="805" w:type="pct"/>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0</w:t>
            </w:r>
          </w:p>
        </w:tc>
        <w:tc>
          <w:tcPr>
            <w:tcW w:w="869" w:type="pc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0</w:t>
            </w:r>
          </w:p>
        </w:tc>
        <w:tc>
          <w:tcPr>
            <w:tcW w:w="120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14"/>
            </w:pPr>
            <w:r>
              <w:rPr>
                <w:rFonts w:hint="eastAsia"/>
              </w:rPr>
              <w:t>无增减变化</w:t>
            </w:r>
          </w:p>
        </w:tc>
      </w:tr>
      <w:tr>
        <w:tblPrEx>
          <w:tblCellMar>
            <w:top w:w="0" w:type="dxa"/>
            <w:left w:w="0" w:type="dxa"/>
            <w:bottom w:w="0" w:type="dxa"/>
            <w:right w:w="0" w:type="dxa"/>
          </w:tblCellMar>
        </w:tblPrEx>
        <w:trPr>
          <w:trHeight w:val="594" w:hRule="atLeast"/>
        </w:trPr>
        <w:tc>
          <w:tcPr>
            <w:tcW w:w="1372" w:type="pct"/>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公务用车购置经费</w:t>
            </w:r>
          </w:p>
        </w:tc>
        <w:tc>
          <w:tcPr>
            <w:tcW w:w="748" w:type="pc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0</w:t>
            </w:r>
          </w:p>
        </w:tc>
        <w:tc>
          <w:tcPr>
            <w:tcW w:w="805" w:type="pct"/>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0</w:t>
            </w:r>
          </w:p>
        </w:tc>
        <w:tc>
          <w:tcPr>
            <w:tcW w:w="869" w:type="pc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0</w:t>
            </w:r>
          </w:p>
        </w:tc>
        <w:tc>
          <w:tcPr>
            <w:tcW w:w="120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14"/>
            </w:pPr>
            <w:r>
              <w:rPr>
                <w:rFonts w:hint="eastAsia"/>
              </w:rPr>
              <w:t>无增减变化</w:t>
            </w:r>
          </w:p>
        </w:tc>
      </w:tr>
      <w:tr>
        <w:tblPrEx>
          <w:tblCellMar>
            <w:top w:w="0" w:type="dxa"/>
            <w:left w:w="0" w:type="dxa"/>
            <w:bottom w:w="0" w:type="dxa"/>
            <w:right w:w="0" w:type="dxa"/>
          </w:tblCellMar>
        </w:tblPrEx>
        <w:trPr>
          <w:trHeight w:val="570" w:hRule="atLeast"/>
        </w:trPr>
        <w:tc>
          <w:tcPr>
            <w:tcW w:w="1372" w:type="pct"/>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公务用车运行经费</w:t>
            </w:r>
          </w:p>
        </w:tc>
        <w:tc>
          <w:tcPr>
            <w:tcW w:w="748" w:type="pc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0</w:t>
            </w:r>
          </w:p>
        </w:tc>
        <w:tc>
          <w:tcPr>
            <w:tcW w:w="805" w:type="pct"/>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0</w:t>
            </w:r>
          </w:p>
        </w:tc>
        <w:tc>
          <w:tcPr>
            <w:tcW w:w="869" w:type="pc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0</w:t>
            </w:r>
          </w:p>
        </w:tc>
        <w:tc>
          <w:tcPr>
            <w:tcW w:w="120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14"/>
            </w:pPr>
            <w:r>
              <w:rPr>
                <w:rFonts w:hint="eastAsia"/>
              </w:rPr>
              <w:t>无增减变化</w:t>
            </w:r>
          </w:p>
        </w:tc>
      </w:tr>
      <w:tr>
        <w:tblPrEx>
          <w:tblCellMar>
            <w:top w:w="0" w:type="dxa"/>
            <w:left w:w="0" w:type="dxa"/>
            <w:bottom w:w="0" w:type="dxa"/>
            <w:right w:w="0" w:type="dxa"/>
          </w:tblCellMar>
        </w:tblPrEx>
        <w:trPr>
          <w:trHeight w:val="585" w:hRule="atLeast"/>
        </w:trPr>
        <w:tc>
          <w:tcPr>
            <w:tcW w:w="1372" w:type="pct"/>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公务接待费支出</w:t>
            </w:r>
          </w:p>
        </w:tc>
        <w:tc>
          <w:tcPr>
            <w:tcW w:w="748" w:type="pc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0</w:t>
            </w:r>
          </w:p>
        </w:tc>
        <w:tc>
          <w:tcPr>
            <w:tcW w:w="805" w:type="pct"/>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0</w:t>
            </w:r>
          </w:p>
        </w:tc>
        <w:tc>
          <w:tcPr>
            <w:tcW w:w="869" w:type="pc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0</w:t>
            </w:r>
          </w:p>
        </w:tc>
        <w:tc>
          <w:tcPr>
            <w:tcW w:w="120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14"/>
            </w:pPr>
            <w:r>
              <w:rPr>
                <w:rFonts w:hint="eastAsia"/>
              </w:rPr>
              <w:t>无增减变化</w:t>
            </w:r>
          </w:p>
        </w:tc>
      </w:tr>
      <w:tr>
        <w:tblPrEx>
          <w:tblCellMar>
            <w:top w:w="0" w:type="dxa"/>
            <w:left w:w="0" w:type="dxa"/>
            <w:bottom w:w="0" w:type="dxa"/>
            <w:right w:w="0" w:type="dxa"/>
          </w:tblCellMar>
        </w:tblPrEx>
        <w:trPr>
          <w:trHeight w:val="590" w:hRule="atLeast"/>
        </w:trPr>
        <w:tc>
          <w:tcPr>
            <w:tcW w:w="1372" w:type="pct"/>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合计</w:t>
            </w:r>
          </w:p>
        </w:tc>
        <w:tc>
          <w:tcPr>
            <w:tcW w:w="748" w:type="pc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0</w:t>
            </w:r>
          </w:p>
        </w:tc>
        <w:tc>
          <w:tcPr>
            <w:tcW w:w="805" w:type="pct"/>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rPr>
                <w:rFonts w:hint="eastAsia"/>
              </w:rPr>
              <w:t>0</w:t>
            </w:r>
          </w:p>
        </w:tc>
        <w:tc>
          <w:tcPr>
            <w:tcW w:w="869" w:type="pc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14"/>
            </w:pPr>
            <w:r>
              <w:t>0</w:t>
            </w:r>
          </w:p>
        </w:tc>
        <w:tc>
          <w:tcPr>
            <w:tcW w:w="120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14"/>
            </w:pPr>
            <w:r>
              <w:rPr>
                <w:rFonts w:hint="eastAsia"/>
              </w:rPr>
              <w:t>无增减变化</w:t>
            </w:r>
          </w:p>
        </w:tc>
      </w:tr>
    </w:tbl>
    <w:p>
      <w:pPr>
        <w:pStyle w:val="24"/>
      </w:pPr>
    </w:p>
    <w:p>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rPr>
          <w:rFonts w:ascii="黑体" w:hAnsi="黑体" w:eastAsia="黑体" w:cs="黑体"/>
          <w:color w:val="000000"/>
          <w:sz w:val="32"/>
        </w:rPr>
      </w:pP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莲池区行政审批局</w:t>
      </w:r>
    </w:p>
    <w:p>
      <w:pPr>
        <w:pStyle w:val="25"/>
      </w:pPr>
      <w:r>
        <w:t>部门整体绩效目标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莲池区行政审批局深入贯彻习近平新时代中国特色社会主义思想，在区委、区政府的正确领导下，在市行政审批局的大力指导下，以不断提升市场主体和群众满意度为目标，持续优化审批服务流程，充实完善服务机制，全力打造“依规办事不求人、方便快捷少跑腿”的一流政务服务环境。</w:t>
      </w:r>
    </w:p>
    <w:p>
      <w:pPr>
        <w:pStyle w:val="25"/>
        <w:rPr>
          <w:rFonts w:ascii="Times New Roman" w:hAnsi="Times New Roman" w:eastAsia="方正仿宋_GBK" w:cs="Times New Roman"/>
          <w:sz w:val="28"/>
          <w:szCs w:val="24"/>
          <w:lang w:val="en-US" w:eastAsia="uk-UA" w:bidi="ar-SA"/>
        </w:rPr>
      </w:pPr>
    </w:p>
    <w:p>
      <w:pPr>
        <w:spacing w:before="0" w:after="0" w:line="500" w:lineRule="exact"/>
        <w:ind w:firstLine="560"/>
        <w:jc w:val="left"/>
        <w:outlineLvl w:val="9"/>
        <w:rPr>
          <w:rFonts w:ascii="Times New Roman" w:hAnsi="Times New Roman" w:eastAsia="方正仿宋_GBK" w:cs="Times New Roman"/>
          <w:color w:val="000000"/>
          <w:sz w:val="28"/>
          <w:lang w:val="en-US" w:eastAsia="uk-UA"/>
        </w:rPr>
      </w:pPr>
      <w:r>
        <w:rPr>
          <w:rFonts w:ascii="Times New Roman" w:hAnsi="Times New Roman" w:eastAsia="方正仿宋_GBK" w:cs="Times New Roman"/>
          <w:color w:val="000000"/>
          <w:sz w:val="28"/>
          <w:lang w:val="en-US" w:eastAsia="uk-UA"/>
        </w:rPr>
        <w:t>（二）分项绩效目标</w:t>
      </w:r>
    </w:p>
    <w:p>
      <w:pPr>
        <w:pStyle w:val="26"/>
      </w:pPr>
      <w:r>
        <w:t>莲池区行政审批局</w:t>
      </w:r>
    </w:p>
    <w:p>
      <w:pPr>
        <w:pStyle w:val="26"/>
      </w:pPr>
      <w:r>
        <w:t>分项绩效目标</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1.积极推进政务服务事项赋权工作。按照“成熟一批、赋予一批”的原则，将审批服务事项向乡镇（街道）下放。按照省市要求，编制《莲池区乡级政务服务事项清单》，各乡镇（街道）、村（社区）对乡镇（街道）87个事项、村（社区）38个事项进行全面认领，确保群众和企业能够就近办理。</w:t>
      </w:r>
    </w:p>
    <w:p>
      <w:pPr>
        <w:pStyle w:val="26"/>
        <w:rPr>
          <w:rFonts w:hint="eastAsia" w:ascii="Times New Roman" w:hAnsi="Times New Roman" w:cs="Times New Roman"/>
        </w:rPr>
      </w:pPr>
      <w:r>
        <w:rPr>
          <w:rFonts w:hint="eastAsia" w:ascii="Times New Roman" w:hAnsi="Times New Roman" w:cs="Times New Roman"/>
          <w:lang w:val="en-US" w:eastAsia="zh-CN"/>
        </w:rPr>
        <w:t>2</w:t>
      </w:r>
      <w:r>
        <w:rPr>
          <w:rFonts w:hint="eastAsia" w:ascii="Times New Roman" w:hAnsi="Times New Roman" w:cs="Times New Roman"/>
        </w:rPr>
        <w:t>.推进工程建设审批制度改革。一是不断提升审批效能，保障工程建设审批制度改革措施落地实施。二是大力推行“分阶段办理”+“告知承诺制”审批。</w:t>
      </w:r>
    </w:p>
    <w:p>
      <w:pPr>
        <w:pStyle w:val="26"/>
        <w:rPr>
          <w:rFonts w:hint="eastAsia"/>
        </w:rPr>
      </w:pPr>
      <w:r>
        <w:rPr>
          <w:rFonts w:hint="eastAsia"/>
        </w:rPr>
        <w:t>3.推进商事制度改革。我局推行市场主体登记一日办结制度和企业名称自主申报制度，缩短企业开办时间。</w:t>
      </w:r>
    </w:p>
    <w:p>
      <w:pPr>
        <w:pStyle w:val="26"/>
        <w:rPr>
          <w:rFonts w:hint="eastAsia"/>
        </w:rPr>
      </w:pPr>
      <w:r>
        <w:rPr>
          <w:rFonts w:hint="eastAsia"/>
          <w:lang w:val="en-US" w:eastAsia="zh-CN"/>
        </w:rPr>
        <w:t>4</w:t>
      </w:r>
      <w:r>
        <w:rPr>
          <w:rFonts w:hint="eastAsia"/>
        </w:rPr>
        <w:t>.深入推进“高效办成一件事”工作。着力推进国家13项“高效办成一件事”重点事项上线应用</w:t>
      </w:r>
      <w:r>
        <w:rPr>
          <w:rFonts w:hint="eastAsia"/>
          <w:lang w:eastAsia="zh-CN"/>
        </w:rPr>
        <w:t>。</w:t>
      </w:r>
      <w:r>
        <w:rPr>
          <w:rFonts w:hint="eastAsia"/>
        </w:rPr>
        <w:t>根据国务院办公厅印发的《“高效办成一件事”2024年度新一批重点事项清单》统筹推进新一批重点事项清单，组织各相关单位对涉及的事项进行梳理，制定施实方案，参照分工对涉及我区“高效办成一件事”明确牵头主管部门和责任部门。加大宣传力度，增加企业群众应用率，在政务服务大厅设置“高效办成一件事”综合办事窗口，实现“一次提交、一网通办”。</w:t>
      </w:r>
    </w:p>
    <w:p>
      <w:pPr>
        <w:pStyle w:val="26"/>
        <w:rPr>
          <w:rFonts w:hint="eastAsia"/>
        </w:rPr>
      </w:pPr>
      <w:r>
        <w:rPr>
          <w:rFonts w:hint="eastAsia"/>
          <w:lang w:val="en-US" w:eastAsia="zh-CN"/>
        </w:rPr>
        <w:t>5</w:t>
      </w:r>
      <w:r>
        <w:rPr>
          <w:rFonts w:hint="eastAsia"/>
        </w:rPr>
        <w:t>.全力做好社会信用体系建设工作。一是加大政务失信排查力度。二是建立“双公示”常态化报送机制</w:t>
      </w:r>
      <w:r>
        <w:rPr>
          <w:rFonts w:hint="eastAsia"/>
          <w:lang w:eastAsia="zh-CN"/>
        </w:rPr>
        <w:t>。</w:t>
      </w:r>
      <w:r>
        <w:rPr>
          <w:rFonts w:hint="eastAsia"/>
        </w:rPr>
        <w:t>三是有序推进企业信用修复</w:t>
      </w:r>
    </w:p>
    <w:p>
      <w:pPr>
        <w:pStyle w:val="26"/>
        <w:rPr>
          <w:rFonts w:hint="eastAsia"/>
        </w:rPr>
      </w:pPr>
      <w:r>
        <w:rPr>
          <w:rFonts w:hint="eastAsia"/>
          <w:lang w:val="en-US" w:eastAsia="zh-CN"/>
        </w:rPr>
        <w:t>6</w:t>
      </w:r>
      <w:r>
        <w:rPr>
          <w:rFonts w:hint="eastAsia"/>
        </w:rPr>
        <w:t>.推进政务服务“综合窗口”改革。区政务服务中心统筹将窗口受理、前端导引、帮办代办等公共服务工作外包，择优引进政务服务专业化团队，提供引导咨询服务、帮办代办服务、跨区通办服务等多种服务，拓宽“视频帮办”“在线帮办”“电话帮办”“手语帮办”等多种服务场景，积极推行“早晚弹性办、午间不间断、周末不打烊”。</w:t>
      </w:r>
    </w:p>
    <w:p>
      <w:pPr>
        <w:pStyle w:val="26"/>
      </w:pPr>
      <w:r>
        <w:rPr>
          <w:rFonts w:ascii="Times New Roman" w:hAnsi="Times New Roman" w:eastAsia="方正仿宋_GBK" w:cs="Times New Roman"/>
          <w:color w:val="000000"/>
          <w:sz w:val="28"/>
        </w:rPr>
        <w:t>（三）工作保障措施</w:t>
      </w:r>
    </w:p>
    <w:p>
      <w:pPr>
        <w:pStyle w:val="27"/>
      </w:pPr>
      <w:r>
        <w:t>莲池区行政审批局</w:t>
      </w:r>
    </w:p>
    <w:p>
      <w:pPr>
        <w:pStyle w:val="27"/>
      </w:pPr>
      <w:r>
        <w:t>工作保障措施</w:t>
      </w:r>
    </w:p>
    <w:p>
      <w:pPr>
        <w:pStyle w:val="27"/>
        <w:rPr>
          <w:rFonts w:hint="eastAsia"/>
        </w:rPr>
      </w:pPr>
      <w:r>
        <w:rPr>
          <w:rFonts w:hint="eastAsia" w:ascii="Times New Roman" w:hAnsi="Times New Roman" w:cs="Times New Roman"/>
          <w:lang w:val="en-US" w:eastAsia="zh-CN"/>
        </w:rPr>
        <w:t>1</w:t>
      </w:r>
      <w:r>
        <w:rPr>
          <w:rFonts w:hint="eastAsia" w:ascii="Times New Roman" w:hAnsi="Times New Roman" w:cs="Times New Roman"/>
        </w:rPr>
        <w:t>.聚精会神抓</w:t>
      </w:r>
      <w:r>
        <w:rPr>
          <w:rFonts w:hint="eastAsia"/>
        </w:rPr>
        <w:t>好政务服务环境。</w:t>
      </w:r>
      <w:r>
        <w:rPr>
          <w:rFonts w:hint="eastAsia"/>
          <w:lang w:val="en-US" w:eastAsia="zh-CN"/>
        </w:rPr>
        <w:t>一是加强</w:t>
      </w:r>
      <w:r>
        <w:rPr>
          <w:rFonts w:hint="eastAsia"/>
        </w:rPr>
        <w:t>政务服务“应进必进”事项进驻工作</w:t>
      </w:r>
      <w:r>
        <w:rPr>
          <w:rFonts w:hint="eastAsia"/>
          <w:lang w:val="en-US" w:eastAsia="zh-CN"/>
        </w:rPr>
        <w:t>管理</w:t>
      </w:r>
      <w:r>
        <w:rPr>
          <w:rFonts w:hint="eastAsia"/>
        </w:rPr>
        <w:t>。全面完成政务服务“应进必进”事项进驻工作，所有应纳入政务服务的项目已全部进驻到服务大厅，为群众提供一站式服务。</w:t>
      </w:r>
      <w:r>
        <w:rPr>
          <w:rFonts w:hint="eastAsia"/>
          <w:lang w:val="en-US" w:eastAsia="zh-CN"/>
        </w:rPr>
        <w:t>二是</w:t>
      </w:r>
      <w:r>
        <w:rPr>
          <w:rFonts w:hint="eastAsia"/>
        </w:rPr>
        <w:t>进一步科学优化设置窗口。以“只进一门、一窗受理、一次办好”为目标，设置“快捷即办窗口”，对程序简单、标准明确的事项当场办结；设置“跨区通办窗口”，网上提交实现异地办和省级事项区内受理。积极推行“早晚弹性办、午间不间断、周末不打烊”延时服务，设置“办不成事反映窗口”，为企业群众提供办事咨询引导、数字帮办、视频指导等全流程保姆式服务，最大程度地满足企业群众需求。</w:t>
      </w:r>
      <w:r>
        <w:rPr>
          <w:rFonts w:hint="eastAsia"/>
          <w:lang w:val="en-US" w:eastAsia="zh-CN"/>
        </w:rPr>
        <w:t>三是</w:t>
      </w:r>
      <w:r>
        <w:rPr>
          <w:rFonts w:hint="eastAsia"/>
        </w:rPr>
        <w:t>推进政务服务“综合窗口”改革。全力打造“依规办事不求人、方便快捷少跑腿”的一流政务服务环境。构建“前台综合受理、后台分类审批、统一窗口出件”服务新模式，让企业和群众“只进一门，只到一窗，只跑一次”就能顺利办成事。</w:t>
      </w:r>
      <w:r>
        <w:rPr>
          <w:rFonts w:hint="eastAsia"/>
          <w:lang w:val="en-US" w:eastAsia="zh-CN"/>
        </w:rPr>
        <w:t>四是</w:t>
      </w:r>
      <w:r>
        <w:rPr>
          <w:rFonts w:hint="eastAsia"/>
        </w:rPr>
        <w:t>加大政务失信排查力度</w:t>
      </w:r>
      <w:r>
        <w:rPr>
          <w:rFonts w:hint="eastAsia"/>
          <w:lang w:eastAsia="zh-CN"/>
        </w:rPr>
        <w:t>，</w:t>
      </w:r>
      <w:r>
        <w:rPr>
          <w:rFonts w:hint="eastAsia"/>
        </w:rPr>
        <w:t>建立“双公示”常态化报送机制</w:t>
      </w:r>
      <w:r>
        <w:rPr>
          <w:rFonts w:hint="eastAsia"/>
          <w:lang w:eastAsia="zh-CN"/>
        </w:rPr>
        <w:t>，</w:t>
      </w:r>
      <w:r>
        <w:rPr>
          <w:rFonts w:hint="eastAsia"/>
        </w:rPr>
        <w:t>有序推进企业信用修复。</w:t>
      </w:r>
    </w:p>
    <w:p>
      <w:pPr>
        <w:pStyle w:val="27"/>
        <w:rPr>
          <w:rFonts w:ascii="黑体" w:hAnsi="黑体" w:eastAsia="黑体" w:cs="黑体"/>
          <w:color w:val="000000"/>
          <w:sz w:val="32"/>
        </w:rPr>
        <w:sectPr>
          <w:pgSz w:w="16840" w:h="11900" w:orient="landscape"/>
          <w:pgMar w:top="1361" w:right="1020" w:bottom="1361" w:left="1020" w:header="720" w:footer="720" w:gutter="0"/>
        </w:sectPr>
      </w:pPr>
      <w:r>
        <w:rPr>
          <w:rFonts w:hint="eastAsia" w:ascii="Times New Roman" w:hAnsi="Times New Roman" w:cs="Times New Roman"/>
          <w:lang w:val="en-US" w:eastAsia="zh-CN"/>
        </w:rPr>
        <w:t>2</w:t>
      </w:r>
      <w:r>
        <w:rPr>
          <w:rFonts w:hint="eastAsia" w:ascii="Times New Roman" w:hAnsi="Times New Roman" w:cs="Times New Roman"/>
        </w:rPr>
        <w:t>.</w:t>
      </w:r>
      <w:r>
        <w:rPr>
          <w:rFonts w:hint="eastAsia"/>
        </w:rPr>
        <w:t>多措并举，持续正风肃纪。</w:t>
      </w:r>
      <w:r>
        <w:rPr>
          <w:rFonts w:hint="eastAsia"/>
          <w:lang w:val="en-US" w:eastAsia="zh-CN"/>
        </w:rPr>
        <w:t>一是</w:t>
      </w:r>
      <w:r>
        <w:rPr>
          <w:rFonts w:hint="eastAsia"/>
        </w:rPr>
        <w:t>推进政务服务中心上档升级。不断完善政务大厅功能分区设置，高标准建设功能完善、设施齐备、便民利企的自助咨询、企业开办、工程项目改革等专区。优化综合受理窗口设置、出证窗口设置、人员配置及运行流程，提升窗口综合服务效能和窗口满意率。积极推行线上办、预约办、帮代办、“不打烊”等服务模式，对企业群众关注度较高的事项领域及重点工程设置“绿色通道”，提供优质服务。</w:t>
      </w:r>
      <w:r>
        <w:rPr>
          <w:rFonts w:hint="eastAsia"/>
          <w:lang w:val="en-US" w:eastAsia="zh-CN"/>
        </w:rPr>
        <w:t>二是</w:t>
      </w:r>
      <w:r>
        <w:rPr>
          <w:rFonts w:hint="eastAsia"/>
        </w:rPr>
        <w:t>建立健全审批监管机制。通过建立短信平台、办不成请您“码上说”二维码、设立投诉举报箱、聘请企业和群众监督员等多种方式，随时倾听办事群众意见建议，倒服务窗口的质量效能提升。</w:t>
      </w:r>
      <w:r>
        <w:rPr>
          <w:rFonts w:hint="eastAsia"/>
          <w:lang w:val="en-US" w:eastAsia="zh-CN"/>
        </w:rPr>
        <w:t>三是</w:t>
      </w:r>
      <w:r>
        <w:rPr>
          <w:rFonts w:hint="eastAsia"/>
        </w:rPr>
        <w:t>推进政务服务“好差评”。认真做好国家一体化政务服务平台投诉、12345政府服务热线及日常投诉差评处理工作，向社会公开监督举报电话和办不成事请您“码上说”二维码，多渠道收集市场主体和群众意见建议，自觉接受社会监督，及时整改，倒逼服务效能提升，不断提升投诉差评处理的响应率、解决率和满意率。推动政务服务“好差评”评价“二维码”向乡（镇）街道和村（社区）综合服务站延伸，不断拓展评价覆盖率</w:t>
      </w:r>
      <w:r>
        <w:rPr>
          <w:rFonts w:hint="eastAsia"/>
          <w:lang w:eastAsia="zh-CN"/>
        </w:rPr>
        <w:t>。</w:t>
      </w:r>
    </w:p>
    <w:p>
      <w:pPr>
        <w:spacing w:before="0" w:after="0"/>
        <w:ind w:firstLine="560"/>
        <w:jc w:val="left"/>
        <w:outlineLvl w:val="9"/>
      </w:pPr>
      <w:r>
        <w:rPr>
          <w:rFonts w:ascii="方正仿宋_GBK" w:hAnsi="方正仿宋_GBK" w:eastAsia="方正仿宋_GBK" w:cs="方正仿宋_GBK"/>
          <w:b/>
          <w:color w:val="000000"/>
          <w:sz w:val="28"/>
        </w:rPr>
        <w:t>1、2025年执照、许可证购买经费绩效目标表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13060625P00504310111D</w:t>
            </w:r>
          </w:p>
        </w:tc>
        <w:tc>
          <w:tcPr>
            <w:tcW w:w="2835" w:type="dxa"/>
            <w:vAlign w:val="center"/>
          </w:tcPr>
          <w:p>
            <w:pPr>
              <w:pStyle w:val="14"/>
            </w:pPr>
            <w:r>
              <w:t>项目名称</w:t>
            </w:r>
          </w:p>
        </w:tc>
        <w:tc>
          <w:tcPr>
            <w:tcW w:w="6095" w:type="dxa"/>
            <w:gridSpan w:val="3"/>
            <w:vAlign w:val="center"/>
          </w:tcPr>
          <w:p>
            <w:pPr>
              <w:pStyle w:val="16"/>
            </w:pPr>
            <w:r>
              <w:t>2025年执照、许可证购买经费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10.00</w:t>
            </w:r>
          </w:p>
        </w:tc>
        <w:tc>
          <w:tcPr>
            <w:tcW w:w="2835" w:type="dxa"/>
            <w:vAlign w:val="center"/>
          </w:tcPr>
          <w:p>
            <w:pPr>
              <w:pStyle w:val="14"/>
            </w:pPr>
            <w:r>
              <w:t>其中：财政    资金</w:t>
            </w:r>
          </w:p>
        </w:tc>
        <w:tc>
          <w:tcPr>
            <w:tcW w:w="2551" w:type="dxa"/>
            <w:vAlign w:val="center"/>
          </w:tcPr>
          <w:p>
            <w:pPr>
              <w:pStyle w:val="16"/>
            </w:pPr>
            <w:r>
              <w:t>10.00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2025年执照、许可证购买经费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50%</w:t>
            </w:r>
          </w:p>
        </w:tc>
        <w:tc>
          <w:tcPr>
            <w:tcW w:w="2835" w:type="dxa"/>
            <w:vAlign w:val="center"/>
          </w:tcPr>
          <w:p>
            <w:pPr>
              <w:pStyle w:val="17"/>
            </w:pPr>
            <w:r>
              <w:t>100%</w:t>
            </w:r>
          </w:p>
        </w:tc>
        <w:tc>
          <w:tcPr>
            <w:tcW w:w="2551" w:type="dxa"/>
            <w:vAlign w:val="center"/>
          </w:tcPr>
          <w:p>
            <w:pPr>
              <w:pStyle w:val="17"/>
            </w:pPr>
            <w:r>
              <w:t xml:space="preserve"> </w:t>
            </w:r>
          </w:p>
        </w:tc>
        <w:tc>
          <w:tcPr>
            <w:tcW w:w="3544" w:type="dxa"/>
            <w:gridSpan w:val="2"/>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1.保障机关正常运转，服务于机关全年目标任务。</w:t>
            </w:r>
            <w:r>
              <w:tab/>
            </w:r>
            <w:r>
              <w:tab/>
            </w:r>
            <w:r>
              <w:tab/>
            </w:r>
          </w:p>
          <w:p>
            <w:pPr>
              <w:pStyle w:val="16"/>
            </w:pPr>
          </w:p>
          <w:p>
            <w:pPr>
              <w:pStyle w:val="16"/>
            </w:pPr>
            <w:r>
              <w:t>2.进一步提高政务服务质量，规范区政务服务中心标准化建设，为群众免费办理各类经营许可证照，提供便民利企的办事平台。</w:t>
            </w:r>
            <w:r>
              <w:tab/>
            </w:r>
            <w:r>
              <w:tab/>
            </w:r>
            <w:r>
              <w:tab/>
            </w:r>
            <w:r>
              <w:tab/>
            </w:r>
            <w:r>
              <w:tab/>
            </w:r>
            <w:r>
              <w:tab/>
            </w:r>
          </w:p>
          <w:p>
            <w:pPr>
              <w:pStyle w:val="16"/>
            </w:pP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工作日保障单位运转</w:t>
            </w:r>
          </w:p>
        </w:tc>
        <w:tc>
          <w:tcPr>
            <w:tcW w:w="5386" w:type="dxa"/>
            <w:vAlign w:val="center"/>
          </w:tcPr>
          <w:p>
            <w:pPr>
              <w:pStyle w:val="16"/>
            </w:pPr>
            <w:r>
              <w:t>各类执照许可发放</w:t>
            </w:r>
          </w:p>
        </w:tc>
        <w:tc>
          <w:tcPr>
            <w:tcW w:w="2268" w:type="dxa"/>
            <w:vAlign w:val="center"/>
          </w:tcPr>
          <w:p>
            <w:pPr>
              <w:pStyle w:val="16"/>
            </w:pPr>
            <w:r>
              <w:t>≥100百分比</w:t>
            </w:r>
          </w:p>
        </w:tc>
        <w:tc>
          <w:tcPr>
            <w:tcW w:w="1276" w:type="dxa"/>
            <w:vAlign w:val="center"/>
          </w:tcPr>
          <w:p>
            <w:pPr>
              <w:pStyle w:val="16"/>
            </w:pPr>
            <w:r>
              <w:t xml:space="preserve"> 行业历史标准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p>
        </w:tc>
        <w:tc>
          <w:tcPr>
            <w:tcW w:w="5386" w:type="dxa"/>
            <w:vAlign w:val="center"/>
          </w:tcPr>
          <w:p>
            <w:pPr>
              <w:pStyle w:val="16"/>
            </w:pPr>
            <w:r>
              <w:t>按照经费性质分类支出</w:t>
            </w:r>
          </w:p>
        </w:tc>
        <w:tc>
          <w:tcPr>
            <w:tcW w:w="2268" w:type="dxa"/>
            <w:vAlign w:val="center"/>
          </w:tcPr>
          <w:p>
            <w:pPr>
              <w:pStyle w:val="16"/>
            </w:pPr>
            <w:r>
              <w:t>≥95百分比</w:t>
            </w:r>
          </w:p>
        </w:tc>
        <w:tc>
          <w:tcPr>
            <w:tcW w:w="1276" w:type="dxa"/>
            <w:vAlign w:val="center"/>
          </w:tcPr>
          <w:p>
            <w:pPr>
              <w:pStyle w:val="16"/>
            </w:pPr>
            <w:r>
              <w:t xml:space="preserve"> 行业历史标准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支出及时率</w:t>
            </w:r>
          </w:p>
        </w:tc>
        <w:tc>
          <w:tcPr>
            <w:tcW w:w="5386" w:type="dxa"/>
            <w:vAlign w:val="center"/>
          </w:tcPr>
          <w:p>
            <w:pPr>
              <w:pStyle w:val="16"/>
            </w:pPr>
            <w:r>
              <w:t>按时间进度要求支付使用资金</w:t>
            </w:r>
          </w:p>
        </w:tc>
        <w:tc>
          <w:tcPr>
            <w:tcW w:w="2268" w:type="dxa"/>
            <w:vAlign w:val="center"/>
          </w:tcPr>
          <w:p>
            <w:pPr>
              <w:pStyle w:val="16"/>
            </w:pPr>
            <w:r>
              <w:t>100百分比</w:t>
            </w:r>
          </w:p>
        </w:tc>
        <w:tc>
          <w:tcPr>
            <w:tcW w:w="1276" w:type="dxa"/>
            <w:vAlign w:val="center"/>
          </w:tcPr>
          <w:p>
            <w:pPr>
              <w:pStyle w:val="16"/>
            </w:pPr>
            <w:r>
              <w:t xml:space="preserve"> 行业历史标准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预算成本支出数</w:t>
            </w:r>
          </w:p>
        </w:tc>
        <w:tc>
          <w:tcPr>
            <w:tcW w:w="5386" w:type="dxa"/>
            <w:vAlign w:val="center"/>
          </w:tcPr>
          <w:p>
            <w:pPr>
              <w:pStyle w:val="16"/>
            </w:pPr>
            <w:r>
              <w:t>项目预算执行情况</w:t>
            </w:r>
          </w:p>
        </w:tc>
        <w:tc>
          <w:tcPr>
            <w:tcW w:w="2268" w:type="dxa"/>
            <w:vAlign w:val="center"/>
          </w:tcPr>
          <w:p>
            <w:pPr>
              <w:pStyle w:val="16"/>
            </w:pPr>
            <w:r>
              <w:t>≤100百分比</w:t>
            </w:r>
          </w:p>
        </w:tc>
        <w:tc>
          <w:tcPr>
            <w:tcW w:w="1276" w:type="dxa"/>
            <w:vAlign w:val="center"/>
          </w:tcPr>
          <w:p>
            <w:pPr>
              <w:pStyle w:val="16"/>
            </w:pPr>
            <w:r>
              <w:t xml:space="preserve"> 行业历史标准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正常办公条件保障情况</w:t>
            </w:r>
          </w:p>
        </w:tc>
        <w:tc>
          <w:tcPr>
            <w:tcW w:w="5386" w:type="dxa"/>
            <w:vAlign w:val="center"/>
          </w:tcPr>
          <w:p>
            <w:pPr>
              <w:pStyle w:val="16"/>
            </w:pPr>
            <w:r>
              <w:t>保障办公物资需求，改善办公条件</w:t>
            </w:r>
          </w:p>
        </w:tc>
        <w:tc>
          <w:tcPr>
            <w:tcW w:w="2268" w:type="dxa"/>
            <w:vAlign w:val="center"/>
          </w:tcPr>
          <w:p>
            <w:pPr>
              <w:pStyle w:val="16"/>
            </w:pPr>
            <w:r>
              <w:t>≥100百分比</w:t>
            </w:r>
          </w:p>
        </w:tc>
        <w:tc>
          <w:tcPr>
            <w:tcW w:w="1276" w:type="dxa"/>
            <w:vAlign w:val="center"/>
          </w:tcPr>
          <w:p>
            <w:pPr>
              <w:pStyle w:val="16"/>
            </w:pPr>
            <w:r>
              <w:t xml:space="preserve"> 行业历史标准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发挥财政资金使用效益</w:t>
            </w:r>
          </w:p>
        </w:tc>
        <w:tc>
          <w:tcPr>
            <w:tcW w:w="5386" w:type="dxa"/>
            <w:vAlign w:val="center"/>
          </w:tcPr>
          <w:p>
            <w:pPr>
              <w:pStyle w:val="16"/>
            </w:pPr>
            <w:r>
              <w:t>财政资金使用情况</w:t>
            </w:r>
          </w:p>
        </w:tc>
        <w:tc>
          <w:tcPr>
            <w:tcW w:w="2268" w:type="dxa"/>
            <w:vAlign w:val="center"/>
          </w:tcPr>
          <w:p>
            <w:pPr>
              <w:pStyle w:val="16"/>
            </w:pPr>
            <w:r>
              <w:t>100百分比</w:t>
            </w:r>
          </w:p>
        </w:tc>
        <w:tc>
          <w:tcPr>
            <w:tcW w:w="1276" w:type="dxa"/>
            <w:vAlign w:val="center"/>
          </w:tcPr>
          <w:p>
            <w:pPr>
              <w:pStyle w:val="16"/>
            </w:pPr>
            <w:r>
              <w:t xml:space="preserve"> 行业历史标准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使用节能减排产品使用率</w:t>
            </w:r>
          </w:p>
        </w:tc>
        <w:tc>
          <w:tcPr>
            <w:tcW w:w="5386" w:type="dxa"/>
            <w:vAlign w:val="center"/>
          </w:tcPr>
          <w:p>
            <w:pPr>
              <w:pStyle w:val="16"/>
            </w:pPr>
            <w:r>
              <w:t>响应节能减排号召</w:t>
            </w:r>
          </w:p>
        </w:tc>
        <w:tc>
          <w:tcPr>
            <w:tcW w:w="2268" w:type="dxa"/>
            <w:vAlign w:val="center"/>
          </w:tcPr>
          <w:p>
            <w:pPr>
              <w:pStyle w:val="16"/>
            </w:pPr>
            <w:r>
              <w:t>≥90百分比</w:t>
            </w:r>
          </w:p>
        </w:tc>
        <w:tc>
          <w:tcPr>
            <w:tcW w:w="1276" w:type="dxa"/>
            <w:vAlign w:val="center"/>
          </w:tcPr>
          <w:p>
            <w:pPr>
              <w:pStyle w:val="16"/>
            </w:pPr>
            <w:r>
              <w:t xml:space="preserve"> 行业历史标准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综合业务工作可持续性</w:t>
            </w:r>
          </w:p>
        </w:tc>
        <w:tc>
          <w:tcPr>
            <w:tcW w:w="5386" w:type="dxa"/>
            <w:vAlign w:val="center"/>
          </w:tcPr>
          <w:p>
            <w:pPr>
              <w:pStyle w:val="16"/>
            </w:pPr>
            <w:r>
              <w:t>综合业务工作可持续性</w:t>
            </w:r>
          </w:p>
        </w:tc>
        <w:tc>
          <w:tcPr>
            <w:tcW w:w="2268" w:type="dxa"/>
            <w:vAlign w:val="center"/>
          </w:tcPr>
          <w:p>
            <w:pPr>
              <w:pStyle w:val="16"/>
            </w:pPr>
            <w:r>
              <w:t>≥100百分比</w:t>
            </w:r>
          </w:p>
        </w:tc>
        <w:tc>
          <w:tcPr>
            <w:tcW w:w="1276" w:type="dxa"/>
            <w:vAlign w:val="center"/>
          </w:tcPr>
          <w:p>
            <w:pPr>
              <w:pStyle w:val="16"/>
            </w:pPr>
            <w:r>
              <w:t xml:space="preserve"> 行业历史标准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单位工作人员满意率</w:t>
            </w:r>
          </w:p>
        </w:tc>
        <w:tc>
          <w:tcPr>
            <w:tcW w:w="5386" w:type="dxa"/>
            <w:vAlign w:val="center"/>
          </w:tcPr>
          <w:p>
            <w:pPr>
              <w:pStyle w:val="16"/>
            </w:pPr>
            <w:r>
              <w:t>支出是否达到工作人员满意</w:t>
            </w:r>
          </w:p>
        </w:tc>
        <w:tc>
          <w:tcPr>
            <w:tcW w:w="2268" w:type="dxa"/>
            <w:vAlign w:val="center"/>
          </w:tcPr>
          <w:p>
            <w:pPr>
              <w:pStyle w:val="16"/>
            </w:pPr>
            <w:r>
              <w:t>≥90百分比</w:t>
            </w:r>
          </w:p>
        </w:tc>
        <w:tc>
          <w:tcPr>
            <w:tcW w:w="1276" w:type="dxa"/>
            <w:vAlign w:val="center"/>
          </w:tcPr>
          <w:p>
            <w:pPr>
              <w:pStyle w:val="16"/>
            </w:pPr>
            <w:r>
              <w:t xml:space="preserve"> 行业历史标准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2、综合业务经费绩效目标表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13060625P00504310119A</w:t>
            </w:r>
          </w:p>
        </w:tc>
        <w:tc>
          <w:tcPr>
            <w:tcW w:w="2835" w:type="dxa"/>
            <w:vAlign w:val="center"/>
          </w:tcPr>
          <w:p>
            <w:pPr>
              <w:pStyle w:val="14"/>
            </w:pPr>
            <w:r>
              <w:t>项目名称</w:t>
            </w:r>
          </w:p>
        </w:tc>
        <w:tc>
          <w:tcPr>
            <w:tcW w:w="6095" w:type="dxa"/>
            <w:gridSpan w:val="3"/>
            <w:vAlign w:val="center"/>
          </w:tcPr>
          <w:p>
            <w:pPr>
              <w:pStyle w:val="16"/>
            </w:pPr>
            <w:r>
              <w:t>综合业务经费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25.00</w:t>
            </w:r>
          </w:p>
        </w:tc>
        <w:tc>
          <w:tcPr>
            <w:tcW w:w="2835" w:type="dxa"/>
            <w:vAlign w:val="center"/>
          </w:tcPr>
          <w:p>
            <w:pPr>
              <w:pStyle w:val="14"/>
            </w:pPr>
            <w:r>
              <w:t>其中：财政    资金</w:t>
            </w:r>
          </w:p>
        </w:tc>
        <w:tc>
          <w:tcPr>
            <w:tcW w:w="2551" w:type="dxa"/>
            <w:vAlign w:val="center"/>
          </w:tcPr>
          <w:p>
            <w:pPr>
              <w:pStyle w:val="16"/>
            </w:pPr>
            <w:r>
              <w:t>25.00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综合业务经费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50%</w:t>
            </w:r>
          </w:p>
        </w:tc>
        <w:tc>
          <w:tcPr>
            <w:tcW w:w="2835" w:type="dxa"/>
            <w:vAlign w:val="center"/>
          </w:tcPr>
          <w:p>
            <w:pPr>
              <w:pStyle w:val="17"/>
            </w:pPr>
            <w:r>
              <w:t>100%</w:t>
            </w:r>
          </w:p>
        </w:tc>
        <w:tc>
          <w:tcPr>
            <w:tcW w:w="2551" w:type="dxa"/>
            <w:vAlign w:val="center"/>
          </w:tcPr>
          <w:p>
            <w:pPr>
              <w:pStyle w:val="17"/>
            </w:pPr>
            <w:r>
              <w:t xml:space="preserve"> </w:t>
            </w:r>
          </w:p>
        </w:tc>
        <w:tc>
          <w:tcPr>
            <w:tcW w:w="3544" w:type="dxa"/>
            <w:gridSpan w:val="2"/>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1."保障机关正常运转，服务于机关全年目标任务。</w:t>
            </w:r>
            <w:r>
              <w:tab/>
            </w:r>
            <w:r>
              <w:tab/>
            </w:r>
            <w:r>
              <w:tab/>
            </w:r>
            <w:r>
              <w:tab/>
            </w:r>
            <w:r>
              <w:tab/>
            </w:r>
            <w:r>
              <w:tab/>
            </w:r>
          </w:p>
          <w:p>
            <w:pPr>
              <w:pStyle w:val="16"/>
            </w:pPr>
            <w:r>
              <w:t>"</w:t>
            </w:r>
            <w:r>
              <w:tab/>
            </w:r>
            <w:r>
              <w:tab/>
            </w:r>
            <w:r>
              <w:tab/>
            </w:r>
            <w:r>
              <w:tab/>
            </w:r>
            <w:r>
              <w:tab/>
            </w:r>
            <w:r>
              <w:tab/>
            </w:r>
          </w:p>
          <w:p>
            <w:pPr>
              <w:pStyle w:val="16"/>
            </w:pPr>
          </w:p>
          <w:p>
            <w:pPr>
              <w:pStyle w:val="16"/>
            </w:pPr>
            <w:r>
              <w:t>2.合理安排财政资金支出计划，遵循单位财务规章制度，在预算内按进度支出。</w:t>
            </w:r>
            <w:r>
              <w:tab/>
            </w:r>
            <w:r>
              <w:tab/>
            </w:r>
            <w:r>
              <w:tab/>
            </w:r>
            <w:r>
              <w:tab/>
            </w:r>
            <w:r>
              <w:tab/>
            </w:r>
            <w:r>
              <w:tab/>
            </w:r>
          </w:p>
          <w:p>
            <w:pPr>
              <w:pStyle w:val="16"/>
            </w:pPr>
            <w:r>
              <w:t>"</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工作日保障单位运转</w:t>
            </w:r>
          </w:p>
        </w:tc>
        <w:tc>
          <w:tcPr>
            <w:tcW w:w="5386" w:type="dxa"/>
            <w:vAlign w:val="center"/>
          </w:tcPr>
          <w:p>
            <w:pPr>
              <w:pStyle w:val="16"/>
            </w:pPr>
            <w:r>
              <w:t>工作日工作时间</w:t>
            </w:r>
          </w:p>
        </w:tc>
        <w:tc>
          <w:tcPr>
            <w:tcW w:w="2268" w:type="dxa"/>
            <w:vAlign w:val="center"/>
          </w:tcPr>
          <w:p>
            <w:pPr>
              <w:pStyle w:val="16"/>
            </w:pPr>
            <w:r>
              <w:t>≥8小时</w:t>
            </w:r>
          </w:p>
        </w:tc>
        <w:tc>
          <w:tcPr>
            <w:tcW w:w="1276" w:type="dxa"/>
            <w:vAlign w:val="center"/>
          </w:tcPr>
          <w:p>
            <w:pPr>
              <w:pStyle w:val="16"/>
            </w:pPr>
            <w:r>
              <w:t>行政事业单位法定工作时间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p>
        </w:tc>
        <w:tc>
          <w:tcPr>
            <w:tcW w:w="5386" w:type="dxa"/>
            <w:vAlign w:val="center"/>
          </w:tcPr>
          <w:p>
            <w:pPr>
              <w:pStyle w:val="16"/>
            </w:pPr>
            <w:r>
              <w:t>按照经费性质分类支出</w:t>
            </w:r>
          </w:p>
        </w:tc>
        <w:tc>
          <w:tcPr>
            <w:tcW w:w="2268" w:type="dxa"/>
            <w:vAlign w:val="center"/>
          </w:tcPr>
          <w:p>
            <w:pPr>
              <w:pStyle w:val="16"/>
            </w:pPr>
            <w:r>
              <w:t>≥100百分比</w:t>
            </w:r>
          </w:p>
        </w:tc>
        <w:tc>
          <w:tcPr>
            <w:tcW w:w="1276" w:type="dxa"/>
            <w:vAlign w:val="center"/>
          </w:tcPr>
          <w:p>
            <w:pPr>
              <w:pStyle w:val="16"/>
            </w:pPr>
            <w:r>
              <w:t>符合财务管理制度和内控要求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按时间进度要求支付使用资金</w:t>
            </w:r>
          </w:p>
        </w:tc>
        <w:tc>
          <w:tcPr>
            <w:tcW w:w="5386" w:type="dxa"/>
            <w:vAlign w:val="center"/>
          </w:tcPr>
          <w:p>
            <w:pPr>
              <w:pStyle w:val="16"/>
            </w:pPr>
            <w:r>
              <w:t>按时间进度要求支付使用资金</w:t>
            </w:r>
          </w:p>
        </w:tc>
        <w:tc>
          <w:tcPr>
            <w:tcW w:w="2268" w:type="dxa"/>
            <w:vAlign w:val="center"/>
          </w:tcPr>
          <w:p>
            <w:pPr>
              <w:pStyle w:val="16"/>
            </w:pPr>
            <w:r>
              <w:t>≥100百分比</w:t>
            </w:r>
          </w:p>
        </w:tc>
        <w:tc>
          <w:tcPr>
            <w:tcW w:w="1276" w:type="dxa"/>
            <w:vAlign w:val="center"/>
          </w:tcPr>
          <w:p>
            <w:pPr>
              <w:pStyle w:val="16"/>
            </w:pPr>
            <w:r>
              <w:t>支出进度要求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各项经费成本</w:t>
            </w:r>
          </w:p>
        </w:tc>
        <w:tc>
          <w:tcPr>
            <w:tcW w:w="5386" w:type="dxa"/>
            <w:vAlign w:val="center"/>
          </w:tcPr>
          <w:p>
            <w:pPr>
              <w:pStyle w:val="16"/>
            </w:pPr>
            <w:r>
              <w:t>按照经费标准支出</w:t>
            </w:r>
          </w:p>
        </w:tc>
        <w:tc>
          <w:tcPr>
            <w:tcW w:w="2268" w:type="dxa"/>
            <w:vAlign w:val="center"/>
          </w:tcPr>
          <w:p>
            <w:pPr>
              <w:pStyle w:val="16"/>
            </w:pPr>
            <w:r>
              <w:t>≤25万元</w:t>
            </w:r>
          </w:p>
        </w:tc>
        <w:tc>
          <w:tcPr>
            <w:tcW w:w="1276" w:type="dxa"/>
            <w:vAlign w:val="center"/>
          </w:tcPr>
          <w:p>
            <w:pPr>
              <w:pStyle w:val="16"/>
            </w:pPr>
            <w:r>
              <w:t>行政、事业人均标准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正常办公条件保障情况</w:t>
            </w:r>
          </w:p>
        </w:tc>
        <w:tc>
          <w:tcPr>
            <w:tcW w:w="5386" w:type="dxa"/>
            <w:vAlign w:val="center"/>
          </w:tcPr>
          <w:p>
            <w:pPr>
              <w:pStyle w:val="16"/>
            </w:pPr>
            <w:r>
              <w:t>保障办公物资需求，改善办公条件</w:t>
            </w:r>
          </w:p>
        </w:tc>
        <w:tc>
          <w:tcPr>
            <w:tcW w:w="2268" w:type="dxa"/>
            <w:vAlign w:val="center"/>
          </w:tcPr>
          <w:p>
            <w:pPr>
              <w:pStyle w:val="16"/>
            </w:pPr>
            <w:r>
              <w:t>≥90百分比</w:t>
            </w:r>
          </w:p>
        </w:tc>
        <w:tc>
          <w:tcPr>
            <w:tcW w:w="1276" w:type="dxa"/>
            <w:vAlign w:val="center"/>
          </w:tcPr>
          <w:p>
            <w:pPr>
              <w:pStyle w:val="16"/>
            </w:pPr>
            <w:r>
              <w:t>维护机关正常办公秩序，保障公职人员履职需要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发挥财政资金使用效益</w:t>
            </w:r>
          </w:p>
        </w:tc>
        <w:tc>
          <w:tcPr>
            <w:tcW w:w="5386" w:type="dxa"/>
            <w:vAlign w:val="center"/>
          </w:tcPr>
          <w:p>
            <w:pPr>
              <w:pStyle w:val="16"/>
            </w:pPr>
            <w:r>
              <w:t>发挥财政资金使用效益</w:t>
            </w:r>
          </w:p>
        </w:tc>
        <w:tc>
          <w:tcPr>
            <w:tcW w:w="2268" w:type="dxa"/>
            <w:vAlign w:val="center"/>
          </w:tcPr>
          <w:p>
            <w:pPr>
              <w:pStyle w:val="16"/>
            </w:pPr>
            <w:r>
              <w:t>≥100百分比</w:t>
            </w:r>
          </w:p>
        </w:tc>
        <w:tc>
          <w:tcPr>
            <w:tcW w:w="1276" w:type="dxa"/>
            <w:vAlign w:val="center"/>
          </w:tcPr>
          <w:p>
            <w:pPr>
              <w:pStyle w:val="16"/>
            </w:pPr>
            <w:r>
              <w:t>响应“压缩开支，厉行节约”要求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使用节能减排产品</w:t>
            </w:r>
          </w:p>
        </w:tc>
        <w:tc>
          <w:tcPr>
            <w:tcW w:w="5386" w:type="dxa"/>
            <w:vAlign w:val="center"/>
          </w:tcPr>
          <w:p>
            <w:pPr>
              <w:pStyle w:val="16"/>
            </w:pPr>
            <w:r>
              <w:t>响应节能减排号召</w:t>
            </w:r>
          </w:p>
        </w:tc>
        <w:tc>
          <w:tcPr>
            <w:tcW w:w="2268" w:type="dxa"/>
            <w:vAlign w:val="center"/>
          </w:tcPr>
          <w:p>
            <w:pPr>
              <w:pStyle w:val="16"/>
            </w:pPr>
            <w:r>
              <w:t>≥90百分比</w:t>
            </w:r>
          </w:p>
        </w:tc>
        <w:tc>
          <w:tcPr>
            <w:tcW w:w="1276" w:type="dxa"/>
            <w:vAlign w:val="center"/>
          </w:tcPr>
          <w:p>
            <w:pPr>
              <w:pStyle w:val="16"/>
            </w:pPr>
            <w:r>
              <w:t>响应节能减排号召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5386" w:type="dxa"/>
            <w:vAlign w:val="center"/>
          </w:tcPr>
          <w:p>
            <w:pPr>
              <w:pStyle w:val="16"/>
            </w:pPr>
            <w:r>
              <w:t>长期使用性</w:t>
            </w:r>
          </w:p>
        </w:tc>
        <w:tc>
          <w:tcPr>
            <w:tcW w:w="2268" w:type="dxa"/>
            <w:vAlign w:val="center"/>
          </w:tcPr>
          <w:p>
            <w:pPr>
              <w:pStyle w:val="16"/>
            </w:pPr>
            <w:r>
              <w:t>≥90百分比</w:t>
            </w:r>
          </w:p>
        </w:tc>
        <w:tc>
          <w:tcPr>
            <w:tcW w:w="1276" w:type="dxa"/>
            <w:vAlign w:val="center"/>
          </w:tcPr>
          <w:p>
            <w:pPr>
              <w:pStyle w:val="16"/>
            </w:pPr>
            <w:r>
              <w:t>长期使用性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单位工作人员满意率</w:t>
            </w:r>
          </w:p>
        </w:tc>
        <w:tc>
          <w:tcPr>
            <w:tcW w:w="5386" w:type="dxa"/>
            <w:vAlign w:val="center"/>
          </w:tcPr>
          <w:p>
            <w:pPr>
              <w:pStyle w:val="16"/>
            </w:pPr>
            <w:r>
              <w:t>支出是否达到工作人员满意</w:t>
            </w:r>
          </w:p>
        </w:tc>
        <w:tc>
          <w:tcPr>
            <w:tcW w:w="2268" w:type="dxa"/>
            <w:vAlign w:val="center"/>
          </w:tcPr>
          <w:p>
            <w:pPr>
              <w:pStyle w:val="16"/>
            </w:pPr>
            <w:r>
              <w:t>≥95百分比</w:t>
            </w:r>
          </w:p>
        </w:tc>
        <w:tc>
          <w:tcPr>
            <w:tcW w:w="1276" w:type="dxa"/>
            <w:vAlign w:val="center"/>
          </w:tcPr>
          <w:p>
            <w:pPr>
              <w:pStyle w:val="16"/>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851001保定市莲池区行政审批局本级</w:t>
            </w:r>
          </w:p>
        </w:tc>
        <w:tc>
          <w:tcPr>
            <w:tcW w:w="7712"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8" w:type="dxa"/>
            <w:gridSpan w:val="7"/>
            <w:vAlign w:val="center"/>
          </w:tcPr>
          <w:p>
            <w:pPr>
              <w:pStyle w:val="14"/>
            </w:pPr>
            <w:r>
              <w:t>政府采购金额（当年部门预算安排资金）</w:t>
            </w:r>
          </w:p>
        </w:tc>
        <w:tc>
          <w:tcPr>
            <w:tcW w:w="964" w:type="dxa"/>
            <w:vMerge w:val="restart"/>
            <w:vAlign w:val="center"/>
          </w:tcPr>
          <w:p>
            <w:pPr>
              <w:pStyle w:val="14"/>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保定市莲池区行政审批局本级上年末固定资产金额为0.00万元（详见下表）。本年度拟购置固定资产总额为0.00万元，已按要求列入政府采购预算，详见政府采购预算表。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highlight w:val="none"/>
              </w:rPr>
            </w:pPr>
            <w:r>
              <w:rPr>
                <w:highlight w:val="none"/>
              </w:rPr>
              <w:t>851保定市莲池区行政审批局</w:t>
            </w:r>
          </w:p>
        </w:tc>
        <w:tc>
          <w:tcPr>
            <w:tcW w:w="5670" w:type="dxa"/>
            <w:gridSpan w:val="2"/>
            <w:tcBorders>
              <w:top w:val="single" w:color="FFFFFF" w:sz="6" w:space="0"/>
              <w:left w:val="single" w:color="FFFFFF" w:sz="6" w:space="0"/>
              <w:right w:val="single" w:color="FFFFFF" w:sz="6" w:space="0"/>
            </w:tcBorders>
            <w:vAlign w:val="center"/>
          </w:tcPr>
          <w:p>
            <w:pPr>
              <w:pStyle w:val="11"/>
              <w:rPr>
                <w:highlight w:val="none"/>
              </w:rPr>
            </w:pPr>
            <w:r>
              <w:rPr>
                <w:highlight w:val="none"/>
              </w:rPr>
              <w:t>截止时间：202</w:t>
            </w:r>
            <w:r>
              <w:rPr>
                <w:rFonts w:hint="eastAsia"/>
                <w:highlight w:val="none"/>
                <w:lang w:val="en-US" w:eastAsia="zh-CN"/>
              </w:rPr>
              <w:t>4</w:t>
            </w:r>
            <w:r>
              <w:rPr>
                <w:highlight w:val="none"/>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rPr>
                <w:highlight w:val="none"/>
              </w:rPr>
            </w:pPr>
            <w:r>
              <w:rPr>
                <w:highlight w:val="none"/>
              </w:rPr>
              <w:t>项   目</w:t>
            </w:r>
          </w:p>
        </w:tc>
        <w:tc>
          <w:tcPr>
            <w:tcW w:w="2835" w:type="dxa"/>
            <w:vAlign w:val="center"/>
          </w:tcPr>
          <w:p>
            <w:pPr>
              <w:pStyle w:val="14"/>
              <w:rPr>
                <w:highlight w:val="none"/>
              </w:rPr>
            </w:pPr>
            <w:r>
              <w:rPr>
                <w:highlight w:val="none"/>
              </w:rPr>
              <w:t>数量</w:t>
            </w:r>
          </w:p>
        </w:tc>
        <w:tc>
          <w:tcPr>
            <w:tcW w:w="2835" w:type="dxa"/>
            <w:vAlign w:val="center"/>
          </w:tcPr>
          <w:p>
            <w:pPr>
              <w:pStyle w:val="14"/>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jc w:val="center"/>
              <w:rPr>
                <w:rFonts w:cs="宋体" w:asciiTheme="minorEastAsia" w:hAnsiTheme="minorEastAsia"/>
                <w:color w:val="333333"/>
                <w:szCs w:val="21"/>
                <w:highlight w:val="none"/>
              </w:rPr>
            </w:pPr>
            <w:r>
              <w:rPr>
                <w:rFonts w:hint="eastAsia" w:cs="宋体" w:asciiTheme="minorEastAsia" w:hAnsiTheme="minorEastAsia"/>
                <w:b/>
                <w:bCs/>
                <w:color w:val="000000"/>
                <w:szCs w:val="21"/>
                <w:highlight w:val="none"/>
              </w:rPr>
              <w:t>固定资产总额</w:t>
            </w:r>
          </w:p>
        </w:tc>
        <w:tc>
          <w:tcPr>
            <w:tcW w:w="2835" w:type="dxa"/>
            <w:vAlign w:val="center"/>
          </w:tcPr>
          <w:p>
            <w:pPr>
              <w:spacing w:line="312" w:lineRule="atLeast"/>
              <w:ind w:firstLine="480"/>
              <w:jc w:val="center"/>
              <w:rPr>
                <w:rFonts w:cs="宋体" w:asciiTheme="minorEastAsia" w:hAnsiTheme="minorEastAsia"/>
                <w:color w:val="333333"/>
                <w:szCs w:val="21"/>
                <w:highlight w:val="none"/>
              </w:rPr>
            </w:pPr>
            <w:r>
              <w:rPr>
                <w:rFonts w:cs="宋体" w:asciiTheme="minorEastAsia" w:hAnsiTheme="minorEastAsia"/>
                <w:color w:val="000000"/>
                <w:szCs w:val="21"/>
                <w:highlight w:val="none"/>
              </w:rPr>
              <w:t>—</w:t>
            </w:r>
          </w:p>
        </w:tc>
        <w:tc>
          <w:tcPr>
            <w:tcW w:w="2835" w:type="dxa"/>
            <w:vAlign w:val="center"/>
          </w:tcPr>
          <w:p>
            <w:pPr>
              <w:spacing w:line="312" w:lineRule="atLeast"/>
              <w:ind w:firstLine="480"/>
              <w:jc w:val="center"/>
              <w:rPr>
                <w:rFonts w:hint="default" w:eastAsia="宋体" w:cs="宋体" w:asciiTheme="minorEastAsia" w:hAnsiTheme="minorEastAsia"/>
                <w:szCs w:val="21"/>
                <w:highlight w:val="none"/>
                <w:lang w:val="en-US" w:eastAsia="zh-CN"/>
              </w:rPr>
            </w:pPr>
            <w:r>
              <w:rPr>
                <w:rFonts w:hint="eastAsia" w:eastAsia="宋体" w:cs="宋体" w:asciiTheme="minorEastAsia" w:hAnsiTheme="minorEastAsia"/>
                <w:b/>
                <w:bCs/>
                <w:szCs w:val="21"/>
                <w:highlight w:val="none"/>
                <w:lang w:val="en-US" w:eastAsia="zh-CN"/>
              </w:rPr>
              <w:t>142.921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333333"/>
                <w:szCs w:val="21"/>
                <w:highlight w:val="none"/>
              </w:rPr>
            </w:pPr>
            <w:r>
              <w:rPr>
                <w:rFonts w:cs="宋体" w:asciiTheme="minorEastAsia" w:hAnsiTheme="minorEastAsia"/>
                <w:color w:val="000000"/>
                <w:szCs w:val="21"/>
                <w:highlight w:val="none"/>
              </w:rPr>
              <w:t>  1</w:t>
            </w:r>
            <w:r>
              <w:rPr>
                <w:rFonts w:hint="eastAsia" w:cs="宋体" w:asciiTheme="minorEastAsia" w:hAnsiTheme="minorEastAsia"/>
                <w:color w:val="000000"/>
                <w:szCs w:val="21"/>
                <w:highlight w:val="none"/>
              </w:rPr>
              <w:t>、房屋（平方米）</w:t>
            </w:r>
          </w:p>
        </w:tc>
        <w:tc>
          <w:tcPr>
            <w:tcW w:w="2835" w:type="dxa"/>
            <w:vAlign w:val="center"/>
          </w:tcPr>
          <w:p>
            <w:pPr>
              <w:spacing w:line="312" w:lineRule="atLeast"/>
              <w:ind w:firstLine="480"/>
              <w:jc w:val="center"/>
              <w:rPr>
                <w:rFonts w:cs="宋体" w:asciiTheme="minorEastAsia" w:hAnsiTheme="minorEastAsia"/>
                <w:color w:val="333333"/>
                <w:szCs w:val="21"/>
                <w:highlight w:val="none"/>
              </w:rPr>
            </w:pPr>
            <w:r>
              <w:rPr>
                <w:rFonts w:cs="宋体" w:asciiTheme="minorEastAsia" w:hAnsiTheme="minorEastAsia"/>
                <w:color w:val="000000"/>
                <w:szCs w:val="21"/>
                <w:highlight w:val="none"/>
              </w:rPr>
              <w:t>0</w:t>
            </w:r>
          </w:p>
        </w:tc>
        <w:tc>
          <w:tcPr>
            <w:tcW w:w="2835" w:type="dxa"/>
            <w:vAlign w:val="center"/>
          </w:tcPr>
          <w:p>
            <w:pPr>
              <w:spacing w:line="312" w:lineRule="atLeast"/>
              <w:ind w:firstLine="480"/>
              <w:jc w:val="center"/>
              <w:rPr>
                <w:rFonts w:cs="宋体" w:asciiTheme="minorEastAsia" w:hAnsiTheme="minorEastAsia"/>
                <w:szCs w:val="21"/>
                <w:highlight w:val="none"/>
              </w:rPr>
            </w:pPr>
            <w:r>
              <w:rPr>
                <w:rFonts w:cs="宋体" w:asciiTheme="minorEastAsia" w:hAnsiTheme="minorEastAsia"/>
                <w:szCs w:val="21"/>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333333"/>
                <w:szCs w:val="21"/>
                <w:highlight w:val="none"/>
              </w:rPr>
            </w:pPr>
            <w:r>
              <w:rPr>
                <w:rFonts w:cs="宋体" w:asciiTheme="minorEastAsia" w:hAnsiTheme="minorEastAsia"/>
                <w:color w:val="000000"/>
                <w:szCs w:val="21"/>
                <w:highlight w:val="none"/>
              </w:rPr>
              <w:t>   </w:t>
            </w:r>
            <w:r>
              <w:rPr>
                <w:rFonts w:hint="eastAsia" w:cs="宋体" w:asciiTheme="minorEastAsia" w:hAnsiTheme="minorEastAsia"/>
                <w:color w:val="000000"/>
                <w:szCs w:val="21"/>
                <w:highlight w:val="none"/>
              </w:rPr>
              <w:t>其中：办公用房（平方米）</w:t>
            </w:r>
          </w:p>
        </w:tc>
        <w:tc>
          <w:tcPr>
            <w:tcW w:w="2835" w:type="dxa"/>
            <w:vAlign w:val="center"/>
          </w:tcPr>
          <w:p>
            <w:pPr>
              <w:spacing w:line="312" w:lineRule="atLeast"/>
              <w:ind w:firstLine="480"/>
              <w:jc w:val="center"/>
              <w:rPr>
                <w:rFonts w:cs="宋体" w:asciiTheme="minorEastAsia" w:hAnsiTheme="minorEastAsia"/>
                <w:color w:val="333333"/>
                <w:szCs w:val="21"/>
                <w:highlight w:val="none"/>
              </w:rPr>
            </w:pPr>
            <w:r>
              <w:rPr>
                <w:rFonts w:cs="宋体" w:asciiTheme="minorEastAsia" w:hAnsiTheme="minorEastAsia"/>
                <w:color w:val="000000"/>
                <w:szCs w:val="21"/>
                <w:highlight w:val="none"/>
              </w:rPr>
              <w:t>0</w:t>
            </w:r>
          </w:p>
        </w:tc>
        <w:tc>
          <w:tcPr>
            <w:tcW w:w="2835" w:type="dxa"/>
            <w:vAlign w:val="center"/>
          </w:tcPr>
          <w:p>
            <w:pPr>
              <w:spacing w:line="312" w:lineRule="atLeast"/>
              <w:ind w:firstLine="480"/>
              <w:jc w:val="center"/>
              <w:rPr>
                <w:rFonts w:cs="宋体" w:asciiTheme="minorEastAsia" w:hAnsiTheme="minorEastAsia"/>
                <w:szCs w:val="21"/>
                <w:highlight w:val="none"/>
              </w:rPr>
            </w:pPr>
            <w:r>
              <w:rPr>
                <w:rFonts w:cs="宋体" w:asciiTheme="minorEastAsia" w:hAnsiTheme="minorEastAsia"/>
                <w:szCs w:val="21"/>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333333"/>
                <w:szCs w:val="21"/>
                <w:highlight w:val="none"/>
              </w:rPr>
            </w:pPr>
            <w:r>
              <w:rPr>
                <w:rFonts w:cs="宋体" w:asciiTheme="minorEastAsia" w:hAnsiTheme="minorEastAsia"/>
                <w:color w:val="000000"/>
                <w:szCs w:val="21"/>
                <w:highlight w:val="none"/>
              </w:rPr>
              <w:t>  2</w:t>
            </w:r>
            <w:r>
              <w:rPr>
                <w:rFonts w:hint="eastAsia" w:cs="宋体" w:asciiTheme="minorEastAsia" w:hAnsiTheme="minorEastAsia"/>
                <w:color w:val="000000"/>
                <w:szCs w:val="21"/>
                <w:highlight w:val="none"/>
              </w:rPr>
              <w:t>、车辆（台、辆）</w:t>
            </w:r>
          </w:p>
        </w:tc>
        <w:tc>
          <w:tcPr>
            <w:tcW w:w="2835" w:type="dxa"/>
            <w:vAlign w:val="center"/>
          </w:tcPr>
          <w:p>
            <w:pPr>
              <w:spacing w:line="312" w:lineRule="atLeast"/>
              <w:ind w:firstLine="480"/>
              <w:jc w:val="center"/>
              <w:rPr>
                <w:rFonts w:cs="宋体" w:asciiTheme="minorEastAsia" w:hAnsiTheme="minorEastAsia"/>
                <w:color w:val="333333"/>
                <w:szCs w:val="21"/>
                <w:highlight w:val="none"/>
              </w:rPr>
            </w:pPr>
            <w:r>
              <w:rPr>
                <w:rFonts w:hint="eastAsia" w:cs="宋体" w:asciiTheme="minorEastAsia" w:hAnsiTheme="minorEastAsia"/>
                <w:color w:val="000000"/>
                <w:szCs w:val="21"/>
                <w:highlight w:val="none"/>
              </w:rPr>
              <w:t>0</w:t>
            </w:r>
          </w:p>
        </w:tc>
        <w:tc>
          <w:tcPr>
            <w:tcW w:w="2835" w:type="dxa"/>
            <w:vAlign w:val="center"/>
          </w:tcPr>
          <w:p>
            <w:pPr>
              <w:spacing w:line="312" w:lineRule="atLeast"/>
              <w:ind w:firstLine="480"/>
              <w:jc w:val="center"/>
              <w:rPr>
                <w:rFonts w:cs="宋体" w:asciiTheme="minorEastAsia" w:hAnsiTheme="minorEastAsia"/>
                <w:szCs w:val="21"/>
                <w:highlight w:val="none"/>
              </w:rPr>
            </w:pPr>
            <w:r>
              <w:rPr>
                <w:rFonts w:hint="eastAsia" w:cs="宋体" w:asciiTheme="minorEastAsia" w:hAnsiTheme="minorEastAsia"/>
                <w:szCs w:val="21"/>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333333"/>
                <w:szCs w:val="21"/>
                <w:highlight w:val="none"/>
              </w:rPr>
            </w:pPr>
            <w:r>
              <w:rPr>
                <w:rFonts w:cs="宋体" w:asciiTheme="minorEastAsia" w:hAnsiTheme="minorEastAsia"/>
                <w:color w:val="000000"/>
                <w:szCs w:val="21"/>
                <w:highlight w:val="none"/>
              </w:rPr>
              <w:t>  3</w:t>
            </w:r>
            <w:r>
              <w:rPr>
                <w:rFonts w:hint="eastAsia" w:cs="宋体" w:asciiTheme="minorEastAsia" w:hAnsiTheme="minorEastAsia"/>
                <w:color w:val="000000"/>
                <w:szCs w:val="21"/>
                <w:highlight w:val="none"/>
              </w:rPr>
              <w:t>、单价在50万元以上的设备（台、套）</w:t>
            </w:r>
          </w:p>
        </w:tc>
        <w:tc>
          <w:tcPr>
            <w:tcW w:w="2835" w:type="dxa"/>
            <w:vAlign w:val="center"/>
          </w:tcPr>
          <w:p>
            <w:pPr>
              <w:spacing w:line="312" w:lineRule="atLeast"/>
              <w:ind w:firstLine="480"/>
              <w:jc w:val="center"/>
              <w:rPr>
                <w:rFonts w:cs="宋体" w:asciiTheme="minorEastAsia" w:hAnsiTheme="minorEastAsia"/>
                <w:color w:val="333333"/>
                <w:szCs w:val="21"/>
                <w:highlight w:val="none"/>
              </w:rPr>
            </w:pPr>
            <w:r>
              <w:rPr>
                <w:rFonts w:hint="eastAsia" w:cs="宋体" w:asciiTheme="minorEastAsia" w:hAnsiTheme="minorEastAsia"/>
                <w:color w:val="333333"/>
                <w:szCs w:val="21"/>
                <w:highlight w:val="none"/>
              </w:rPr>
              <w:t>0</w:t>
            </w:r>
          </w:p>
        </w:tc>
        <w:tc>
          <w:tcPr>
            <w:tcW w:w="2835" w:type="dxa"/>
            <w:vAlign w:val="center"/>
          </w:tcPr>
          <w:p>
            <w:pPr>
              <w:spacing w:line="312" w:lineRule="atLeast"/>
              <w:ind w:firstLine="480"/>
              <w:jc w:val="center"/>
              <w:rPr>
                <w:rFonts w:cs="宋体" w:asciiTheme="minorEastAsia" w:hAnsiTheme="minorEastAsia"/>
                <w:szCs w:val="21"/>
                <w:highlight w:val="none"/>
              </w:rPr>
            </w:pPr>
            <w:r>
              <w:rPr>
                <w:rFonts w:hint="eastAsia" w:cs="宋体" w:asciiTheme="minorEastAsia" w:hAnsiTheme="minorEastAsia"/>
                <w:szCs w:val="21"/>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12" w:lineRule="atLeast"/>
              <w:rPr>
                <w:rFonts w:cs="宋体" w:asciiTheme="minorEastAsia" w:hAnsiTheme="minorEastAsia"/>
                <w:color w:val="000000"/>
                <w:szCs w:val="21"/>
                <w:highlight w:val="none"/>
              </w:rPr>
            </w:pPr>
            <w:r>
              <w:rPr>
                <w:rFonts w:hint="eastAsia" w:cs="宋体" w:asciiTheme="minorEastAsia" w:hAnsiTheme="minorEastAsia"/>
                <w:color w:val="000000"/>
                <w:szCs w:val="21"/>
                <w:highlight w:val="none"/>
              </w:rPr>
              <w:t>其中：单价50万元（含）以上的通用设备</w:t>
            </w:r>
          </w:p>
        </w:tc>
        <w:tc>
          <w:tcPr>
            <w:tcW w:w="2835" w:type="dxa"/>
            <w:vAlign w:val="center"/>
          </w:tcPr>
          <w:p>
            <w:pPr>
              <w:spacing w:line="312" w:lineRule="atLeast"/>
              <w:ind w:firstLine="480"/>
              <w:jc w:val="center"/>
              <w:rPr>
                <w:rFonts w:cs="宋体" w:asciiTheme="minorEastAsia" w:hAnsiTheme="minorEastAsia"/>
                <w:color w:val="000000"/>
                <w:szCs w:val="21"/>
                <w:highlight w:val="none"/>
              </w:rPr>
            </w:pPr>
            <w:r>
              <w:rPr>
                <w:rFonts w:hint="eastAsia" w:cs="宋体" w:asciiTheme="minorEastAsia" w:hAnsiTheme="minorEastAsia"/>
                <w:color w:val="000000"/>
                <w:szCs w:val="21"/>
                <w:highlight w:val="none"/>
              </w:rPr>
              <w:t>0</w:t>
            </w:r>
          </w:p>
        </w:tc>
        <w:tc>
          <w:tcPr>
            <w:tcW w:w="2835" w:type="dxa"/>
            <w:vAlign w:val="center"/>
          </w:tcPr>
          <w:p>
            <w:pPr>
              <w:spacing w:line="312" w:lineRule="atLeast"/>
              <w:ind w:firstLine="480"/>
              <w:jc w:val="center"/>
              <w:rPr>
                <w:rFonts w:cs="宋体" w:asciiTheme="minorEastAsia" w:hAnsiTheme="minorEastAsia"/>
                <w:szCs w:val="21"/>
                <w:highlight w:val="none"/>
              </w:rPr>
            </w:pPr>
            <w:r>
              <w:rPr>
                <w:rFonts w:hint="eastAsia" w:cs="宋体" w:asciiTheme="minorEastAsia" w:hAnsiTheme="minorEastAsia"/>
                <w:szCs w:val="21"/>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000000"/>
                <w:szCs w:val="21"/>
                <w:highlight w:val="none"/>
              </w:rPr>
            </w:pPr>
            <w:r>
              <w:rPr>
                <w:rFonts w:hint="eastAsia" w:cs="宋体" w:asciiTheme="minorEastAsia" w:hAnsiTheme="minorEastAsia"/>
                <w:color w:val="000000"/>
                <w:szCs w:val="21"/>
                <w:highlight w:val="none"/>
              </w:rPr>
              <w:t>单价100万元（含）以上的通用设备</w:t>
            </w:r>
          </w:p>
        </w:tc>
        <w:tc>
          <w:tcPr>
            <w:tcW w:w="2835" w:type="dxa"/>
            <w:vAlign w:val="center"/>
          </w:tcPr>
          <w:p>
            <w:pPr>
              <w:spacing w:line="312" w:lineRule="atLeast"/>
              <w:ind w:firstLine="480"/>
              <w:jc w:val="center"/>
              <w:rPr>
                <w:rFonts w:cs="宋体" w:asciiTheme="minorEastAsia" w:hAnsiTheme="minorEastAsia"/>
                <w:color w:val="000000"/>
                <w:szCs w:val="21"/>
                <w:highlight w:val="none"/>
              </w:rPr>
            </w:pPr>
            <w:r>
              <w:rPr>
                <w:rFonts w:hint="eastAsia" w:cs="宋体" w:asciiTheme="minorEastAsia" w:hAnsiTheme="minorEastAsia"/>
                <w:color w:val="000000"/>
                <w:szCs w:val="21"/>
                <w:highlight w:val="none"/>
              </w:rPr>
              <w:t>0</w:t>
            </w:r>
          </w:p>
        </w:tc>
        <w:tc>
          <w:tcPr>
            <w:tcW w:w="2835" w:type="dxa"/>
            <w:vAlign w:val="center"/>
          </w:tcPr>
          <w:p>
            <w:pPr>
              <w:spacing w:line="312" w:lineRule="atLeast"/>
              <w:ind w:firstLine="480"/>
              <w:jc w:val="center"/>
              <w:rPr>
                <w:rFonts w:cs="宋体" w:asciiTheme="minorEastAsia" w:hAnsiTheme="minorEastAsia"/>
                <w:szCs w:val="21"/>
                <w:highlight w:val="none"/>
              </w:rPr>
            </w:pPr>
            <w:r>
              <w:rPr>
                <w:rFonts w:hint="eastAsia" w:cs="宋体" w:asciiTheme="minorEastAsia" w:hAnsiTheme="minorEastAsia"/>
                <w:szCs w:val="21"/>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333333"/>
                <w:szCs w:val="21"/>
                <w:highlight w:val="none"/>
              </w:rPr>
            </w:pPr>
            <w:r>
              <w:rPr>
                <w:rFonts w:cs="宋体" w:asciiTheme="minorEastAsia" w:hAnsiTheme="minorEastAsia"/>
                <w:color w:val="000000"/>
                <w:szCs w:val="21"/>
                <w:highlight w:val="none"/>
              </w:rPr>
              <w:t>  4</w:t>
            </w:r>
            <w:r>
              <w:rPr>
                <w:rFonts w:hint="eastAsia" w:cs="宋体" w:asciiTheme="minorEastAsia" w:hAnsiTheme="minorEastAsia"/>
                <w:color w:val="000000"/>
                <w:szCs w:val="21"/>
                <w:highlight w:val="none"/>
              </w:rPr>
              <w:t>、其他固定资产</w:t>
            </w:r>
          </w:p>
        </w:tc>
        <w:tc>
          <w:tcPr>
            <w:tcW w:w="2835" w:type="dxa"/>
            <w:vAlign w:val="center"/>
          </w:tcPr>
          <w:p>
            <w:pPr>
              <w:spacing w:line="312" w:lineRule="atLeast"/>
              <w:ind w:firstLine="480"/>
              <w:jc w:val="center"/>
              <w:rPr>
                <w:rFonts w:hint="default" w:eastAsia="宋体" w:cs="宋体" w:asciiTheme="minorEastAsia" w:hAnsiTheme="minorEastAsia"/>
                <w:color w:val="333333"/>
                <w:szCs w:val="21"/>
                <w:highlight w:val="none"/>
                <w:lang w:val="en-US" w:eastAsia="zh-CN"/>
              </w:rPr>
            </w:pPr>
            <w:r>
              <w:rPr>
                <w:rFonts w:hint="eastAsia" w:eastAsia="宋体" w:cs="宋体" w:asciiTheme="minorEastAsia" w:hAnsiTheme="minorEastAsia"/>
                <w:color w:val="333333"/>
                <w:szCs w:val="21"/>
                <w:highlight w:val="none"/>
                <w:lang w:val="en-US" w:eastAsia="zh-CN"/>
              </w:rPr>
              <w:t>480</w:t>
            </w:r>
          </w:p>
        </w:tc>
        <w:tc>
          <w:tcPr>
            <w:tcW w:w="2835" w:type="dxa"/>
            <w:vAlign w:val="center"/>
          </w:tcPr>
          <w:p>
            <w:pPr>
              <w:spacing w:line="312" w:lineRule="atLeast"/>
              <w:ind w:firstLine="480"/>
              <w:jc w:val="center"/>
              <w:rPr>
                <w:rFonts w:hint="default" w:eastAsia="宋体" w:cs="宋体" w:asciiTheme="minorEastAsia" w:hAnsiTheme="minorEastAsia"/>
                <w:szCs w:val="21"/>
                <w:highlight w:val="none"/>
                <w:lang w:val="en-US" w:eastAsia="zh-CN"/>
              </w:rPr>
            </w:pPr>
            <w:r>
              <w:rPr>
                <w:rFonts w:hint="eastAsia" w:eastAsia="宋体" w:cs="宋体" w:asciiTheme="minorEastAsia" w:hAnsiTheme="minorEastAsia"/>
                <w:szCs w:val="21"/>
                <w:highlight w:val="none"/>
                <w:lang w:val="en-US" w:eastAsia="zh-CN"/>
              </w:rPr>
              <w:t>142.921</w:t>
            </w:r>
          </w:p>
        </w:tc>
      </w:tr>
    </w:tbl>
    <w:p>
      <w:pPr>
        <w:spacing w:before="0" w:after="0" w:line="240" w:lineRule="auto"/>
        <w:ind w:firstLine="420"/>
        <w:jc w:val="left"/>
        <w:outlineLvl w:val="9"/>
        <w:rPr>
          <w:highlight w:val="yellow"/>
        </w:rPr>
      </w:pPr>
      <w:r>
        <w:rPr>
          <w:rFonts w:ascii="方正书宋_GBK" w:hAnsi="方正书宋_GBK" w:eastAsia="方正书宋_GBK" w:cs="方正书宋_GBK"/>
          <w:color w:val="000000"/>
          <w:sz w:val="21"/>
          <w:highlight w:val="none"/>
        </w:rPr>
        <w:t>注：无固定资产占用情况，空表列示。</w:t>
      </w:r>
    </w:p>
    <w:p>
      <w:pPr>
        <w:spacing w:before="0" w:after="0"/>
        <w:jc w:val="left"/>
        <w:outlineLvl w:val="9"/>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宋体"/>
        <w:lang w:val="en-US" w:eastAsia="zh-CN"/>
      </w:rPr>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1CADED"/>
    <w:multiLevelType w:val="singleLevel"/>
    <w:tmpl w:val="C21CADED"/>
    <w:lvl w:ilvl="0" w:tentative="0">
      <w:start w:val="2"/>
      <w:numFmt w:val="chineseCounting"/>
      <w:suff w:val="nothing"/>
      <w:lvlText w:val="%1、"/>
      <w:lvlJc w:val="left"/>
      <w:rPr>
        <w:rFonts w:hint="eastAsia"/>
      </w:rPr>
    </w:lvl>
  </w:abstractNum>
  <w:abstractNum w:abstractNumId="1">
    <w:nsid w:val="D5AEE2C0"/>
    <w:multiLevelType w:val="singleLevel"/>
    <w:tmpl w:val="D5AEE2C0"/>
    <w:lvl w:ilvl="0" w:tentative="0">
      <w:start w:val="5"/>
      <w:numFmt w:val="chineseCounting"/>
      <w:suff w:val="nothing"/>
      <w:lvlText w:val="%1、"/>
      <w:lvlJc w:val="left"/>
      <w:rPr>
        <w:rFonts w:hint="eastAsia"/>
      </w:rPr>
    </w:lvl>
  </w:abstractNum>
  <w:abstractNum w:abstractNumId="2">
    <w:nsid w:val="006E0EF4"/>
    <w:multiLevelType w:val="singleLevel"/>
    <w:tmpl w:val="006E0EF4"/>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A116504"/>
    <w:rsid w:val="1AF32C8F"/>
    <w:rsid w:val="1B017F19"/>
    <w:rsid w:val="2153413D"/>
    <w:rsid w:val="243A641D"/>
    <w:rsid w:val="50F50FC3"/>
    <w:rsid w:val="57512165"/>
    <w:rsid w:val="5F697CA3"/>
    <w:rsid w:val="6802188B"/>
    <w:rsid w:val="73105A0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TotalTime>5</TotalTime>
  <ScaleCrop>false</ScaleCrop>
  <LinksUpToDate>false</LinksUpToDate>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2025-02-12T09:44:00Z</dcterms:created>
  <dc:creator>Administrator</dc:creator>
  <cp:lastModifiedBy>Administrator</cp:lastModifiedBy>
  <dcterms:modified xsi:type="dcterms:W3CDTF">2025-02-12T02:42:11Z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