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203中共莲池区委组织部</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4023.35</w:t>
            </w:r>
          </w:p>
        </w:tc>
        <w:tc>
          <w:tcPr>
            <w:tcW w:w="4535" w:type="dxa"/>
            <w:vAlign w:val="center"/>
          </w:tcPr>
          <w:p>
            <w:pPr>
              <w:pStyle w:val="14"/>
            </w:pPr>
            <w:r>
              <w:t>一、一般公共服务支出</w:t>
            </w:r>
          </w:p>
        </w:tc>
        <w:tc>
          <w:tcPr>
            <w:tcW w:w="2126" w:type="dxa"/>
            <w:vAlign w:val="center"/>
          </w:tcPr>
          <w:p>
            <w:pPr>
              <w:pStyle w:val="13"/>
            </w:pPr>
            <w:r>
              <w:t>530.93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3360.19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4023.35</w:t>
            </w:r>
          </w:p>
        </w:tc>
        <w:tc>
          <w:tcPr>
            <w:tcW w:w="4535" w:type="dxa"/>
            <w:vAlign w:val="center"/>
          </w:tcPr>
          <w:p>
            <w:pPr>
              <w:pStyle w:val="16"/>
            </w:pPr>
            <w:r>
              <w:t>本年支出合计</w:t>
            </w:r>
          </w:p>
        </w:tc>
        <w:tc>
          <w:tcPr>
            <w:tcW w:w="2126" w:type="dxa"/>
            <w:vAlign w:val="center"/>
          </w:tcPr>
          <w:p>
            <w:pPr>
              <w:pStyle w:val="17"/>
            </w:pPr>
            <w:r>
              <w:t>4023.35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4023.35</w:t>
            </w:r>
          </w:p>
        </w:tc>
        <w:tc>
          <w:tcPr>
            <w:tcW w:w="4535" w:type="dxa"/>
            <w:vAlign w:val="center"/>
          </w:tcPr>
          <w:p>
            <w:pPr>
              <w:pStyle w:val="16"/>
            </w:pPr>
            <w:r>
              <w:t>支出总计</w:t>
            </w:r>
          </w:p>
        </w:tc>
        <w:tc>
          <w:tcPr>
            <w:tcW w:w="2126" w:type="dxa"/>
            <w:vAlign w:val="center"/>
          </w:tcPr>
          <w:p>
            <w:pPr>
              <w:pStyle w:val="17"/>
            </w:pPr>
            <w:r>
              <w:t>4023.35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10"/>
        <w:gridCol w:w="1950"/>
        <w:gridCol w:w="625"/>
        <w:gridCol w:w="1134"/>
        <w:gridCol w:w="1134"/>
        <w:gridCol w:w="1134"/>
        <w:gridCol w:w="1134"/>
        <w:gridCol w:w="734"/>
        <w:gridCol w:w="15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203中共莲池区委组织部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060" w:type="dxa"/>
            <w:gridSpan w:val="2"/>
            <w:vAlign w:val="center"/>
          </w:tcPr>
          <w:p>
            <w:pPr>
              <w:pStyle w:val="12"/>
            </w:pPr>
            <w:r>
              <w:t>功能分类科目</w:t>
            </w:r>
          </w:p>
        </w:tc>
        <w:tc>
          <w:tcPr>
            <w:tcW w:w="625"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10" w:type="dxa"/>
            <w:vAlign w:val="center"/>
          </w:tcPr>
          <w:p>
            <w:pPr>
              <w:pStyle w:val="12"/>
            </w:pPr>
            <w:r>
              <w:t>科目    编码</w:t>
            </w:r>
          </w:p>
        </w:tc>
        <w:tc>
          <w:tcPr>
            <w:tcW w:w="1950" w:type="dxa"/>
            <w:vAlign w:val="center"/>
          </w:tcPr>
          <w:p>
            <w:pPr>
              <w:pStyle w:val="12"/>
            </w:pPr>
            <w:r>
              <w:t>科目名称</w:t>
            </w:r>
          </w:p>
        </w:tc>
        <w:tc>
          <w:tcPr>
            <w:tcW w:w="625"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734" w:type="dxa"/>
            <w:vAlign w:val="center"/>
          </w:tcPr>
          <w:p>
            <w:pPr>
              <w:pStyle w:val="12"/>
            </w:pPr>
            <w:r>
              <w:t>经营收入</w:t>
            </w:r>
          </w:p>
        </w:tc>
        <w:tc>
          <w:tcPr>
            <w:tcW w:w="15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10" w:type="dxa"/>
            <w:vAlign w:val="center"/>
          </w:tcPr>
          <w:p>
            <w:pPr>
              <w:pStyle w:val="12"/>
            </w:pPr>
            <w:r>
              <w:t>1</w:t>
            </w:r>
          </w:p>
        </w:tc>
        <w:tc>
          <w:tcPr>
            <w:tcW w:w="1950" w:type="dxa"/>
            <w:vAlign w:val="center"/>
          </w:tcPr>
          <w:p>
            <w:pPr>
              <w:pStyle w:val="12"/>
            </w:pPr>
            <w:r>
              <w:t>2</w:t>
            </w:r>
          </w:p>
        </w:tc>
        <w:tc>
          <w:tcPr>
            <w:tcW w:w="625"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734" w:type="dxa"/>
            <w:vAlign w:val="center"/>
          </w:tcPr>
          <w:p>
            <w:pPr>
              <w:pStyle w:val="12"/>
            </w:pPr>
            <w:r>
              <w:t>8</w:t>
            </w:r>
          </w:p>
        </w:tc>
        <w:tc>
          <w:tcPr>
            <w:tcW w:w="15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10" w:type="dxa"/>
            <w:vAlign w:val="center"/>
          </w:tcPr>
          <w:p>
            <w:pPr>
              <w:pStyle w:val="18"/>
            </w:pPr>
          </w:p>
        </w:tc>
        <w:tc>
          <w:tcPr>
            <w:tcW w:w="1950" w:type="dxa"/>
            <w:vAlign w:val="center"/>
          </w:tcPr>
          <w:p>
            <w:pPr>
              <w:pStyle w:val="16"/>
            </w:pPr>
            <w:r>
              <w:t>合计</w:t>
            </w:r>
          </w:p>
        </w:tc>
        <w:tc>
          <w:tcPr>
            <w:tcW w:w="625" w:type="dxa"/>
            <w:vAlign w:val="center"/>
          </w:tcPr>
          <w:p>
            <w:pPr>
              <w:pStyle w:val="17"/>
            </w:pPr>
            <w:r>
              <w:t>4023.35</w:t>
            </w:r>
          </w:p>
        </w:tc>
        <w:tc>
          <w:tcPr>
            <w:tcW w:w="1134" w:type="dxa"/>
            <w:vAlign w:val="center"/>
          </w:tcPr>
          <w:p>
            <w:pPr>
              <w:pStyle w:val="17"/>
            </w:pPr>
            <w:r>
              <w:t>4023.35</w:t>
            </w:r>
          </w:p>
        </w:tc>
        <w:tc>
          <w:tcPr>
            <w:tcW w:w="1134" w:type="dxa"/>
            <w:vAlign w:val="center"/>
          </w:tcPr>
          <w:p>
            <w:pPr>
              <w:pStyle w:val="17"/>
            </w:pPr>
            <w:r>
              <w:t>4023.35</w:t>
            </w:r>
          </w:p>
        </w:tc>
        <w:tc>
          <w:tcPr>
            <w:tcW w:w="1134" w:type="dxa"/>
            <w:vAlign w:val="center"/>
          </w:tcPr>
          <w:p>
            <w:pPr>
              <w:pStyle w:val="17"/>
            </w:pPr>
          </w:p>
        </w:tc>
        <w:tc>
          <w:tcPr>
            <w:tcW w:w="1134" w:type="dxa"/>
            <w:vAlign w:val="center"/>
          </w:tcPr>
          <w:p>
            <w:pPr>
              <w:pStyle w:val="17"/>
            </w:pPr>
          </w:p>
        </w:tc>
        <w:tc>
          <w:tcPr>
            <w:tcW w:w="734" w:type="dxa"/>
            <w:vAlign w:val="center"/>
          </w:tcPr>
          <w:p>
            <w:pPr>
              <w:pStyle w:val="17"/>
            </w:pPr>
          </w:p>
        </w:tc>
        <w:tc>
          <w:tcPr>
            <w:tcW w:w="15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2</w:t>
            </w:r>
          </w:p>
        </w:tc>
        <w:tc>
          <w:tcPr>
            <w:tcW w:w="1110" w:type="dxa"/>
            <w:vAlign w:val="center"/>
          </w:tcPr>
          <w:p>
            <w:pPr>
              <w:pStyle w:val="14"/>
            </w:pPr>
            <w:r>
              <w:t>201</w:t>
            </w:r>
          </w:p>
        </w:tc>
        <w:tc>
          <w:tcPr>
            <w:tcW w:w="1950" w:type="dxa"/>
            <w:vAlign w:val="center"/>
          </w:tcPr>
          <w:p>
            <w:pPr>
              <w:pStyle w:val="14"/>
            </w:pPr>
            <w:r>
              <w:t>一般公共服务支出</w:t>
            </w:r>
          </w:p>
        </w:tc>
        <w:tc>
          <w:tcPr>
            <w:tcW w:w="625" w:type="dxa"/>
            <w:vAlign w:val="center"/>
          </w:tcPr>
          <w:p>
            <w:pPr>
              <w:pStyle w:val="13"/>
            </w:pPr>
            <w:r>
              <w:t>530.93</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3</w:t>
            </w:r>
          </w:p>
        </w:tc>
        <w:tc>
          <w:tcPr>
            <w:tcW w:w="1110" w:type="dxa"/>
            <w:vAlign w:val="center"/>
          </w:tcPr>
          <w:p>
            <w:pPr>
              <w:pStyle w:val="14"/>
            </w:pPr>
            <w:r>
              <w:t>20132</w:t>
            </w:r>
          </w:p>
        </w:tc>
        <w:tc>
          <w:tcPr>
            <w:tcW w:w="1950" w:type="dxa"/>
            <w:vAlign w:val="center"/>
          </w:tcPr>
          <w:p>
            <w:pPr>
              <w:pStyle w:val="14"/>
            </w:pPr>
            <w:r>
              <w:t>组织事务</w:t>
            </w:r>
          </w:p>
        </w:tc>
        <w:tc>
          <w:tcPr>
            <w:tcW w:w="625" w:type="dxa"/>
            <w:vAlign w:val="center"/>
          </w:tcPr>
          <w:p>
            <w:pPr>
              <w:pStyle w:val="13"/>
            </w:pPr>
            <w:r>
              <w:t>530.93</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10" w:type="dxa"/>
            <w:vAlign w:val="center"/>
          </w:tcPr>
          <w:p>
            <w:pPr>
              <w:pStyle w:val="14"/>
            </w:pPr>
            <w:r>
              <w:t>2013201</w:t>
            </w:r>
          </w:p>
        </w:tc>
        <w:tc>
          <w:tcPr>
            <w:tcW w:w="1950" w:type="dxa"/>
            <w:vAlign w:val="center"/>
          </w:tcPr>
          <w:p>
            <w:pPr>
              <w:pStyle w:val="14"/>
            </w:pPr>
            <w:r>
              <w:t>行政运行</w:t>
            </w:r>
          </w:p>
        </w:tc>
        <w:tc>
          <w:tcPr>
            <w:tcW w:w="625" w:type="dxa"/>
            <w:vAlign w:val="center"/>
          </w:tcPr>
          <w:p>
            <w:pPr>
              <w:pStyle w:val="13"/>
            </w:pPr>
            <w:r>
              <w:t>390.93</w:t>
            </w:r>
          </w:p>
        </w:tc>
        <w:tc>
          <w:tcPr>
            <w:tcW w:w="1134" w:type="dxa"/>
            <w:vAlign w:val="center"/>
          </w:tcPr>
          <w:p>
            <w:pPr>
              <w:pStyle w:val="13"/>
            </w:pPr>
            <w:r>
              <w:t>390.93</w:t>
            </w:r>
          </w:p>
        </w:tc>
        <w:tc>
          <w:tcPr>
            <w:tcW w:w="1134" w:type="dxa"/>
            <w:vAlign w:val="center"/>
          </w:tcPr>
          <w:p>
            <w:pPr>
              <w:pStyle w:val="13"/>
            </w:pPr>
            <w:r>
              <w:t>390.93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5</w:t>
            </w:r>
          </w:p>
        </w:tc>
        <w:tc>
          <w:tcPr>
            <w:tcW w:w="1110" w:type="dxa"/>
            <w:vAlign w:val="center"/>
          </w:tcPr>
          <w:p>
            <w:pPr>
              <w:pStyle w:val="14"/>
            </w:pPr>
            <w:r>
              <w:t>2013202</w:t>
            </w:r>
          </w:p>
        </w:tc>
        <w:tc>
          <w:tcPr>
            <w:tcW w:w="1950" w:type="dxa"/>
            <w:vAlign w:val="center"/>
          </w:tcPr>
          <w:p>
            <w:pPr>
              <w:pStyle w:val="14"/>
            </w:pPr>
            <w:r>
              <w:t>一般行政管理事务</w:t>
            </w:r>
          </w:p>
        </w:tc>
        <w:tc>
          <w:tcPr>
            <w:tcW w:w="625"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10" w:type="dxa"/>
            <w:vAlign w:val="center"/>
          </w:tcPr>
          <w:p>
            <w:pPr>
              <w:pStyle w:val="14"/>
            </w:pPr>
            <w:r>
              <w:t>2013299</w:t>
            </w:r>
          </w:p>
        </w:tc>
        <w:tc>
          <w:tcPr>
            <w:tcW w:w="1950" w:type="dxa"/>
            <w:vAlign w:val="center"/>
          </w:tcPr>
          <w:p>
            <w:pPr>
              <w:pStyle w:val="14"/>
            </w:pPr>
            <w:r>
              <w:t>其他组织事务支出</w:t>
            </w:r>
          </w:p>
        </w:tc>
        <w:tc>
          <w:tcPr>
            <w:tcW w:w="625"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10" w:type="dxa"/>
            <w:vAlign w:val="center"/>
          </w:tcPr>
          <w:p>
            <w:pPr>
              <w:pStyle w:val="14"/>
            </w:pPr>
            <w:r>
              <w:t>208</w:t>
            </w:r>
          </w:p>
        </w:tc>
        <w:tc>
          <w:tcPr>
            <w:tcW w:w="1950" w:type="dxa"/>
            <w:vAlign w:val="center"/>
          </w:tcPr>
          <w:p>
            <w:pPr>
              <w:pStyle w:val="14"/>
            </w:pPr>
            <w:r>
              <w:t>社会保障和就业支出</w:t>
            </w:r>
          </w:p>
        </w:tc>
        <w:tc>
          <w:tcPr>
            <w:tcW w:w="625"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8</w:t>
            </w:r>
          </w:p>
        </w:tc>
        <w:tc>
          <w:tcPr>
            <w:tcW w:w="1110" w:type="dxa"/>
            <w:vAlign w:val="center"/>
          </w:tcPr>
          <w:p>
            <w:pPr>
              <w:pStyle w:val="14"/>
            </w:pPr>
            <w:r>
              <w:t>20805</w:t>
            </w:r>
          </w:p>
        </w:tc>
        <w:tc>
          <w:tcPr>
            <w:tcW w:w="1950" w:type="dxa"/>
            <w:vAlign w:val="center"/>
          </w:tcPr>
          <w:p>
            <w:pPr>
              <w:pStyle w:val="14"/>
            </w:pPr>
            <w:r>
              <w:t>行政事业单位养老支出</w:t>
            </w:r>
          </w:p>
        </w:tc>
        <w:tc>
          <w:tcPr>
            <w:tcW w:w="625"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10" w:type="dxa"/>
            <w:vAlign w:val="center"/>
          </w:tcPr>
          <w:p>
            <w:pPr>
              <w:pStyle w:val="14"/>
            </w:pPr>
            <w:r>
              <w:t>2080501</w:t>
            </w:r>
          </w:p>
        </w:tc>
        <w:tc>
          <w:tcPr>
            <w:tcW w:w="1950" w:type="dxa"/>
            <w:vAlign w:val="center"/>
          </w:tcPr>
          <w:p>
            <w:pPr>
              <w:pStyle w:val="14"/>
            </w:pPr>
            <w:r>
              <w:t>行政单位离退休</w:t>
            </w:r>
          </w:p>
        </w:tc>
        <w:tc>
          <w:tcPr>
            <w:tcW w:w="625"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10" w:type="dxa"/>
            <w:vAlign w:val="center"/>
          </w:tcPr>
          <w:p>
            <w:pPr>
              <w:pStyle w:val="14"/>
            </w:pPr>
            <w:r>
              <w:t>2080505</w:t>
            </w:r>
          </w:p>
        </w:tc>
        <w:tc>
          <w:tcPr>
            <w:tcW w:w="1950" w:type="dxa"/>
            <w:vAlign w:val="center"/>
          </w:tcPr>
          <w:p>
            <w:pPr>
              <w:pStyle w:val="14"/>
            </w:pPr>
            <w:r>
              <w:t>机关事业单位基本养老保险缴费支出</w:t>
            </w:r>
          </w:p>
        </w:tc>
        <w:tc>
          <w:tcPr>
            <w:tcW w:w="625"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3" w:hRule="exact"/>
          <w:jc w:val="center"/>
        </w:trPr>
        <w:tc>
          <w:tcPr>
            <w:tcW w:w="680" w:type="dxa"/>
            <w:vAlign w:val="center"/>
          </w:tcPr>
          <w:p>
            <w:pPr>
              <w:pStyle w:val="15"/>
            </w:pPr>
            <w:r>
              <w:t>11</w:t>
            </w:r>
          </w:p>
        </w:tc>
        <w:tc>
          <w:tcPr>
            <w:tcW w:w="1110" w:type="dxa"/>
            <w:vAlign w:val="center"/>
          </w:tcPr>
          <w:p>
            <w:pPr>
              <w:pStyle w:val="14"/>
            </w:pPr>
            <w:r>
              <w:t>210</w:t>
            </w:r>
          </w:p>
        </w:tc>
        <w:tc>
          <w:tcPr>
            <w:tcW w:w="1950" w:type="dxa"/>
            <w:vAlign w:val="center"/>
          </w:tcPr>
          <w:p>
            <w:pPr>
              <w:pStyle w:val="14"/>
            </w:pPr>
            <w:r>
              <w:t>卫生健康支出</w:t>
            </w:r>
          </w:p>
        </w:tc>
        <w:tc>
          <w:tcPr>
            <w:tcW w:w="625" w:type="dxa"/>
            <w:vAlign w:val="center"/>
          </w:tcPr>
          <w:p>
            <w:pPr>
              <w:pStyle w:val="13"/>
            </w:pPr>
            <w:r>
              <w:t>29.23</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680" w:type="dxa"/>
            <w:vAlign w:val="center"/>
          </w:tcPr>
          <w:p>
            <w:pPr>
              <w:pStyle w:val="15"/>
            </w:pPr>
            <w:r>
              <w:t>12</w:t>
            </w:r>
          </w:p>
        </w:tc>
        <w:tc>
          <w:tcPr>
            <w:tcW w:w="1110" w:type="dxa"/>
            <w:vAlign w:val="center"/>
          </w:tcPr>
          <w:p>
            <w:pPr>
              <w:pStyle w:val="14"/>
            </w:pPr>
            <w:r>
              <w:t>21011</w:t>
            </w:r>
          </w:p>
        </w:tc>
        <w:tc>
          <w:tcPr>
            <w:tcW w:w="1950" w:type="dxa"/>
            <w:vAlign w:val="center"/>
          </w:tcPr>
          <w:p>
            <w:pPr>
              <w:pStyle w:val="14"/>
            </w:pPr>
            <w:r>
              <w:t>行政事业单位医疗</w:t>
            </w:r>
          </w:p>
        </w:tc>
        <w:tc>
          <w:tcPr>
            <w:tcW w:w="625" w:type="dxa"/>
            <w:vAlign w:val="center"/>
          </w:tcPr>
          <w:p>
            <w:pPr>
              <w:pStyle w:val="13"/>
            </w:pPr>
            <w:r>
              <w:t>29.23</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3" w:hRule="exact"/>
          <w:jc w:val="center"/>
        </w:trPr>
        <w:tc>
          <w:tcPr>
            <w:tcW w:w="680" w:type="dxa"/>
            <w:vAlign w:val="center"/>
          </w:tcPr>
          <w:p>
            <w:pPr>
              <w:pStyle w:val="15"/>
            </w:pPr>
            <w:r>
              <w:t>13</w:t>
            </w:r>
          </w:p>
        </w:tc>
        <w:tc>
          <w:tcPr>
            <w:tcW w:w="1110" w:type="dxa"/>
            <w:vAlign w:val="center"/>
          </w:tcPr>
          <w:p>
            <w:pPr>
              <w:pStyle w:val="14"/>
            </w:pPr>
            <w:r>
              <w:t>2101101</w:t>
            </w:r>
          </w:p>
        </w:tc>
        <w:tc>
          <w:tcPr>
            <w:tcW w:w="1950" w:type="dxa"/>
            <w:vAlign w:val="center"/>
          </w:tcPr>
          <w:p>
            <w:pPr>
              <w:pStyle w:val="14"/>
            </w:pPr>
            <w:r>
              <w:t>行政单位医疗</w:t>
            </w:r>
          </w:p>
        </w:tc>
        <w:tc>
          <w:tcPr>
            <w:tcW w:w="625" w:type="dxa"/>
            <w:vAlign w:val="center"/>
          </w:tcPr>
          <w:p>
            <w:pPr>
              <w:pStyle w:val="13"/>
            </w:pPr>
            <w:r>
              <w:t>19.23</w:t>
            </w:r>
          </w:p>
        </w:tc>
        <w:tc>
          <w:tcPr>
            <w:tcW w:w="1134" w:type="dxa"/>
            <w:vAlign w:val="center"/>
          </w:tcPr>
          <w:p>
            <w:pPr>
              <w:pStyle w:val="13"/>
            </w:pPr>
            <w:r>
              <w:t>19.23</w:t>
            </w:r>
          </w:p>
        </w:tc>
        <w:tc>
          <w:tcPr>
            <w:tcW w:w="1134" w:type="dxa"/>
            <w:vAlign w:val="center"/>
          </w:tcPr>
          <w:p>
            <w:pPr>
              <w:pStyle w:val="13"/>
            </w:pPr>
            <w:r>
              <w:t>19.23</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680" w:type="dxa"/>
            <w:vAlign w:val="center"/>
          </w:tcPr>
          <w:p>
            <w:pPr>
              <w:pStyle w:val="15"/>
            </w:pPr>
            <w:r>
              <w:t>14</w:t>
            </w:r>
          </w:p>
        </w:tc>
        <w:tc>
          <w:tcPr>
            <w:tcW w:w="1110" w:type="dxa"/>
            <w:vAlign w:val="center"/>
          </w:tcPr>
          <w:p>
            <w:pPr>
              <w:pStyle w:val="14"/>
            </w:pPr>
            <w:r>
              <w:t>2101103</w:t>
            </w:r>
          </w:p>
        </w:tc>
        <w:tc>
          <w:tcPr>
            <w:tcW w:w="1950" w:type="dxa"/>
            <w:vAlign w:val="center"/>
          </w:tcPr>
          <w:p>
            <w:pPr>
              <w:pStyle w:val="14"/>
            </w:pPr>
            <w:r>
              <w:t>公务员医疗补助</w:t>
            </w:r>
          </w:p>
        </w:tc>
        <w:tc>
          <w:tcPr>
            <w:tcW w:w="625"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680" w:type="dxa"/>
            <w:vAlign w:val="center"/>
          </w:tcPr>
          <w:p>
            <w:pPr>
              <w:pStyle w:val="15"/>
            </w:pPr>
            <w:r>
              <w:t>15</w:t>
            </w:r>
          </w:p>
        </w:tc>
        <w:tc>
          <w:tcPr>
            <w:tcW w:w="1110" w:type="dxa"/>
            <w:vAlign w:val="center"/>
          </w:tcPr>
          <w:p>
            <w:pPr>
              <w:pStyle w:val="14"/>
            </w:pPr>
            <w:r>
              <w:t>213</w:t>
            </w:r>
          </w:p>
        </w:tc>
        <w:tc>
          <w:tcPr>
            <w:tcW w:w="1950" w:type="dxa"/>
            <w:vAlign w:val="center"/>
          </w:tcPr>
          <w:p>
            <w:pPr>
              <w:pStyle w:val="14"/>
            </w:pPr>
            <w:r>
              <w:t>农林水支出</w:t>
            </w:r>
          </w:p>
        </w:tc>
        <w:tc>
          <w:tcPr>
            <w:tcW w:w="625" w:type="dxa"/>
            <w:vAlign w:val="center"/>
          </w:tcPr>
          <w:p>
            <w:pPr>
              <w:pStyle w:val="13"/>
            </w:pPr>
            <w:r>
              <w:t>3360.19</w:t>
            </w:r>
          </w:p>
        </w:tc>
        <w:tc>
          <w:tcPr>
            <w:tcW w:w="1134" w:type="dxa"/>
            <w:vAlign w:val="center"/>
          </w:tcPr>
          <w:p>
            <w:pPr>
              <w:pStyle w:val="13"/>
            </w:pPr>
            <w:r>
              <w:t>3360.19</w:t>
            </w:r>
          </w:p>
        </w:tc>
        <w:tc>
          <w:tcPr>
            <w:tcW w:w="1134" w:type="dxa"/>
            <w:vAlign w:val="center"/>
          </w:tcPr>
          <w:p>
            <w:pPr>
              <w:pStyle w:val="13"/>
            </w:pPr>
            <w:r>
              <w:t>3360.19</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3" w:hRule="exact"/>
          <w:jc w:val="center"/>
        </w:trPr>
        <w:tc>
          <w:tcPr>
            <w:tcW w:w="680" w:type="dxa"/>
            <w:vAlign w:val="center"/>
          </w:tcPr>
          <w:p>
            <w:pPr>
              <w:pStyle w:val="15"/>
            </w:pPr>
            <w:r>
              <w:t>16</w:t>
            </w:r>
          </w:p>
        </w:tc>
        <w:tc>
          <w:tcPr>
            <w:tcW w:w="1110" w:type="dxa"/>
            <w:vAlign w:val="center"/>
          </w:tcPr>
          <w:p>
            <w:pPr>
              <w:pStyle w:val="14"/>
            </w:pPr>
            <w:r>
              <w:t>21301</w:t>
            </w:r>
          </w:p>
        </w:tc>
        <w:tc>
          <w:tcPr>
            <w:tcW w:w="1950" w:type="dxa"/>
            <w:vAlign w:val="center"/>
          </w:tcPr>
          <w:p>
            <w:pPr>
              <w:pStyle w:val="14"/>
            </w:pPr>
            <w:r>
              <w:t>农业农村</w:t>
            </w:r>
          </w:p>
        </w:tc>
        <w:tc>
          <w:tcPr>
            <w:tcW w:w="625"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exact"/>
          <w:jc w:val="center"/>
        </w:trPr>
        <w:tc>
          <w:tcPr>
            <w:tcW w:w="680" w:type="dxa"/>
            <w:vAlign w:val="center"/>
          </w:tcPr>
          <w:p>
            <w:pPr>
              <w:pStyle w:val="15"/>
            </w:pPr>
            <w:r>
              <w:t>17</w:t>
            </w:r>
          </w:p>
        </w:tc>
        <w:tc>
          <w:tcPr>
            <w:tcW w:w="1110" w:type="dxa"/>
            <w:vAlign w:val="center"/>
          </w:tcPr>
          <w:p>
            <w:pPr>
              <w:pStyle w:val="14"/>
            </w:pPr>
            <w:r>
              <w:t>2130152</w:t>
            </w:r>
          </w:p>
        </w:tc>
        <w:tc>
          <w:tcPr>
            <w:tcW w:w="1950" w:type="dxa"/>
            <w:vAlign w:val="center"/>
          </w:tcPr>
          <w:p>
            <w:pPr>
              <w:pStyle w:val="14"/>
            </w:pPr>
            <w:r>
              <w:t>对高校毕业生到基层任职补助</w:t>
            </w:r>
          </w:p>
        </w:tc>
        <w:tc>
          <w:tcPr>
            <w:tcW w:w="625"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0" w:hRule="exact"/>
          <w:jc w:val="center"/>
        </w:trPr>
        <w:tc>
          <w:tcPr>
            <w:tcW w:w="680" w:type="dxa"/>
            <w:vAlign w:val="center"/>
          </w:tcPr>
          <w:p>
            <w:pPr>
              <w:pStyle w:val="15"/>
            </w:pPr>
            <w:r>
              <w:t>18</w:t>
            </w:r>
          </w:p>
        </w:tc>
        <w:tc>
          <w:tcPr>
            <w:tcW w:w="1110" w:type="dxa"/>
            <w:vAlign w:val="center"/>
          </w:tcPr>
          <w:p>
            <w:pPr>
              <w:pStyle w:val="14"/>
            </w:pPr>
            <w:r>
              <w:t>21307</w:t>
            </w:r>
          </w:p>
        </w:tc>
        <w:tc>
          <w:tcPr>
            <w:tcW w:w="1950" w:type="dxa"/>
            <w:vAlign w:val="center"/>
          </w:tcPr>
          <w:p>
            <w:pPr>
              <w:pStyle w:val="14"/>
            </w:pPr>
            <w:r>
              <w:t>农村综合改革</w:t>
            </w:r>
          </w:p>
        </w:tc>
        <w:tc>
          <w:tcPr>
            <w:tcW w:w="625"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680" w:type="dxa"/>
            <w:vAlign w:val="center"/>
          </w:tcPr>
          <w:p>
            <w:pPr>
              <w:pStyle w:val="15"/>
            </w:pPr>
            <w:r>
              <w:t>19</w:t>
            </w:r>
          </w:p>
        </w:tc>
        <w:tc>
          <w:tcPr>
            <w:tcW w:w="1110" w:type="dxa"/>
            <w:vAlign w:val="center"/>
          </w:tcPr>
          <w:p>
            <w:pPr>
              <w:pStyle w:val="14"/>
            </w:pPr>
            <w:r>
              <w:t>2130705</w:t>
            </w:r>
          </w:p>
        </w:tc>
        <w:tc>
          <w:tcPr>
            <w:tcW w:w="1950" w:type="dxa"/>
            <w:vAlign w:val="center"/>
          </w:tcPr>
          <w:p>
            <w:pPr>
              <w:pStyle w:val="14"/>
            </w:pPr>
            <w:r>
              <w:t>对村民委员会和村党支部的补助</w:t>
            </w:r>
          </w:p>
        </w:tc>
        <w:tc>
          <w:tcPr>
            <w:tcW w:w="625"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exact"/>
          <w:jc w:val="center"/>
        </w:trPr>
        <w:tc>
          <w:tcPr>
            <w:tcW w:w="680" w:type="dxa"/>
            <w:vAlign w:val="center"/>
          </w:tcPr>
          <w:p>
            <w:pPr>
              <w:pStyle w:val="15"/>
            </w:pPr>
            <w:r>
              <w:t>20</w:t>
            </w:r>
          </w:p>
        </w:tc>
        <w:tc>
          <w:tcPr>
            <w:tcW w:w="1110" w:type="dxa"/>
            <w:vAlign w:val="center"/>
          </w:tcPr>
          <w:p>
            <w:pPr>
              <w:pStyle w:val="14"/>
            </w:pPr>
            <w:r>
              <w:t>221</w:t>
            </w:r>
          </w:p>
        </w:tc>
        <w:tc>
          <w:tcPr>
            <w:tcW w:w="1950" w:type="dxa"/>
            <w:vAlign w:val="center"/>
          </w:tcPr>
          <w:p>
            <w:pPr>
              <w:pStyle w:val="14"/>
            </w:pPr>
            <w:r>
              <w:t>住房保障支出</w:t>
            </w:r>
          </w:p>
        </w:tc>
        <w:tc>
          <w:tcPr>
            <w:tcW w:w="625"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exact"/>
          <w:jc w:val="center"/>
        </w:trPr>
        <w:tc>
          <w:tcPr>
            <w:tcW w:w="680" w:type="dxa"/>
            <w:vAlign w:val="center"/>
          </w:tcPr>
          <w:p>
            <w:pPr>
              <w:pStyle w:val="15"/>
            </w:pPr>
            <w:r>
              <w:t>21</w:t>
            </w:r>
          </w:p>
        </w:tc>
        <w:tc>
          <w:tcPr>
            <w:tcW w:w="1110" w:type="dxa"/>
            <w:vAlign w:val="center"/>
          </w:tcPr>
          <w:p>
            <w:pPr>
              <w:pStyle w:val="14"/>
            </w:pPr>
            <w:r>
              <w:t>22102</w:t>
            </w:r>
          </w:p>
        </w:tc>
        <w:tc>
          <w:tcPr>
            <w:tcW w:w="1950" w:type="dxa"/>
            <w:vAlign w:val="center"/>
          </w:tcPr>
          <w:p>
            <w:pPr>
              <w:pStyle w:val="14"/>
            </w:pPr>
            <w:r>
              <w:t>住房改革支出</w:t>
            </w:r>
          </w:p>
        </w:tc>
        <w:tc>
          <w:tcPr>
            <w:tcW w:w="625"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0" w:hRule="exact"/>
          <w:jc w:val="center"/>
        </w:trPr>
        <w:tc>
          <w:tcPr>
            <w:tcW w:w="680" w:type="dxa"/>
            <w:vAlign w:val="center"/>
          </w:tcPr>
          <w:p>
            <w:pPr>
              <w:pStyle w:val="15"/>
            </w:pPr>
            <w:r>
              <w:t>22</w:t>
            </w:r>
          </w:p>
        </w:tc>
        <w:tc>
          <w:tcPr>
            <w:tcW w:w="1110" w:type="dxa"/>
            <w:vAlign w:val="center"/>
          </w:tcPr>
          <w:p>
            <w:pPr>
              <w:pStyle w:val="14"/>
            </w:pPr>
            <w:r>
              <w:t>2210201</w:t>
            </w:r>
          </w:p>
        </w:tc>
        <w:tc>
          <w:tcPr>
            <w:tcW w:w="1950" w:type="dxa"/>
            <w:vAlign w:val="center"/>
          </w:tcPr>
          <w:p>
            <w:pPr>
              <w:pStyle w:val="14"/>
            </w:pPr>
            <w:r>
              <w:t>住房公积金</w:t>
            </w:r>
          </w:p>
        </w:tc>
        <w:tc>
          <w:tcPr>
            <w:tcW w:w="625"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734" w:type="dxa"/>
            <w:vAlign w:val="center"/>
          </w:tcPr>
          <w:p>
            <w:pPr>
              <w:pStyle w:val="13"/>
            </w:pPr>
          </w:p>
        </w:tc>
        <w:tc>
          <w:tcPr>
            <w:tcW w:w="15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4023.35</w:t>
            </w:r>
          </w:p>
        </w:tc>
        <w:tc>
          <w:tcPr>
            <w:tcW w:w="1361" w:type="dxa"/>
            <w:vAlign w:val="center"/>
          </w:tcPr>
          <w:p>
            <w:pPr>
              <w:pStyle w:val="17"/>
            </w:pPr>
            <w:r>
              <w:t>523.16</w:t>
            </w:r>
          </w:p>
        </w:tc>
        <w:tc>
          <w:tcPr>
            <w:tcW w:w="1361" w:type="dxa"/>
            <w:vAlign w:val="center"/>
          </w:tcPr>
          <w:p>
            <w:pPr>
              <w:pStyle w:val="17"/>
            </w:pPr>
            <w:r>
              <w:t>3500.19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530.93</w:t>
            </w:r>
          </w:p>
        </w:tc>
        <w:tc>
          <w:tcPr>
            <w:tcW w:w="1361" w:type="dxa"/>
            <w:vAlign w:val="center"/>
          </w:tcPr>
          <w:p>
            <w:pPr>
              <w:pStyle w:val="13"/>
            </w:pPr>
            <w:r>
              <w:t>390.93</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530.93</w:t>
            </w:r>
          </w:p>
        </w:tc>
        <w:tc>
          <w:tcPr>
            <w:tcW w:w="1361" w:type="dxa"/>
            <w:vAlign w:val="center"/>
          </w:tcPr>
          <w:p>
            <w:pPr>
              <w:pStyle w:val="13"/>
            </w:pPr>
            <w:r>
              <w:t>390.93</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390.93</w:t>
            </w:r>
          </w:p>
        </w:tc>
        <w:tc>
          <w:tcPr>
            <w:tcW w:w="1361" w:type="dxa"/>
            <w:vAlign w:val="center"/>
          </w:tcPr>
          <w:p>
            <w:pPr>
              <w:pStyle w:val="13"/>
            </w:pPr>
            <w:r>
              <w:t>390.93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19.23</w:t>
            </w:r>
          </w:p>
        </w:tc>
        <w:tc>
          <w:tcPr>
            <w:tcW w:w="1361" w:type="dxa"/>
            <w:vAlign w:val="center"/>
          </w:tcPr>
          <w:p>
            <w:pPr>
              <w:pStyle w:val="13"/>
            </w:pPr>
            <w:r>
              <w:t>19.23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10.00</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3360.19</w:t>
            </w:r>
          </w:p>
        </w:tc>
        <w:tc>
          <w:tcPr>
            <w:tcW w:w="1361" w:type="dxa"/>
            <w:vAlign w:val="center"/>
          </w:tcPr>
          <w:p>
            <w:pPr>
              <w:pStyle w:val="13"/>
            </w:pPr>
          </w:p>
        </w:tc>
        <w:tc>
          <w:tcPr>
            <w:tcW w:w="1361" w:type="dxa"/>
            <w:vAlign w:val="center"/>
          </w:tcPr>
          <w:p>
            <w:pPr>
              <w:pStyle w:val="13"/>
            </w:pPr>
            <w:r>
              <w:t>3360.19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4023.35</w:t>
            </w:r>
          </w:p>
        </w:tc>
        <w:tc>
          <w:tcPr>
            <w:tcW w:w="3402" w:type="dxa"/>
            <w:vAlign w:val="center"/>
          </w:tcPr>
          <w:p>
            <w:pPr>
              <w:pStyle w:val="14"/>
            </w:pPr>
            <w:r>
              <w:t>一、一般公共服务支出</w:t>
            </w:r>
          </w:p>
        </w:tc>
        <w:tc>
          <w:tcPr>
            <w:tcW w:w="1474" w:type="dxa"/>
            <w:vAlign w:val="center"/>
          </w:tcPr>
          <w:p>
            <w:pPr>
              <w:pStyle w:val="13"/>
            </w:pPr>
            <w:r>
              <w:t>530.93</w:t>
            </w:r>
          </w:p>
        </w:tc>
        <w:tc>
          <w:tcPr>
            <w:tcW w:w="1474" w:type="dxa"/>
            <w:vAlign w:val="center"/>
          </w:tcPr>
          <w:p>
            <w:pPr>
              <w:pStyle w:val="13"/>
            </w:pPr>
            <w:r>
              <w:t>530.93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65.00</w:t>
            </w:r>
          </w:p>
        </w:tc>
        <w:tc>
          <w:tcPr>
            <w:tcW w:w="1474" w:type="dxa"/>
            <w:vAlign w:val="center"/>
          </w:tcPr>
          <w:p>
            <w:pPr>
              <w:pStyle w:val="13"/>
            </w:pPr>
            <w:r>
              <w:t>65.00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29.23</w:t>
            </w:r>
          </w:p>
        </w:tc>
        <w:tc>
          <w:tcPr>
            <w:tcW w:w="1474" w:type="dxa"/>
            <w:vAlign w:val="center"/>
          </w:tcPr>
          <w:p>
            <w:pPr>
              <w:pStyle w:val="13"/>
            </w:pPr>
            <w:r>
              <w:t>29.23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3360.19</w:t>
            </w:r>
          </w:p>
        </w:tc>
        <w:tc>
          <w:tcPr>
            <w:tcW w:w="1474" w:type="dxa"/>
            <w:vAlign w:val="center"/>
          </w:tcPr>
          <w:p>
            <w:pPr>
              <w:pStyle w:val="13"/>
            </w:pPr>
            <w:r>
              <w:t>3360.19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38.00</w:t>
            </w:r>
          </w:p>
        </w:tc>
        <w:tc>
          <w:tcPr>
            <w:tcW w:w="1474" w:type="dxa"/>
            <w:vAlign w:val="center"/>
          </w:tcPr>
          <w:p>
            <w:pPr>
              <w:pStyle w:val="13"/>
            </w:pPr>
            <w:r>
              <w:t>38.00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4023.35</w:t>
            </w:r>
          </w:p>
        </w:tc>
        <w:tc>
          <w:tcPr>
            <w:tcW w:w="3402" w:type="dxa"/>
            <w:vAlign w:val="center"/>
          </w:tcPr>
          <w:p>
            <w:pPr>
              <w:pStyle w:val="16"/>
            </w:pPr>
            <w:r>
              <w:t>本年支出合计</w:t>
            </w:r>
          </w:p>
        </w:tc>
        <w:tc>
          <w:tcPr>
            <w:tcW w:w="1474" w:type="dxa"/>
            <w:vAlign w:val="center"/>
          </w:tcPr>
          <w:p>
            <w:pPr>
              <w:pStyle w:val="17"/>
            </w:pPr>
            <w:r>
              <w:t>4023.35</w:t>
            </w:r>
          </w:p>
        </w:tc>
        <w:tc>
          <w:tcPr>
            <w:tcW w:w="1474" w:type="dxa"/>
            <w:vAlign w:val="center"/>
          </w:tcPr>
          <w:p>
            <w:pPr>
              <w:pStyle w:val="17"/>
            </w:pPr>
            <w:r>
              <w:t>4023.35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4023.35</w:t>
            </w:r>
          </w:p>
        </w:tc>
        <w:tc>
          <w:tcPr>
            <w:tcW w:w="3402" w:type="dxa"/>
            <w:vAlign w:val="center"/>
          </w:tcPr>
          <w:p>
            <w:pPr>
              <w:pStyle w:val="16"/>
            </w:pPr>
            <w:r>
              <w:t>支出总计</w:t>
            </w:r>
          </w:p>
        </w:tc>
        <w:tc>
          <w:tcPr>
            <w:tcW w:w="1474" w:type="dxa"/>
            <w:vAlign w:val="center"/>
          </w:tcPr>
          <w:p>
            <w:pPr>
              <w:pStyle w:val="17"/>
            </w:pPr>
            <w:r>
              <w:t>4023.35</w:t>
            </w:r>
          </w:p>
        </w:tc>
        <w:tc>
          <w:tcPr>
            <w:tcW w:w="1474" w:type="dxa"/>
            <w:vAlign w:val="center"/>
          </w:tcPr>
          <w:p>
            <w:pPr>
              <w:pStyle w:val="17"/>
            </w:pPr>
            <w:r>
              <w:t>4023.35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4023.35</w:t>
            </w:r>
          </w:p>
        </w:tc>
        <w:tc>
          <w:tcPr>
            <w:tcW w:w="2551" w:type="dxa"/>
            <w:vAlign w:val="center"/>
          </w:tcPr>
          <w:p>
            <w:pPr>
              <w:pStyle w:val="17"/>
            </w:pPr>
            <w:r>
              <w:t>523.16</w:t>
            </w:r>
          </w:p>
        </w:tc>
        <w:tc>
          <w:tcPr>
            <w:tcW w:w="2551" w:type="dxa"/>
            <w:vAlign w:val="center"/>
          </w:tcPr>
          <w:p>
            <w:pPr>
              <w:pStyle w:val="17"/>
            </w:pPr>
            <w:r>
              <w:t>3500.19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530.93</w:t>
            </w:r>
          </w:p>
        </w:tc>
        <w:tc>
          <w:tcPr>
            <w:tcW w:w="2551" w:type="dxa"/>
            <w:vAlign w:val="center"/>
          </w:tcPr>
          <w:p>
            <w:pPr>
              <w:pStyle w:val="13"/>
            </w:pPr>
            <w:r>
              <w:t>390.93</w:t>
            </w:r>
          </w:p>
        </w:tc>
        <w:tc>
          <w:tcPr>
            <w:tcW w:w="2551" w:type="dxa"/>
            <w:vAlign w:val="center"/>
          </w:tcPr>
          <w:p>
            <w:pPr>
              <w:pStyle w:val="13"/>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530.93</w:t>
            </w:r>
          </w:p>
        </w:tc>
        <w:tc>
          <w:tcPr>
            <w:tcW w:w="2551" w:type="dxa"/>
            <w:vAlign w:val="center"/>
          </w:tcPr>
          <w:p>
            <w:pPr>
              <w:pStyle w:val="13"/>
            </w:pPr>
            <w:r>
              <w:t>390.93</w:t>
            </w:r>
          </w:p>
        </w:tc>
        <w:tc>
          <w:tcPr>
            <w:tcW w:w="2551" w:type="dxa"/>
            <w:vAlign w:val="center"/>
          </w:tcPr>
          <w:p>
            <w:pPr>
              <w:pStyle w:val="13"/>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390.93</w:t>
            </w:r>
          </w:p>
        </w:tc>
        <w:tc>
          <w:tcPr>
            <w:tcW w:w="2551" w:type="dxa"/>
            <w:vAlign w:val="center"/>
          </w:tcPr>
          <w:p>
            <w:pPr>
              <w:pStyle w:val="13"/>
            </w:pPr>
            <w:r>
              <w:t>390.93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98.00</w:t>
            </w:r>
          </w:p>
        </w:tc>
        <w:tc>
          <w:tcPr>
            <w:tcW w:w="2551" w:type="dxa"/>
            <w:vAlign w:val="center"/>
          </w:tcPr>
          <w:p>
            <w:pPr>
              <w:pStyle w:val="13"/>
            </w:pPr>
          </w:p>
        </w:tc>
        <w:tc>
          <w:tcPr>
            <w:tcW w:w="2551" w:type="dxa"/>
            <w:vAlign w:val="center"/>
          </w:tcPr>
          <w:p>
            <w:pPr>
              <w:pStyle w:val="13"/>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6</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19.23</w:t>
            </w:r>
          </w:p>
        </w:tc>
        <w:tc>
          <w:tcPr>
            <w:tcW w:w="2551" w:type="dxa"/>
            <w:vAlign w:val="center"/>
          </w:tcPr>
          <w:p>
            <w:pPr>
              <w:pStyle w:val="13"/>
            </w:pPr>
            <w:r>
              <w:t>19.23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3360.19</w:t>
            </w:r>
          </w:p>
        </w:tc>
        <w:tc>
          <w:tcPr>
            <w:tcW w:w="2551" w:type="dxa"/>
            <w:vAlign w:val="center"/>
          </w:tcPr>
          <w:p>
            <w:pPr>
              <w:pStyle w:val="13"/>
            </w:pPr>
          </w:p>
        </w:tc>
        <w:tc>
          <w:tcPr>
            <w:tcW w:w="2551" w:type="dxa"/>
            <w:vAlign w:val="center"/>
          </w:tcPr>
          <w:p>
            <w:pPr>
              <w:pStyle w:val="13"/>
            </w:pPr>
            <w:r>
              <w:t>3360.19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16</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9.19</w:t>
            </w:r>
          </w:p>
        </w:tc>
        <w:tc>
          <w:tcPr>
            <w:tcW w:w="2551" w:type="dxa"/>
            <w:vAlign w:val="center"/>
          </w:tcPr>
          <w:p>
            <w:pPr>
              <w:pStyle w:val="13"/>
            </w:pPr>
          </w:p>
        </w:tc>
        <w:tc>
          <w:tcPr>
            <w:tcW w:w="2551" w:type="dxa"/>
            <w:vAlign w:val="center"/>
          </w:tcPr>
          <w:p>
            <w:pPr>
              <w:pStyle w:val="13"/>
            </w:pPr>
            <w:r>
              <w:t>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17</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9.19</w:t>
            </w:r>
          </w:p>
        </w:tc>
        <w:tc>
          <w:tcPr>
            <w:tcW w:w="2551" w:type="dxa"/>
            <w:vAlign w:val="center"/>
          </w:tcPr>
          <w:p>
            <w:pPr>
              <w:pStyle w:val="13"/>
            </w:pPr>
          </w:p>
        </w:tc>
        <w:tc>
          <w:tcPr>
            <w:tcW w:w="2551" w:type="dxa"/>
            <w:vAlign w:val="center"/>
          </w:tcPr>
          <w:p>
            <w:pPr>
              <w:pStyle w:val="13"/>
            </w:pPr>
            <w:r>
              <w:t>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3351.00</w:t>
            </w:r>
          </w:p>
        </w:tc>
        <w:tc>
          <w:tcPr>
            <w:tcW w:w="2551" w:type="dxa"/>
            <w:vAlign w:val="center"/>
          </w:tcPr>
          <w:p>
            <w:pPr>
              <w:pStyle w:val="13"/>
            </w:pPr>
          </w:p>
        </w:tc>
        <w:tc>
          <w:tcPr>
            <w:tcW w:w="2551" w:type="dxa"/>
            <w:vAlign w:val="center"/>
          </w:tcPr>
          <w:p>
            <w:pPr>
              <w:pStyle w:val="13"/>
            </w:pPr>
            <w:r>
              <w:t>3351.00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3351.00</w:t>
            </w:r>
          </w:p>
        </w:tc>
        <w:tc>
          <w:tcPr>
            <w:tcW w:w="2551" w:type="dxa"/>
            <w:vAlign w:val="center"/>
          </w:tcPr>
          <w:p>
            <w:pPr>
              <w:pStyle w:val="13"/>
            </w:pPr>
          </w:p>
        </w:tc>
        <w:tc>
          <w:tcPr>
            <w:tcW w:w="2551" w:type="dxa"/>
            <w:vAlign w:val="center"/>
          </w:tcPr>
          <w:p>
            <w:pPr>
              <w:pStyle w:val="13"/>
            </w:pPr>
            <w:r>
              <w:t>3351.00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exac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523.16</w:t>
            </w:r>
          </w:p>
        </w:tc>
        <w:tc>
          <w:tcPr>
            <w:tcW w:w="2551" w:type="dxa"/>
            <w:vAlign w:val="center"/>
          </w:tcPr>
          <w:p>
            <w:pPr>
              <w:pStyle w:val="17"/>
            </w:pPr>
            <w:r>
              <w:t>475.27</w:t>
            </w:r>
          </w:p>
        </w:tc>
        <w:tc>
          <w:tcPr>
            <w:tcW w:w="2551" w:type="dxa"/>
            <w:vAlign w:val="center"/>
          </w:tcPr>
          <w:p>
            <w:pPr>
              <w:pStyle w:val="17"/>
            </w:pPr>
            <w:r>
              <w:t>47.89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456.27</w:t>
            </w:r>
          </w:p>
        </w:tc>
        <w:tc>
          <w:tcPr>
            <w:tcW w:w="2551" w:type="dxa"/>
            <w:vAlign w:val="center"/>
          </w:tcPr>
          <w:p>
            <w:pPr>
              <w:pStyle w:val="13"/>
            </w:pPr>
            <w:r>
              <w:t>456.27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126.00</w:t>
            </w:r>
          </w:p>
        </w:tc>
        <w:tc>
          <w:tcPr>
            <w:tcW w:w="2551" w:type="dxa"/>
            <w:vAlign w:val="center"/>
          </w:tcPr>
          <w:p>
            <w:pPr>
              <w:pStyle w:val="13"/>
            </w:pPr>
            <w:r>
              <w:t>126.00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114.04</w:t>
            </w:r>
          </w:p>
        </w:tc>
        <w:tc>
          <w:tcPr>
            <w:tcW w:w="2551" w:type="dxa"/>
            <w:vAlign w:val="center"/>
          </w:tcPr>
          <w:p>
            <w:pPr>
              <w:pStyle w:val="13"/>
            </w:pPr>
            <w:r>
              <w:t>114.04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93.00</w:t>
            </w:r>
          </w:p>
        </w:tc>
        <w:tc>
          <w:tcPr>
            <w:tcW w:w="2551" w:type="dxa"/>
            <w:vAlign w:val="center"/>
          </w:tcPr>
          <w:p>
            <w:pPr>
              <w:pStyle w:val="13"/>
            </w:pPr>
            <w:r>
              <w:t>93.00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16.23</w:t>
            </w:r>
          </w:p>
        </w:tc>
        <w:tc>
          <w:tcPr>
            <w:tcW w:w="2551" w:type="dxa"/>
            <w:vAlign w:val="center"/>
          </w:tcPr>
          <w:p>
            <w:pPr>
              <w:pStyle w:val="13"/>
            </w:pPr>
            <w:r>
              <w:t>16.23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47.89</w:t>
            </w:r>
          </w:p>
        </w:tc>
        <w:tc>
          <w:tcPr>
            <w:tcW w:w="2551" w:type="dxa"/>
            <w:vAlign w:val="center"/>
          </w:tcPr>
          <w:p>
            <w:pPr>
              <w:pStyle w:val="13"/>
            </w:pPr>
          </w:p>
        </w:tc>
        <w:tc>
          <w:tcPr>
            <w:tcW w:w="2551" w:type="dxa"/>
            <w:vAlign w:val="center"/>
          </w:tcPr>
          <w:p>
            <w:pPr>
              <w:pStyle w:val="13"/>
            </w:pPr>
            <w:r>
              <w:t>47.89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6.35</w:t>
            </w:r>
          </w:p>
        </w:tc>
        <w:tc>
          <w:tcPr>
            <w:tcW w:w="2551" w:type="dxa"/>
            <w:vAlign w:val="center"/>
          </w:tcPr>
          <w:p>
            <w:pPr>
              <w:pStyle w:val="13"/>
            </w:pPr>
          </w:p>
        </w:tc>
        <w:tc>
          <w:tcPr>
            <w:tcW w:w="2551" w:type="dxa"/>
            <w:vAlign w:val="center"/>
          </w:tcPr>
          <w:p>
            <w:pPr>
              <w:pStyle w:val="13"/>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16.30</w:t>
            </w:r>
          </w:p>
        </w:tc>
        <w:tc>
          <w:tcPr>
            <w:tcW w:w="2551" w:type="dxa"/>
            <w:vAlign w:val="center"/>
          </w:tcPr>
          <w:p>
            <w:pPr>
              <w:pStyle w:val="13"/>
            </w:pPr>
          </w:p>
        </w:tc>
        <w:tc>
          <w:tcPr>
            <w:tcW w:w="2551" w:type="dxa"/>
            <w:vAlign w:val="center"/>
          </w:tcPr>
          <w:p>
            <w:pPr>
              <w:pStyle w:val="13"/>
            </w:pPr>
            <w: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3.63</w:t>
            </w:r>
          </w:p>
        </w:tc>
        <w:tc>
          <w:tcPr>
            <w:tcW w:w="2551" w:type="dxa"/>
            <w:vAlign w:val="center"/>
          </w:tcPr>
          <w:p>
            <w:pPr>
              <w:pStyle w:val="13"/>
            </w:pPr>
          </w:p>
        </w:tc>
        <w:tc>
          <w:tcPr>
            <w:tcW w:w="2551" w:type="dxa"/>
            <w:vAlign w:val="center"/>
          </w:tcPr>
          <w:p>
            <w:pPr>
              <w:pStyle w:val="13"/>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203中共莲池区委组织部</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中共莲池区委组织部2025年部门预算信息公开情况说明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中共莲池区委组织部2025年部门预算信息公开情况说明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按照《中华人民共和国预算法》、《地方预决算公开操作规程》和《关于进一步推进预算公开工作的实施意见》规定，现将中共莲池区委组织部2025年部门预算公开如下：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7"/>
      </w:pPr>
      <w:r>
        <w:t>根据《中共莲池区委组织部职能配置、内设机构和人员编制规定》，中共莲池区委组织部的主要职责是：</w:t>
      </w:r>
    </w:p>
    <w:p>
      <w:pPr>
        <w:pStyle w:val="27"/>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理论，制定或参与制定全区性重要政策和制度。</w:t>
      </w:r>
    </w:p>
    <w:p>
      <w:pPr>
        <w:pStyle w:val="27"/>
      </w:pPr>
      <w:r>
        <w:t>（二）负责全区党组织特别是党的基层组织建设的调查研究、政策制定和宏观指导；负责全区党员队伍建设、组织员队伍建设的宏观指导以及全区党员发展、教育、管理工作；负责全区党的组织制度、党内生活制度建设的宏观指导，研究提出科级领导班子民主集中制建设和民主生活会的指导意见；协调指导全区党代表大会、党代表会议、人民代表大会的选举工作；负责全区党代表大会代表的日常管理和服务工作；负责全区抓党建促脱贫攻坚工作的谋划指导和组织推动；承担区委非公有制经济组织和社会组织工作委员会职责。</w:t>
      </w:r>
    </w:p>
    <w:p>
      <w:pPr>
        <w:pStyle w:val="27"/>
      </w:pPr>
      <w:r>
        <w:t>（三）负责全区各级领导班子和干部队伍建设的宏观管理，研究提出领导班子和干部队伍建设规划以及干部管理体制的意见，指导领导班子思想作风建设；负责提出区委管理的领导班子调整、配备的建议；负责区委管理干部的考察和办理职务任免、工资、待遇、退休审批手续；负责办理我区市委管理干部的工资、退休等报批手续；综合管理优秀年轻干部队伍，统筹选育管用工作，统筹协调妇女干部、少数民族干部和党外干部培养选拔工作；协助上级党委做好对口支援西藏、新疆等干部人才的选派及有关工作；负责对口支援贫困县的扶贫干部人才的选派管理及有关工作；负责军转干部安置相关工作；负责乡镇（街道）、开发区（园区）、古城保护区、区直单位股级干部的备案工作；负责选调生、大学生村官的管理、培养相关工作和宏观指导。</w:t>
      </w:r>
    </w:p>
    <w:p>
      <w:pPr>
        <w:pStyle w:val="27"/>
      </w:pPr>
      <w:r>
        <w:t>（四）负责全区干部教育培训的宏观管理、统筹协调和组织指导，研究制定全区干部教育工作的规划和措施，起草有关政策制度文件；组织实施区委管理干部和一定层次其他干部的培训；承担区委党员干部教育工作领导小组办公室职责任务。负责干部监督工作的综合协调和宏观管理；对选人用人工作进行监督，处置反映违反干部选拔任用工作政策法规选人用人问题及领导干部相关问题的举报。负责全区干部考核工作，组织实施对区委管理领导班子和领导干部的考核工作；组织指导目标绩效考核管理工作；承担区委干部考核领导小组办公室职责任务。</w:t>
      </w:r>
    </w:p>
    <w:p>
      <w:pPr>
        <w:pStyle w:val="27"/>
      </w:pPr>
      <w:r>
        <w:t>（五）研究落实公务员、参照公务员法管理事业单位工作人员管理政策法规、制度文件；负责公务员、参照公务员法管理事业单位工作人员录用调配、考核奖惩、培训和工资福利等相关工作；指导全区公务员、参照公务员法管理事业单位工作人员队伍建设。</w:t>
      </w:r>
    </w:p>
    <w:p>
      <w:pPr>
        <w:pStyle w:val="27"/>
      </w:pPr>
      <w:r>
        <w:t>（六）负责全区人才工作和人才队伍建设的牵头抓总、统筹协调、推进落实；负责人才政策法规的贯彻实施和规划的制定，人才发展体制机制的改革推进；协助上级党委做好国家和省、市优秀高层次专家人才的联系服务工作；承担区委人才工作领导小组办公室职责任务。</w:t>
      </w:r>
    </w:p>
    <w:p>
      <w:pPr>
        <w:pStyle w:val="27"/>
      </w:pPr>
      <w:r>
        <w:t>（七）负责全区组织工作的检查督促，及时向区委反映重要情况，提出建议。</w:t>
      </w:r>
    </w:p>
    <w:p>
      <w:pPr>
        <w:pStyle w:val="27"/>
      </w:pPr>
      <w:r>
        <w:t>（八）统一管理区委机构编制委员会办公室，归口管理区委老干部局。</w:t>
      </w:r>
    </w:p>
    <w:p>
      <w:pPr>
        <w:ind w:firstLine="560" w:firstLineChars="200"/>
        <w:rPr>
          <w:rFonts w:eastAsia="方正仿宋_GBK"/>
          <w:sz w:val="28"/>
        </w:rPr>
      </w:pPr>
      <w:r>
        <w:rPr>
          <w:rFonts w:eastAsia="方正仿宋_GBK"/>
          <w:sz w:val="28"/>
        </w:rPr>
        <w:t>（九）完成区委和上级组织部门交办的其他事项。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中共莲池区委组织部本级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0"/>
        </w:numPr>
        <w:spacing w:before="10" w:after="10" w:line="360" w:lineRule="auto"/>
        <w:jc w:val="left"/>
        <w:outlineLvl w:val="2"/>
        <w:rPr>
          <w:rFonts w:ascii="黑体" w:hAnsi="黑体" w:eastAsia="黑体" w:cs="黑体"/>
          <w:color w:val="000000"/>
          <w:sz w:val="32"/>
        </w:rPr>
      </w:pPr>
      <w:bookmarkStart w:id="10" w:name="_Toc_3_3_0000000011"/>
    </w:p>
    <w:p>
      <w:pPr>
        <w:numPr>
          <w:ilvl w:val="0"/>
          <w:numId w:val="0"/>
        </w:numPr>
        <w:spacing w:before="10" w:after="10" w:line="360" w:lineRule="auto"/>
        <w:ind w:firstLine="640" w:firstLineChars="200"/>
        <w:jc w:val="left"/>
        <w:outlineLvl w:val="2"/>
        <w:rPr>
          <w:rFonts w:eastAsia="方正仿宋_GBK"/>
          <w:color w:val="000000"/>
          <w:sz w:val="28"/>
        </w:rPr>
      </w:pPr>
      <w:r>
        <w:rPr>
          <w:rFonts w:hint="eastAsia" w:ascii="黑体" w:hAnsi="黑体" w:eastAsia="黑体" w:cs="黑体"/>
          <w:color w:val="000000"/>
          <w:sz w:val="32"/>
          <w:lang w:val="en-US" w:eastAsia="zh-CN"/>
        </w:rPr>
        <w:t>二、</w:t>
      </w:r>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按照预算管理有关规定，目前我省部门预算的编制实行综合预算管理，即全部收入和支出都反映在预算中。中共莲池区委组织部机关及所属事业单位的收支包含在部门预算中。</w:t>
      </w:r>
      <w:bookmarkStart w:id="11" w:name="_Toc_3_3_0000000012"/>
    </w:p>
    <w:p>
      <w:pPr>
        <w:pStyle w:val="2"/>
        <w:kinsoku w:val="0"/>
        <w:overflowPunct w:val="0"/>
        <w:spacing w:line="482" w:lineRule="exact"/>
        <w:ind w:firstLine="640" w:firstLineChars="200"/>
        <w:rPr>
          <w:rFonts w:ascii="微软雅黑" w:eastAsia="微软雅黑" w:cs="微软雅黑"/>
        </w:rPr>
      </w:pPr>
      <w:r>
        <w:rPr>
          <w:rFonts w:ascii="微软雅黑" w:eastAsia="微软雅黑" w:cs="微软雅黑"/>
        </w:rPr>
        <w:t>1</w:t>
      </w:r>
      <w:r>
        <w:rPr>
          <w:rFonts w:hint="eastAsia" w:ascii="微软雅黑" w:eastAsia="微软雅黑" w:cs="微软雅黑"/>
        </w:rPr>
        <w:t>、收入说明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40" w:lineRule="exact"/>
        <w:ind w:firstLine="619"/>
        <w:rPr>
          <w:rFonts w:ascii="仿宋" w:eastAsia="仿宋" w:cs="仿宋"/>
          <w:sz w:val="32"/>
          <w:szCs w:val="32"/>
        </w:rPr>
      </w:pPr>
      <w:r>
        <w:rPr>
          <w:rFonts w:hint="eastAsia" w:ascii="仿宋" w:eastAsia="仿宋" w:cs="仿宋"/>
          <w:sz w:val="32"/>
          <w:szCs w:val="32"/>
        </w:rPr>
        <w:t>反映本部门当年全部收入。</w:t>
      </w:r>
      <w:r>
        <w:rPr>
          <w:rFonts w:ascii="仿宋" w:eastAsia="仿宋" w:cs="仿宋"/>
          <w:sz w:val="32"/>
          <w:szCs w:val="32"/>
        </w:rPr>
        <w:t>202</w:t>
      </w:r>
      <w:r>
        <w:rPr>
          <w:rFonts w:hint="default" w:ascii="仿宋" w:eastAsia="仿宋" w:cs="仿宋"/>
          <w:sz w:val="32"/>
          <w:szCs w:val="32"/>
          <w:lang w:val="en-US" w:eastAsia="zh-CN"/>
        </w:rPr>
        <w:t>5</w:t>
      </w:r>
      <w:r>
        <w:rPr>
          <w:rFonts w:hint="eastAsia" w:ascii="仿宋" w:eastAsia="仿宋" w:cs="仿宋"/>
          <w:sz w:val="32"/>
          <w:szCs w:val="32"/>
        </w:rPr>
        <w:t>年预算收</w:t>
      </w:r>
      <w:r>
        <w:rPr>
          <w:rFonts w:hint="eastAsia" w:ascii="仿宋" w:eastAsia="仿宋" w:cs="仿宋"/>
          <w:sz w:val="32"/>
          <w:szCs w:val="32"/>
          <w:lang w:eastAsia="zh-CN"/>
        </w:rPr>
        <w:t>入</w:t>
      </w:r>
      <w:r>
        <w:rPr>
          <w:rFonts w:hint="default" w:ascii="仿宋" w:eastAsia="仿宋" w:cs="仿宋"/>
          <w:sz w:val="32"/>
          <w:szCs w:val="32"/>
          <w:lang w:val="en-US" w:eastAsia="zh-CN"/>
        </w:rPr>
        <w:t>4023.35</w:t>
      </w:r>
      <w:r>
        <w:rPr>
          <w:rFonts w:hint="eastAsia" w:ascii="仿宋" w:eastAsia="仿宋" w:cs="仿宋"/>
          <w:sz w:val="32"/>
          <w:szCs w:val="32"/>
          <w:lang w:eastAsia="zh-CN"/>
        </w:rPr>
        <w:t>万元</w:t>
      </w:r>
      <w:r>
        <w:rPr>
          <w:rFonts w:hint="eastAsia" w:ascii="仿宋" w:eastAsia="仿宋" w:cs="仿宋"/>
          <w:sz w:val="32"/>
          <w:szCs w:val="32"/>
        </w:rPr>
        <w:t>，其中：一般公共预算收入</w:t>
      </w:r>
      <w:r>
        <w:rPr>
          <w:rFonts w:hint="default" w:ascii="仿宋" w:eastAsia="仿宋" w:cs="仿宋"/>
          <w:sz w:val="32"/>
          <w:szCs w:val="32"/>
          <w:lang w:val="en-US" w:eastAsia="zh-CN"/>
        </w:rPr>
        <w:t>4023.35</w:t>
      </w:r>
      <w:r>
        <w:rPr>
          <w:rFonts w:hint="eastAsia" w:ascii="仿宋" w:eastAsia="仿宋" w:cs="仿宋"/>
          <w:sz w:val="32"/>
          <w:szCs w:val="32"/>
        </w:rPr>
        <w:t>万元，</w:t>
      </w:r>
      <w:r>
        <w:rPr>
          <w:rFonts w:hint="eastAsia" w:ascii="仿宋" w:eastAsia="仿宋" w:cs="仿宋"/>
          <w:sz w:val="32"/>
          <w:szCs w:val="32"/>
          <w:lang w:eastAsia="zh-CN"/>
        </w:rPr>
        <w:t>上年结转</w:t>
      </w:r>
      <w:r>
        <w:rPr>
          <w:rFonts w:hint="default" w:ascii="仿宋" w:eastAsia="仿宋" w:cs="仿宋"/>
          <w:sz w:val="32"/>
          <w:szCs w:val="32"/>
          <w:lang w:val="en-US" w:eastAsia="zh-CN"/>
        </w:rPr>
        <w:t>0</w:t>
      </w:r>
      <w:r>
        <w:rPr>
          <w:rFonts w:hint="eastAsia" w:ascii="仿宋" w:eastAsia="仿宋" w:cs="仿宋"/>
          <w:sz w:val="32"/>
          <w:szCs w:val="32"/>
          <w:lang w:eastAsia="zh-CN"/>
        </w:rPr>
        <w:t>万元，</w:t>
      </w:r>
      <w:r>
        <w:rPr>
          <w:rFonts w:hint="eastAsia" w:ascii="仿宋" w:eastAsia="仿宋" w:cs="仿宋"/>
          <w:sz w:val="32"/>
          <w:szCs w:val="32"/>
        </w:rPr>
        <w:t>基金预算收入</w:t>
      </w:r>
      <w:r>
        <w:rPr>
          <w:rFonts w:ascii="仿宋" w:eastAsia="仿宋" w:cs="仿宋"/>
          <w:sz w:val="32"/>
          <w:szCs w:val="32"/>
        </w:rPr>
        <w:t>0</w:t>
      </w:r>
      <w:r>
        <w:rPr>
          <w:rFonts w:hint="eastAsia" w:ascii="仿宋" w:eastAsia="仿宋" w:cs="仿宋"/>
          <w:sz w:val="32"/>
          <w:szCs w:val="32"/>
        </w:rPr>
        <w:t>万元，财政专户核拨收入</w:t>
      </w:r>
      <w:r>
        <w:rPr>
          <w:rFonts w:ascii="仿宋" w:eastAsia="仿宋" w:cs="仿宋"/>
          <w:sz w:val="32"/>
          <w:szCs w:val="32"/>
        </w:rPr>
        <w:t>0</w:t>
      </w:r>
      <w:r>
        <w:rPr>
          <w:rFonts w:hint="eastAsia" w:ascii="仿宋" w:eastAsia="仿宋" w:cs="仿宋"/>
          <w:sz w:val="32"/>
          <w:szCs w:val="32"/>
        </w:rPr>
        <w:t>万元。</w:t>
      </w:r>
    </w:p>
    <w:p>
      <w:pPr>
        <w:pStyle w:val="2"/>
        <w:kinsoku w:val="0"/>
        <w:overflowPunct w:val="0"/>
        <w:spacing w:before="150"/>
        <w:ind w:firstLine="640" w:firstLineChars="200"/>
        <w:rPr>
          <w:rFonts w:ascii="微软雅黑" w:eastAsia="微软雅黑" w:cs="微软雅黑"/>
        </w:rPr>
      </w:pPr>
      <w:r>
        <w:rPr>
          <w:rFonts w:ascii="微软雅黑" w:eastAsia="微软雅黑" w:cs="微软雅黑"/>
        </w:rPr>
        <w:t>2</w:t>
      </w:r>
      <w:r>
        <w:rPr>
          <w:rFonts w:hint="eastAsia" w:ascii="微软雅黑" w:eastAsia="微软雅黑" w:cs="微软雅黑"/>
        </w:rPr>
        <w:t>、支出说明</w:t>
      </w:r>
    </w:p>
    <w:p>
      <w:pPr>
        <w:pStyle w:val="2"/>
        <w:kinsoku w:val="0"/>
        <w:overflowPunct w:val="0"/>
        <w:spacing w:before="93" w:line="338" w:lineRule="auto"/>
        <w:ind w:right="748" w:firstLine="640" w:firstLineChars="200"/>
      </w:pPr>
      <w:r>
        <w:rPr>
          <w:rFonts w:hint="eastAsia"/>
        </w:rPr>
        <w:t>收支预算总表支出栏、基本支出表、项目支出表按经济分类和支出功能分类科目编制，反映本部门年度单位预算中支出预算的总体情况。</w:t>
      </w:r>
    </w:p>
    <w:p>
      <w:pPr>
        <w:pStyle w:val="2"/>
        <w:kinsoku w:val="0"/>
        <w:overflowPunct w:val="0"/>
        <w:spacing w:before="93" w:line="338" w:lineRule="auto"/>
        <w:ind w:right="748" w:firstLine="640" w:firstLineChars="200"/>
      </w:pPr>
      <w:r>
        <w:t>202</w:t>
      </w:r>
      <w:r>
        <w:rPr>
          <w:rFonts w:hint="default"/>
          <w:lang w:val="en-US"/>
        </w:rPr>
        <w:t>5</w:t>
      </w:r>
      <w:r>
        <w:rPr>
          <w:rFonts w:hint="eastAsia"/>
        </w:rPr>
        <w:t>年支出预算</w:t>
      </w:r>
      <w:r>
        <w:rPr>
          <w:rFonts w:hint="default"/>
          <w:lang w:val="en-US"/>
        </w:rPr>
        <w:t>4023.35</w:t>
      </w:r>
      <w:r>
        <w:rPr>
          <w:rFonts w:hint="eastAsia"/>
        </w:rPr>
        <w:t>万元，其中：基本支出</w:t>
      </w:r>
      <w:r>
        <w:rPr>
          <w:rFonts w:hint="default"/>
          <w:lang w:val="en-US"/>
        </w:rPr>
        <w:t>523.16</w:t>
      </w:r>
      <w:r>
        <w:rPr>
          <w:rFonts w:hint="eastAsia"/>
        </w:rPr>
        <w:t>万元，包括人员经费</w:t>
      </w:r>
      <w:r>
        <w:rPr>
          <w:rFonts w:hint="default"/>
          <w:lang w:val="en-US"/>
        </w:rPr>
        <w:t>475.27</w:t>
      </w:r>
      <w:r>
        <w:rPr>
          <w:rFonts w:hint="eastAsia"/>
        </w:rPr>
        <w:t>万元和日常公用经费</w:t>
      </w:r>
      <w:r>
        <w:rPr>
          <w:rFonts w:hint="default"/>
          <w:lang w:val="en-US"/>
        </w:rPr>
        <w:t>47.89</w:t>
      </w:r>
      <w:r>
        <w:rPr>
          <w:rFonts w:hint="eastAsia"/>
        </w:rPr>
        <w:t>万元；项目支出</w:t>
      </w:r>
      <w:r>
        <w:rPr>
          <w:rFonts w:hint="default"/>
          <w:lang w:val="en-US"/>
        </w:rPr>
        <w:t>3500.19</w:t>
      </w:r>
      <w:r>
        <w:rPr>
          <w:rFonts w:hint="eastAsia"/>
        </w:rPr>
        <w:t>万元。项目支出主要是安排用于一般公共服务支出、社会保障和就业支出、卫生健康支出、对村民委员会和村党支部的补助支出等相关工作。</w:t>
      </w:r>
    </w:p>
    <w:p>
      <w:pPr>
        <w:pStyle w:val="2"/>
        <w:kinsoku w:val="0"/>
        <w:overflowPunct w:val="0"/>
        <w:spacing w:before="68"/>
        <w:ind w:firstLine="640" w:firstLineChars="200"/>
        <w:rPr>
          <w:rFonts w:ascii="微软雅黑" w:eastAsia="微软雅黑" w:cs="微软雅黑"/>
        </w:rPr>
      </w:pPr>
      <w:r>
        <w:rPr>
          <w:rFonts w:ascii="微软雅黑" w:eastAsia="微软雅黑" w:cs="微软雅黑"/>
        </w:rPr>
        <w:t>3</w:t>
      </w:r>
      <w:r>
        <w:rPr>
          <w:rFonts w:hint="eastAsia" w:ascii="微软雅黑" w:eastAsia="微软雅黑" w:cs="微软雅黑"/>
        </w:rPr>
        <w:t>、比上年增减情况</w:t>
      </w:r>
    </w:p>
    <w:p>
      <w:pPr>
        <w:pStyle w:val="2"/>
        <w:kinsoku w:val="0"/>
        <w:overflowPunct w:val="0"/>
        <w:spacing w:before="93" w:line="338" w:lineRule="auto"/>
        <w:ind w:right="748" w:firstLine="640" w:firstLineChars="200"/>
        <w:rPr>
          <w:highlight w:val="yellow"/>
        </w:rPr>
      </w:pPr>
      <w:r>
        <w:t>202</w:t>
      </w:r>
      <w:r>
        <w:rPr>
          <w:rFonts w:hint="default"/>
          <w:lang w:val="en-US"/>
        </w:rPr>
        <w:t>5</w:t>
      </w:r>
      <w:r>
        <w:t>年</w:t>
      </w:r>
      <w:r>
        <w:rPr>
          <w:rFonts w:hint="eastAsia"/>
        </w:rPr>
        <w:t>预算收支安排</w:t>
      </w:r>
      <w:r>
        <w:rPr>
          <w:rFonts w:hint="default"/>
          <w:lang w:val="en-US"/>
        </w:rPr>
        <w:t>4023.35</w:t>
      </w:r>
      <w:r>
        <w:rPr>
          <w:rFonts w:hint="eastAsia"/>
        </w:rPr>
        <w:t>万元，</w:t>
      </w:r>
      <w:r>
        <w:t>202</w:t>
      </w:r>
      <w:r>
        <w:rPr>
          <w:rFonts w:hint="default"/>
          <w:lang w:val="en-US"/>
        </w:rPr>
        <w:t>4</w:t>
      </w:r>
      <w:r>
        <w:rPr>
          <w:rFonts w:hint="eastAsia"/>
        </w:rPr>
        <w:t>年预算收支安排</w:t>
      </w:r>
      <w:r>
        <w:t>2830.26</w:t>
      </w:r>
      <w:r>
        <w:rPr>
          <w:rFonts w:hint="eastAsia"/>
        </w:rPr>
        <w:t>万元，相比上年收支增加</w:t>
      </w:r>
      <w:r>
        <w:rPr>
          <w:rFonts w:hint="default"/>
          <w:lang w:val="en-US"/>
        </w:rPr>
        <w:t>1193.09</w:t>
      </w:r>
      <w:r>
        <w:rPr>
          <w:rFonts w:hint="eastAsia"/>
        </w:rPr>
        <w:t>万元。其中，</w:t>
      </w:r>
      <w:r>
        <w:rPr>
          <w:rFonts w:hint="eastAsia"/>
          <w:lang w:val="en-US" w:eastAsia="zh-CN"/>
        </w:rPr>
        <w:t>人员</w:t>
      </w:r>
      <w:r>
        <w:rPr>
          <w:rFonts w:hint="eastAsia"/>
        </w:rPr>
        <w:t>支出增加，原因是职能增加，对村民委员会和村党支部的补助支出纳入年初预算。</w:t>
      </w:r>
    </w:p>
    <w:p>
      <w:pPr>
        <w:numPr>
          <w:ilvl w:val="0"/>
          <w:numId w:val="0"/>
        </w:numPr>
        <w:spacing w:before="10" w:after="10" w:line="360" w:lineRule="auto"/>
        <w:ind w:firstLine="560" w:firstLineChars="200"/>
        <w:jc w:val="left"/>
        <w:outlineLvl w:val="2"/>
        <w:rPr>
          <w:rFonts w:hint="eastAsia" w:ascii="黑体" w:hAnsi="黑体" w:eastAsia="黑体" w:cs="黑体"/>
          <w:color w:val="000000"/>
          <w:sz w:val="32"/>
        </w:rPr>
      </w:pPr>
      <w:r>
        <w:rPr>
          <w:rFonts w:hint="eastAsia" w:ascii="黑体" w:hAnsi="黑体" w:eastAsia="黑体" w:cs="黑体"/>
          <w:color w:val="000000"/>
          <w:sz w:val="28"/>
          <w:lang w:val="en-US" w:eastAsia="zh-CN"/>
        </w:rPr>
        <w:t>三、</w:t>
      </w:r>
      <w:r>
        <w:rPr>
          <w:rFonts w:hint="eastAsia" w:ascii="黑体" w:hAnsi="黑体" w:eastAsia="黑体" w:cs="黑体"/>
          <w:color w:val="000000"/>
          <w:sz w:val="32"/>
        </w:rPr>
        <w:t>机关运行经费安排情况</w:t>
      </w:r>
      <w:bookmarkEnd w:id="11"/>
    </w:p>
    <w:p>
      <w:pPr>
        <w:widowControl w:val="0"/>
        <w:kinsoku w:val="0"/>
        <w:overflowPunct w:val="0"/>
        <w:autoSpaceDE w:val="0"/>
        <w:autoSpaceDN w:val="0"/>
        <w:adjustRightInd w:val="0"/>
        <w:spacing w:before="93" w:line="336" w:lineRule="auto"/>
        <w:ind w:right="748" w:firstLine="640" w:firstLineChars="200"/>
        <w:rPr>
          <w:highlight w:val="yellow"/>
        </w:rPr>
      </w:pPr>
      <w:r>
        <w:rPr>
          <w:rFonts w:hint="eastAsia" w:ascii="仿宋" w:eastAsia="仿宋" w:cs="仿宋"/>
          <w:sz w:val="32"/>
          <w:szCs w:val="32"/>
          <w:lang w:eastAsia="zh-CN"/>
        </w:rPr>
        <w:t>202</w:t>
      </w:r>
      <w:r>
        <w:rPr>
          <w:rFonts w:hint="default" w:ascii="仿宋" w:eastAsia="仿宋" w:cs="仿宋"/>
          <w:sz w:val="32"/>
          <w:szCs w:val="32"/>
          <w:lang w:val="en-US" w:eastAsia="zh-CN"/>
        </w:rPr>
        <w:t>5</w:t>
      </w:r>
      <w:r>
        <w:rPr>
          <w:rFonts w:hint="eastAsia" w:ascii="仿宋" w:eastAsia="仿宋" w:cs="仿宋"/>
          <w:sz w:val="32"/>
          <w:szCs w:val="32"/>
          <w:lang w:eastAsia="zh-CN"/>
        </w:rPr>
        <w:t>年，我部门机关运行经费共计安排</w:t>
      </w:r>
      <w:r>
        <w:rPr>
          <w:rFonts w:hint="default" w:ascii="仿宋" w:eastAsia="仿宋" w:cs="仿宋"/>
          <w:sz w:val="32"/>
          <w:szCs w:val="32"/>
          <w:lang w:val="en-US" w:eastAsia="zh-CN"/>
        </w:rPr>
        <w:t>47.89</w:t>
      </w:r>
      <w:r>
        <w:rPr>
          <w:rFonts w:hint="eastAsia" w:ascii="仿宋" w:eastAsia="仿宋" w:cs="仿宋"/>
          <w:sz w:val="32"/>
          <w:szCs w:val="32"/>
          <w:lang w:eastAsia="zh-CN"/>
        </w:rPr>
        <w:t>万元，主要用于我</w:t>
      </w:r>
      <w:r>
        <w:rPr>
          <w:rFonts w:hint="eastAsia" w:ascii="仿宋" w:eastAsia="仿宋" w:cs="仿宋"/>
          <w:sz w:val="32"/>
          <w:szCs w:val="32"/>
          <w:lang w:val="en-US" w:eastAsia="zh-CN"/>
        </w:rPr>
        <w:t>部</w:t>
      </w:r>
      <w:r>
        <w:rPr>
          <w:rFonts w:hint="eastAsia" w:ascii="仿宋" w:eastAsia="仿宋" w:cs="仿宋"/>
          <w:sz w:val="32"/>
          <w:szCs w:val="32"/>
          <w:lang w:eastAsia="zh-CN"/>
        </w:rPr>
        <w:t>正常运行的公用经费支出，是保证部门正常公务活动和日常业务开展所必需的经费，主要包括办公及印刷费、邮电费、差旅费、会议费、福利费、日常维修费、公务用车运行维护费以及公务员车补和通讯补费用等。</w:t>
      </w:r>
    </w:p>
    <w:p>
      <w:pPr>
        <w:numPr>
          <w:ilvl w:val="0"/>
          <w:numId w:val="0"/>
        </w:numPr>
        <w:spacing w:before="10" w:after="10" w:line="360" w:lineRule="auto"/>
        <w:jc w:val="left"/>
        <w:outlineLvl w:val="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38" w:lineRule="auto"/>
        <w:ind w:firstLine="800" w:firstLineChars="250"/>
        <w:rPr>
          <w:rFonts w:hint="eastAsia" w:ascii="仿宋" w:eastAsia="仿宋" w:cs="仿宋"/>
          <w:sz w:val="32"/>
          <w:szCs w:val="32"/>
        </w:rPr>
      </w:pPr>
      <w:r>
        <w:rPr>
          <w:rFonts w:ascii="仿宋" w:eastAsia="仿宋" w:cs="仿宋"/>
          <w:sz w:val="32"/>
          <w:szCs w:val="32"/>
        </w:rPr>
        <w:t>202</w:t>
      </w:r>
      <w:r>
        <w:rPr>
          <w:rFonts w:hint="default" w:ascii="仿宋" w:eastAsia="仿宋" w:cs="仿宋"/>
          <w:sz w:val="32"/>
          <w:szCs w:val="32"/>
          <w:lang w:val="en-US" w:eastAsia="zh-CN"/>
        </w:rPr>
        <w:t>5</w:t>
      </w:r>
      <w:r>
        <w:rPr>
          <w:rFonts w:hint="eastAsia" w:ascii="仿宋" w:eastAsia="仿宋" w:cs="仿宋"/>
          <w:sz w:val="32"/>
          <w:szCs w:val="32"/>
        </w:rPr>
        <w:t>年我</w:t>
      </w:r>
      <w:r>
        <w:rPr>
          <w:rFonts w:hint="eastAsia" w:ascii="仿宋" w:eastAsia="仿宋" w:cs="仿宋"/>
          <w:sz w:val="32"/>
          <w:szCs w:val="32"/>
          <w:lang w:eastAsia="zh-CN"/>
        </w:rPr>
        <w:t>部门</w:t>
      </w:r>
      <w:r>
        <w:rPr>
          <w:rFonts w:hint="eastAsia" w:ascii="仿宋" w:eastAsia="仿宋" w:cs="仿宋"/>
          <w:sz w:val="32"/>
          <w:szCs w:val="32"/>
        </w:rPr>
        <w:t>财政拨款“三公”经费预算安排</w:t>
      </w:r>
      <w:r>
        <w:rPr>
          <w:rFonts w:hint="eastAsia" w:ascii="仿宋" w:eastAsia="仿宋" w:cs="仿宋"/>
          <w:sz w:val="32"/>
          <w:szCs w:val="32"/>
          <w:lang w:eastAsia="zh-CN"/>
        </w:rPr>
        <w:t>0</w:t>
      </w:r>
      <w:r>
        <w:rPr>
          <w:rFonts w:hint="eastAsia" w:ascii="仿宋" w:eastAsia="仿宋" w:cs="仿宋"/>
          <w:sz w:val="32"/>
          <w:szCs w:val="32"/>
        </w:rPr>
        <w:t>万元，其中因公出国（境）费</w:t>
      </w:r>
      <w:r>
        <w:rPr>
          <w:rFonts w:ascii="仿宋" w:eastAsia="仿宋" w:cs="仿宋"/>
          <w:sz w:val="32"/>
          <w:szCs w:val="32"/>
        </w:rPr>
        <w:t>0</w:t>
      </w:r>
      <w:r>
        <w:rPr>
          <w:rFonts w:hint="eastAsia" w:ascii="仿宋" w:eastAsia="仿宋" w:cs="仿宋"/>
          <w:sz w:val="32"/>
          <w:szCs w:val="32"/>
        </w:rPr>
        <w:t>万元；公务用车购置及运行维护费</w:t>
      </w:r>
      <w:r>
        <w:rPr>
          <w:rFonts w:hint="eastAsia" w:ascii="仿宋" w:eastAsia="仿宋" w:cs="仿宋"/>
          <w:sz w:val="32"/>
          <w:szCs w:val="32"/>
          <w:lang w:eastAsia="zh-CN"/>
        </w:rPr>
        <w:t>0</w:t>
      </w:r>
      <w:r>
        <w:rPr>
          <w:rFonts w:hint="eastAsia" w:ascii="仿宋" w:eastAsia="仿宋" w:cs="仿宋"/>
          <w:sz w:val="32"/>
          <w:szCs w:val="32"/>
        </w:rPr>
        <w:t>万元（其中公务用车购置费</w:t>
      </w:r>
      <w:r>
        <w:rPr>
          <w:rFonts w:ascii="仿宋" w:eastAsia="仿宋" w:cs="仿宋"/>
          <w:sz w:val="32"/>
          <w:szCs w:val="32"/>
        </w:rPr>
        <w:t>0</w:t>
      </w:r>
      <w:r>
        <w:rPr>
          <w:rFonts w:hint="eastAsia" w:ascii="仿宋" w:eastAsia="仿宋" w:cs="仿宋"/>
          <w:sz w:val="32"/>
          <w:szCs w:val="32"/>
        </w:rPr>
        <w:t>万元，公务用车运行维护费</w:t>
      </w:r>
      <w:r>
        <w:rPr>
          <w:rFonts w:hint="eastAsia" w:ascii="仿宋" w:eastAsia="仿宋" w:cs="仿宋"/>
          <w:sz w:val="32"/>
          <w:szCs w:val="32"/>
          <w:lang w:eastAsia="zh-CN"/>
        </w:rPr>
        <w:t>0</w:t>
      </w:r>
      <w:r>
        <w:rPr>
          <w:rFonts w:hint="eastAsia" w:ascii="仿宋" w:eastAsia="仿宋" w:cs="仿宋"/>
          <w:sz w:val="32"/>
          <w:szCs w:val="32"/>
        </w:rPr>
        <w:t>万元）；公务接待费安排</w:t>
      </w:r>
      <w:r>
        <w:rPr>
          <w:rFonts w:ascii="仿宋" w:eastAsia="仿宋" w:cs="仿宋"/>
          <w:sz w:val="32"/>
          <w:szCs w:val="32"/>
        </w:rPr>
        <w:t>0</w:t>
      </w:r>
      <w:r>
        <w:rPr>
          <w:rFonts w:hint="eastAsia" w:ascii="仿宋" w:eastAsia="仿宋" w:cs="仿宋"/>
          <w:sz w:val="32"/>
          <w:szCs w:val="32"/>
        </w:rPr>
        <w:t>万元。</w:t>
      </w:r>
    </w:p>
    <w:p>
      <w:pPr>
        <w:spacing w:before="10" w:after="10" w:line="360" w:lineRule="auto"/>
        <w:ind w:firstLine="640"/>
        <w:jc w:val="center"/>
        <w:outlineLvl w:val="2"/>
        <w:rPr>
          <w:rFonts w:hint="eastAsia" w:eastAsia="方正仿宋_GBK"/>
          <w:color w:val="000000"/>
          <w:sz w:val="28"/>
          <w:lang w:eastAsia="zh-CN"/>
        </w:rPr>
      </w:pPr>
    </w:p>
    <w:p>
      <w:pPr>
        <w:spacing w:before="10" w:after="10" w:line="360" w:lineRule="auto"/>
        <w:ind w:firstLine="640"/>
        <w:jc w:val="center"/>
        <w:outlineLvl w:val="2"/>
        <w:rPr>
          <w:rFonts w:hint="eastAsia" w:eastAsia="方正仿宋_GBK"/>
          <w:color w:val="000000"/>
          <w:sz w:val="28"/>
          <w:lang w:eastAsia="zh-CN"/>
        </w:rPr>
      </w:pPr>
    </w:p>
    <w:p>
      <w:pPr>
        <w:spacing w:before="10" w:after="10" w:line="360" w:lineRule="auto"/>
        <w:ind w:firstLine="640"/>
        <w:jc w:val="center"/>
        <w:outlineLvl w:val="2"/>
        <w:rPr>
          <w:rFonts w:eastAsia="黑体" w:cs="黑体" w:asciiTheme="minorHAnsi" w:hAnsiTheme="minorHAnsi"/>
          <w:color w:val="000000"/>
          <w:sz w:val="32"/>
          <w:lang w:val="uk-UA"/>
        </w:rPr>
      </w:pPr>
      <w:r>
        <w:rPr>
          <w:rFonts w:hint="eastAsia" w:eastAsia="方正仿宋_GBK"/>
          <w:color w:val="000000"/>
          <w:sz w:val="28"/>
          <w:lang w:eastAsia="zh-CN"/>
        </w:rPr>
        <w:t>“三公”经费预算情况及增减变化原因</w:t>
      </w:r>
    </w:p>
    <w:tbl>
      <w:tblPr>
        <w:tblStyle w:val="6"/>
        <w:tblW w:w="0" w:type="auto"/>
        <w:tblInd w:w="1154" w:type="dxa"/>
        <w:tblLayout w:type="fixed"/>
        <w:tblCellMar>
          <w:top w:w="0" w:type="dxa"/>
          <w:left w:w="108" w:type="dxa"/>
          <w:bottom w:w="0" w:type="dxa"/>
          <w:right w:w="108" w:type="dxa"/>
        </w:tblCellMar>
      </w:tblPr>
      <w:tblGrid>
        <w:gridCol w:w="2649"/>
        <w:gridCol w:w="1834"/>
        <w:gridCol w:w="1984"/>
        <w:gridCol w:w="1985"/>
        <w:gridCol w:w="2446"/>
      </w:tblGrid>
      <w:tr>
        <w:tblPrEx>
          <w:tblCellMar>
            <w:top w:w="0" w:type="dxa"/>
            <w:left w:w="108" w:type="dxa"/>
            <w:bottom w:w="0" w:type="dxa"/>
            <w:right w:w="108" w:type="dxa"/>
          </w:tblCellMar>
        </w:tblPrEx>
        <w:trPr>
          <w:trHeight w:val="205" w:hRule="atLeast"/>
        </w:trPr>
        <w:tc>
          <w:tcPr>
            <w:tcW w:w="6467" w:type="dxa"/>
            <w:gridSpan w:val="3"/>
            <w:tcBorders>
              <w:top w:val="nil"/>
              <w:left w:val="nil"/>
              <w:bottom w:val="nil"/>
              <w:right w:val="nil"/>
            </w:tcBorders>
            <w:noWrap/>
            <w:vAlign w:val="center"/>
          </w:tcPr>
          <w:p>
            <w:pPr>
              <w:rPr>
                <w:rFonts w:eastAsia="方正仿宋_GBK"/>
                <w:color w:val="000000"/>
              </w:rPr>
            </w:pPr>
          </w:p>
        </w:tc>
        <w:tc>
          <w:tcPr>
            <w:tcW w:w="1985" w:type="dxa"/>
            <w:tcBorders>
              <w:top w:val="nil"/>
              <w:left w:val="nil"/>
              <w:bottom w:val="nil"/>
              <w:right w:val="nil"/>
            </w:tcBorders>
            <w:noWrap/>
            <w:vAlign w:val="center"/>
          </w:tcPr>
          <w:p>
            <w:pPr>
              <w:rPr>
                <w:rFonts w:eastAsia="方正仿宋_GBK"/>
                <w:color w:val="000000"/>
              </w:rPr>
            </w:pPr>
          </w:p>
        </w:tc>
        <w:tc>
          <w:tcPr>
            <w:tcW w:w="2446" w:type="dxa"/>
            <w:tcBorders>
              <w:top w:val="nil"/>
              <w:left w:val="nil"/>
              <w:bottom w:val="nil"/>
              <w:right w:val="nil"/>
            </w:tcBorders>
            <w:noWrap/>
            <w:vAlign w:val="center"/>
          </w:tcPr>
          <w:p>
            <w:pPr>
              <w:jc w:val="right"/>
              <w:rPr>
                <w:rFonts w:eastAsia="方正仿宋_GBK"/>
                <w:color w:val="000000"/>
              </w:rPr>
            </w:pPr>
            <w:r>
              <w:rPr>
                <w:rFonts w:hint="eastAsia" w:eastAsia="方正仿宋_GBK"/>
                <w:color w:val="000000"/>
              </w:rPr>
              <w:t>单位：万元</w:t>
            </w:r>
          </w:p>
        </w:tc>
      </w:tr>
      <w:tr>
        <w:tblPrEx>
          <w:tblCellMar>
            <w:top w:w="0" w:type="dxa"/>
            <w:left w:w="108" w:type="dxa"/>
            <w:bottom w:w="0" w:type="dxa"/>
            <w:right w:w="108" w:type="dxa"/>
          </w:tblCellMar>
        </w:tblPrEx>
        <w:trPr>
          <w:trHeight w:val="205" w:hRule="atLeast"/>
        </w:trPr>
        <w:tc>
          <w:tcPr>
            <w:tcW w:w="6467" w:type="dxa"/>
            <w:gridSpan w:val="3"/>
            <w:tcBorders>
              <w:top w:val="nil"/>
              <w:left w:val="nil"/>
              <w:bottom w:val="nil"/>
              <w:right w:val="nil"/>
            </w:tcBorders>
            <w:noWrap/>
            <w:vAlign w:val="center"/>
          </w:tcPr>
          <w:p>
            <w:pPr>
              <w:rPr>
                <w:rFonts w:eastAsia="方正仿宋_GBK"/>
                <w:color w:val="000000"/>
                <w:lang w:eastAsia="zh-CN"/>
              </w:rPr>
            </w:pPr>
          </w:p>
        </w:tc>
        <w:tc>
          <w:tcPr>
            <w:tcW w:w="1985" w:type="dxa"/>
            <w:tcBorders>
              <w:top w:val="nil"/>
              <w:left w:val="nil"/>
              <w:bottom w:val="nil"/>
              <w:right w:val="nil"/>
            </w:tcBorders>
            <w:noWrap/>
            <w:vAlign w:val="center"/>
          </w:tcPr>
          <w:p>
            <w:pPr>
              <w:rPr>
                <w:rFonts w:eastAsia="方正仿宋_GBK"/>
                <w:color w:val="000000"/>
              </w:rPr>
            </w:pPr>
          </w:p>
        </w:tc>
        <w:tc>
          <w:tcPr>
            <w:tcW w:w="2446" w:type="dxa"/>
            <w:tcBorders>
              <w:top w:val="nil"/>
              <w:left w:val="nil"/>
              <w:bottom w:val="nil"/>
              <w:right w:val="nil"/>
            </w:tcBorders>
            <w:noWrap/>
            <w:vAlign w:val="center"/>
          </w:tcPr>
          <w:p>
            <w:pPr>
              <w:jc w:val="right"/>
              <w:rPr>
                <w:rFonts w:eastAsia="方正仿宋_GBK"/>
                <w:color w:val="000000"/>
              </w:rPr>
            </w:pPr>
          </w:p>
        </w:tc>
      </w:tr>
      <w:tr>
        <w:tblPrEx>
          <w:tblCellMar>
            <w:top w:w="0" w:type="dxa"/>
            <w:left w:w="108" w:type="dxa"/>
            <w:bottom w:w="0" w:type="dxa"/>
            <w:right w:w="108" w:type="dxa"/>
          </w:tblCellMar>
        </w:tblPrEx>
        <w:trPr>
          <w:trHeight w:val="648" w:hRule="atLeast"/>
        </w:trPr>
        <w:tc>
          <w:tcPr>
            <w:tcW w:w="2649" w:type="dxa"/>
            <w:tcBorders>
              <w:top w:val="single" w:color="auto" w:sz="4" w:space="0"/>
              <w:left w:val="single" w:color="auto" w:sz="4" w:space="0"/>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项目名称</w:t>
            </w:r>
          </w:p>
        </w:tc>
        <w:tc>
          <w:tcPr>
            <w:tcW w:w="1834" w:type="dxa"/>
            <w:tcBorders>
              <w:top w:val="single" w:color="auto" w:sz="4" w:space="0"/>
              <w:left w:val="nil"/>
              <w:bottom w:val="single" w:color="auto" w:sz="4" w:space="0"/>
              <w:right w:val="single" w:color="auto" w:sz="4" w:space="0"/>
            </w:tcBorders>
            <w:noWrap/>
            <w:vAlign w:val="center"/>
          </w:tcPr>
          <w:p>
            <w:pPr>
              <w:spacing w:line="400" w:lineRule="exact"/>
              <w:rPr>
                <w:rFonts w:eastAsia="方正仿宋_GBK"/>
                <w:color w:val="000000"/>
              </w:rPr>
            </w:pPr>
            <w:r>
              <w:rPr>
                <w:rFonts w:hint="eastAsia" w:eastAsia="方正仿宋_GBK"/>
                <w:color w:val="000000"/>
              </w:rPr>
              <w:t>202</w:t>
            </w:r>
            <w:r>
              <w:rPr>
                <w:rFonts w:eastAsia="方正仿宋_GBK"/>
                <w:color w:val="000000"/>
              </w:rPr>
              <w:t>3</w:t>
            </w:r>
            <w:r>
              <w:rPr>
                <w:rFonts w:hint="eastAsia" w:eastAsia="方正仿宋_GBK"/>
                <w:color w:val="000000"/>
              </w:rPr>
              <w:t>年度预算</w:t>
            </w:r>
          </w:p>
        </w:tc>
        <w:tc>
          <w:tcPr>
            <w:tcW w:w="1984" w:type="dxa"/>
            <w:tcBorders>
              <w:top w:val="single" w:color="auto" w:sz="4" w:space="0"/>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202</w:t>
            </w:r>
            <w:r>
              <w:rPr>
                <w:rFonts w:eastAsia="方正仿宋_GBK"/>
                <w:color w:val="000000"/>
              </w:rPr>
              <w:t>4</w:t>
            </w:r>
            <w:r>
              <w:rPr>
                <w:rFonts w:hint="eastAsia" w:eastAsia="方正仿宋_GBK"/>
                <w:color w:val="000000"/>
              </w:rPr>
              <w:t>年度预算</w:t>
            </w:r>
          </w:p>
        </w:tc>
        <w:tc>
          <w:tcPr>
            <w:tcW w:w="1985" w:type="dxa"/>
            <w:tcBorders>
              <w:top w:val="single" w:color="auto" w:sz="4" w:space="0"/>
              <w:left w:val="nil"/>
              <w:bottom w:val="single" w:color="auto" w:sz="4" w:space="0"/>
              <w:right w:val="single" w:color="auto" w:sz="4" w:space="0"/>
            </w:tcBorders>
            <w:noWrap/>
            <w:vAlign w:val="center"/>
          </w:tcPr>
          <w:p>
            <w:pPr>
              <w:spacing w:line="400" w:lineRule="exact"/>
              <w:jc w:val="center"/>
              <w:rPr>
                <w:rFonts w:eastAsia="方正仿宋_GBK"/>
                <w:color w:val="000000"/>
              </w:rPr>
            </w:pPr>
            <w:r>
              <w:rPr>
                <w:rFonts w:hint="eastAsia" w:eastAsia="方正仿宋_GBK"/>
                <w:color w:val="000000"/>
              </w:rPr>
              <w:t>增减</w:t>
            </w:r>
          </w:p>
          <w:p>
            <w:pPr>
              <w:spacing w:line="400" w:lineRule="exact"/>
              <w:jc w:val="center"/>
              <w:rPr>
                <w:rFonts w:eastAsia="方正仿宋_GBK"/>
                <w:color w:val="000000"/>
              </w:rPr>
            </w:pPr>
            <w:r>
              <w:rPr>
                <w:rFonts w:hint="eastAsia" w:eastAsia="方正仿宋_GBK"/>
                <w:color w:val="000000"/>
              </w:rPr>
              <w:t>金额</w:t>
            </w:r>
          </w:p>
        </w:tc>
        <w:tc>
          <w:tcPr>
            <w:tcW w:w="2446" w:type="dxa"/>
            <w:tcBorders>
              <w:top w:val="single" w:color="auto" w:sz="4" w:space="0"/>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变化原因</w:t>
            </w:r>
          </w:p>
        </w:tc>
      </w:tr>
      <w:tr>
        <w:tblPrEx>
          <w:tblCellMar>
            <w:top w:w="0" w:type="dxa"/>
            <w:left w:w="108" w:type="dxa"/>
            <w:bottom w:w="0" w:type="dxa"/>
            <w:right w:w="108" w:type="dxa"/>
          </w:tblCellMar>
        </w:tblPrEx>
        <w:trPr>
          <w:trHeight w:val="605" w:hRule="atLeast"/>
        </w:trPr>
        <w:tc>
          <w:tcPr>
            <w:tcW w:w="2649" w:type="dxa"/>
            <w:tcBorders>
              <w:top w:val="nil"/>
              <w:left w:val="single" w:color="auto" w:sz="4" w:space="0"/>
              <w:bottom w:val="single" w:color="auto" w:sz="4" w:space="0"/>
              <w:right w:val="single" w:color="auto" w:sz="4" w:space="0"/>
            </w:tcBorders>
            <w:noWrap/>
            <w:vAlign w:val="center"/>
          </w:tcPr>
          <w:p>
            <w:pPr>
              <w:rPr>
                <w:rFonts w:eastAsia="方正仿宋_GBK"/>
                <w:color w:val="000000"/>
              </w:rPr>
            </w:pPr>
            <w:r>
              <w:rPr>
                <w:rFonts w:hint="eastAsia" w:eastAsia="方正仿宋_GBK"/>
                <w:color w:val="000000"/>
              </w:rPr>
              <w:t>因公出国经费</w:t>
            </w:r>
          </w:p>
        </w:tc>
        <w:tc>
          <w:tcPr>
            <w:tcW w:w="183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5"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2446" w:type="dxa"/>
            <w:tcBorders>
              <w:top w:val="nil"/>
              <w:left w:val="nil"/>
              <w:bottom w:val="single" w:color="auto" w:sz="4" w:space="0"/>
              <w:right w:val="single" w:color="auto" w:sz="4" w:space="0"/>
            </w:tcBorders>
            <w:vAlign w:val="center"/>
          </w:tcPr>
          <w:p>
            <w:pPr>
              <w:rPr>
                <w:rFonts w:eastAsia="方正仿宋_GBK"/>
                <w:color w:val="000000"/>
              </w:rPr>
            </w:pPr>
            <w:r>
              <w:rPr>
                <w:rFonts w:hint="eastAsia" w:eastAsia="方正仿宋_GBK"/>
                <w:color w:val="000000"/>
              </w:rPr>
              <w:t>无增减变化</w:t>
            </w:r>
          </w:p>
        </w:tc>
      </w:tr>
      <w:tr>
        <w:tblPrEx>
          <w:tblCellMar>
            <w:top w:w="0" w:type="dxa"/>
            <w:left w:w="108" w:type="dxa"/>
            <w:bottom w:w="0" w:type="dxa"/>
            <w:right w:w="108" w:type="dxa"/>
          </w:tblCellMar>
        </w:tblPrEx>
        <w:trPr>
          <w:trHeight w:val="515" w:hRule="atLeast"/>
        </w:trPr>
        <w:tc>
          <w:tcPr>
            <w:tcW w:w="2649" w:type="dxa"/>
            <w:tcBorders>
              <w:top w:val="nil"/>
              <w:left w:val="single" w:color="auto" w:sz="4" w:space="0"/>
              <w:bottom w:val="single" w:color="auto" w:sz="4" w:space="0"/>
              <w:right w:val="single" w:color="auto" w:sz="4" w:space="0"/>
            </w:tcBorders>
            <w:noWrap/>
            <w:vAlign w:val="center"/>
          </w:tcPr>
          <w:p>
            <w:pPr>
              <w:rPr>
                <w:rFonts w:eastAsia="方正仿宋_GBK"/>
                <w:color w:val="000000"/>
              </w:rPr>
            </w:pPr>
            <w:r>
              <w:rPr>
                <w:rFonts w:hint="eastAsia" w:eastAsia="方正仿宋_GBK"/>
                <w:color w:val="000000"/>
              </w:rPr>
              <w:t>公务用车购置经费</w:t>
            </w:r>
          </w:p>
        </w:tc>
        <w:tc>
          <w:tcPr>
            <w:tcW w:w="183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5"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2446" w:type="dxa"/>
            <w:tcBorders>
              <w:top w:val="nil"/>
              <w:left w:val="nil"/>
              <w:bottom w:val="single" w:color="auto" w:sz="4" w:space="0"/>
              <w:right w:val="single" w:color="auto" w:sz="4" w:space="0"/>
            </w:tcBorders>
            <w:vAlign w:val="center"/>
          </w:tcPr>
          <w:p>
            <w:pPr>
              <w:rPr>
                <w:rFonts w:eastAsia="方正仿宋_GBK"/>
                <w:color w:val="000000"/>
              </w:rPr>
            </w:pPr>
            <w:r>
              <w:rPr>
                <w:rFonts w:hint="eastAsia" w:eastAsia="方正仿宋_GBK"/>
                <w:color w:val="000000"/>
              </w:rPr>
              <w:t>无增减变化</w:t>
            </w:r>
          </w:p>
        </w:tc>
      </w:tr>
      <w:tr>
        <w:tblPrEx>
          <w:tblCellMar>
            <w:top w:w="0" w:type="dxa"/>
            <w:left w:w="108" w:type="dxa"/>
            <w:bottom w:w="0" w:type="dxa"/>
            <w:right w:w="108" w:type="dxa"/>
          </w:tblCellMar>
        </w:tblPrEx>
        <w:trPr>
          <w:trHeight w:val="531" w:hRule="atLeast"/>
        </w:trPr>
        <w:tc>
          <w:tcPr>
            <w:tcW w:w="2649" w:type="dxa"/>
            <w:tcBorders>
              <w:top w:val="nil"/>
              <w:left w:val="single" w:color="auto" w:sz="4" w:space="0"/>
              <w:bottom w:val="single" w:color="auto" w:sz="4" w:space="0"/>
              <w:right w:val="single" w:color="auto" w:sz="4" w:space="0"/>
            </w:tcBorders>
            <w:noWrap/>
            <w:vAlign w:val="center"/>
          </w:tcPr>
          <w:p>
            <w:pPr>
              <w:rPr>
                <w:rFonts w:eastAsia="方正仿宋_GBK"/>
                <w:color w:val="000000"/>
              </w:rPr>
            </w:pPr>
            <w:r>
              <w:rPr>
                <w:rFonts w:hint="eastAsia" w:eastAsia="方正仿宋_GBK"/>
                <w:color w:val="000000"/>
              </w:rPr>
              <w:t>公务用车运行经费</w:t>
            </w:r>
          </w:p>
        </w:tc>
        <w:tc>
          <w:tcPr>
            <w:tcW w:w="1834" w:type="dxa"/>
            <w:tcBorders>
              <w:top w:val="nil"/>
              <w:left w:val="nil"/>
              <w:bottom w:val="single" w:color="auto" w:sz="4" w:space="0"/>
              <w:right w:val="single" w:color="auto" w:sz="4" w:space="0"/>
            </w:tcBorders>
            <w:noWrap/>
            <w:vAlign w:val="center"/>
          </w:tcPr>
          <w:p>
            <w:pPr>
              <w:jc w:val="center"/>
              <w:rPr>
                <w:rFonts w:hint="eastAsia" w:eastAsiaTheme="minorEastAsia"/>
                <w:color w:val="000000"/>
                <w:lang w:eastAsia="zh-CN"/>
              </w:rPr>
            </w:pPr>
            <w:r>
              <w:rPr>
                <w:rFonts w:hint="eastAsia" w:eastAsiaTheme="minorEastAsia"/>
                <w:color w:val="000000"/>
                <w:lang w:eastAsia="zh-CN"/>
              </w:rPr>
              <w:t>0</w:t>
            </w:r>
          </w:p>
        </w:tc>
        <w:tc>
          <w:tcPr>
            <w:tcW w:w="1984" w:type="dxa"/>
            <w:tcBorders>
              <w:top w:val="nil"/>
              <w:left w:val="nil"/>
              <w:bottom w:val="single" w:color="auto" w:sz="4" w:space="0"/>
              <w:right w:val="single" w:color="auto" w:sz="4" w:space="0"/>
            </w:tcBorders>
            <w:noWrap/>
            <w:vAlign w:val="center"/>
          </w:tcPr>
          <w:p>
            <w:pPr>
              <w:jc w:val="center"/>
              <w:rPr>
                <w:rFonts w:hint="eastAsia" w:eastAsiaTheme="minorEastAsia"/>
                <w:color w:val="000000"/>
                <w:lang w:eastAsia="zh-CN"/>
              </w:rPr>
            </w:pPr>
            <w:r>
              <w:rPr>
                <w:rFonts w:hint="eastAsia" w:eastAsiaTheme="minorEastAsia"/>
                <w:color w:val="000000"/>
                <w:lang w:eastAsia="zh-CN"/>
              </w:rPr>
              <w:t>0</w:t>
            </w:r>
          </w:p>
        </w:tc>
        <w:tc>
          <w:tcPr>
            <w:tcW w:w="1985"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2446" w:type="dxa"/>
            <w:tcBorders>
              <w:top w:val="nil"/>
              <w:left w:val="nil"/>
              <w:bottom w:val="single" w:color="auto" w:sz="4" w:space="0"/>
              <w:right w:val="single" w:color="auto" w:sz="4" w:space="0"/>
            </w:tcBorders>
            <w:vAlign w:val="center"/>
          </w:tcPr>
          <w:p>
            <w:pPr>
              <w:spacing w:line="400" w:lineRule="exact"/>
              <w:rPr>
                <w:rFonts w:eastAsia="方正仿宋_GBK"/>
                <w:color w:val="000000"/>
              </w:rPr>
            </w:pPr>
            <w:r>
              <w:rPr>
                <w:rFonts w:hint="eastAsia" w:eastAsia="方正仿宋_GBK"/>
                <w:color w:val="000000"/>
              </w:rPr>
              <w:t>无增减变化</w:t>
            </w:r>
          </w:p>
        </w:tc>
      </w:tr>
      <w:tr>
        <w:tblPrEx>
          <w:tblCellMar>
            <w:top w:w="0" w:type="dxa"/>
            <w:left w:w="108" w:type="dxa"/>
            <w:bottom w:w="0" w:type="dxa"/>
            <w:right w:w="108" w:type="dxa"/>
          </w:tblCellMar>
        </w:tblPrEx>
        <w:trPr>
          <w:trHeight w:val="516" w:hRule="atLeast"/>
        </w:trPr>
        <w:tc>
          <w:tcPr>
            <w:tcW w:w="2649" w:type="dxa"/>
            <w:tcBorders>
              <w:top w:val="nil"/>
              <w:left w:val="single" w:color="auto" w:sz="4" w:space="0"/>
              <w:bottom w:val="single" w:color="auto" w:sz="4" w:space="0"/>
              <w:right w:val="single" w:color="auto" w:sz="4" w:space="0"/>
            </w:tcBorders>
            <w:noWrap/>
            <w:vAlign w:val="center"/>
          </w:tcPr>
          <w:p>
            <w:pPr>
              <w:rPr>
                <w:rFonts w:eastAsia="方正仿宋_GBK"/>
                <w:color w:val="000000"/>
              </w:rPr>
            </w:pPr>
            <w:r>
              <w:rPr>
                <w:rFonts w:hint="eastAsia" w:eastAsia="方正仿宋_GBK"/>
                <w:color w:val="000000"/>
              </w:rPr>
              <w:t>公务接待费</w:t>
            </w:r>
          </w:p>
        </w:tc>
        <w:tc>
          <w:tcPr>
            <w:tcW w:w="183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4"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1985"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hint="eastAsia" w:eastAsia="方正仿宋_GBK"/>
                <w:color w:val="000000"/>
              </w:rPr>
              <w:t>0</w:t>
            </w:r>
          </w:p>
        </w:tc>
        <w:tc>
          <w:tcPr>
            <w:tcW w:w="2446" w:type="dxa"/>
            <w:tcBorders>
              <w:top w:val="nil"/>
              <w:left w:val="nil"/>
              <w:bottom w:val="single" w:color="auto" w:sz="4" w:space="0"/>
              <w:right w:val="single" w:color="auto" w:sz="4" w:space="0"/>
            </w:tcBorders>
            <w:vAlign w:val="center"/>
          </w:tcPr>
          <w:p>
            <w:pPr>
              <w:spacing w:line="400" w:lineRule="exact"/>
              <w:rPr>
                <w:rFonts w:eastAsia="方正仿宋_GBK"/>
                <w:color w:val="000000"/>
              </w:rPr>
            </w:pPr>
            <w:r>
              <w:rPr>
                <w:rFonts w:hint="eastAsia" w:eastAsia="方正仿宋_GBK"/>
                <w:color w:val="000000"/>
              </w:rPr>
              <w:t>无增减变化</w:t>
            </w:r>
          </w:p>
        </w:tc>
      </w:tr>
      <w:tr>
        <w:tblPrEx>
          <w:tblCellMar>
            <w:top w:w="0" w:type="dxa"/>
            <w:left w:w="108" w:type="dxa"/>
            <w:bottom w:w="0" w:type="dxa"/>
            <w:right w:w="108" w:type="dxa"/>
          </w:tblCellMar>
        </w:tblPrEx>
        <w:trPr>
          <w:trHeight w:val="456" w:hRule="atLeast"/>
        </w:trPr>
        <w:tc>
          <w:tcPr>
            <w:tcW w:w="2649" w:type="dxa"/>
            <w:tcBorders>
              <w:top w:val="nil"/>
              <w:left w:val="single" w:color="auto" w:sz="4" w:space="0"/>
              <w:bottom w:val="single" w:color="auto" w:sz="4" w:space="0"/>
              <w:right w:val="single" w:color="auto" w:sz="4" w:space="0"/>
            </w:tcBorders>
            <w:noWrap/>
            <w:vAlign w:val="center"/>
          </w:tcPr>
          <w:p>
            <w:pPr>
              <w:rPr>
                <w:rFonts w:eastAsia="方正仿宋_GBK"/>
                <w:color w:val="000000"/>
              </w:rPr>
            </w:pPr>
            <w:r>
              <w:rPr>
                <w:rFonts w:hint="eastAsia" w:eastAsia="方正仿宋_GBK"/>
                <w:color w:val="000000"/>
              </w:rPr>
              <w:t>合计</w:t>
            </w:r>
          </w:p>
        </w:tc>
        <w:tc>
          <w:tcPr>
            <w:tcW w:w="1834" w:type="dxa"/>
            <w:tcBorders>
              <w:top w:val="nil"/>
              <w:left w:val="nil"/>
              <w:bottom w:val="single" w:color="auto" w:sz="4" w:space="0"/>
              <w:right w:val="single" w:color="auto" w:sz="4" w:space="0"/>
            </w:tcBorders>
            <w:noWrap/>
            <w:vAlign w:val="center"/>
          </w:tcPr>
          <w:p>
            <w:pPr>
              <w:jc w:val="center"/>
              <w:rPr>
                <w:rFonts w:hint="eastAsia" w:eastAsiaTheme="minorEastAsia"/>
                <w:color w:val="000000"/>
                <w:lang w:eastAsia="zh-CN"/>
              </w:rPr>
            </w:pPr>
            <w:r>
              <w:rPr>
                <w:rFonts w:hint="eastAsia" w:eastAsiaTheme="minorEastAsia"/>
                <w:color w:val="000000"/>
                <w:lang w:eastAsia="zh-CN"/>
              </w:rPr>
              <w:t>0</w:t>
            </w:r>
          </w:p>
        </w:tc>
        <w:tc>
          <w:tcPr>
            <w:tcW w:w="1984" w:type="dxa"/>
            <w:tcBorders>
              <w:top w:val="nil"/>
              <w:left w:val="nil"/>
              <w:bottom w:val="single" w:color="auto" w:sz="4" w:space="0"/>
              <w:right w:val="single" w:color="auto" w:sz="4" w:space="0"/>
            </w:tcBorders>
            <w:noWrap/>
            <w:vAlign w:val="center"/>
          </w:tcPr>
          <w:p>
            <w:pPr>
              <w:jc w:val="center"/>
              <w:rPr>
                <w:rFonts w:hint="eastAsia" w:eastAsiaTheme="minorEastAsia"/>
                <w:color w:val="000000"/>
                <w:lang w:eastAsia="zh-CN"/>
              </w:rPr>
            </w:pPr>
            <w:r>
              <w:rPr>
                <w:rFonts w:hint="eastAsia" w:eastAsiaTheme="minorEastAsia"/>
                <w:color w:val="000000"/>
                <w:lang w:eastAsia="zh-CN"/>
              </w:rPr>
              <w:t>0</w:t>
            </w:r>
          </w:p>
        </w:tc>
        <w:tc>
          <w:tcPr>
            <w:tcW w:w="1985" w:type="dxa"/>
            <w:tcBorders>
              <w:top w:val="nil"/>
              <w:left w:val="nil"/>
              <w:bottom w:val="single" w:color="auto" w:sz="4" w:space="0"/>
              <w:right w:val="single" w:color="auto" w:sz="4" w:space="0"/>
            </w:tcBorders>
            <w:noWrap/>
            <w:vAlign w:val="center"/>
          </w:tcPr>
          <w:p>
            <w:pPr>
              <w:jc w:val="center"/>
              <w:rPr>
                <w:rFonts w:eastAsia="方正仿宋_GBK"/>
                <w:color w:val="000000"/>
              </w:rPr>
            </w:pPr>
            <w:r>
              <w:rPr>
                <w:rFonts w:eastAsia="方正仿宋_GBK"/>
                <w:color w:val="000000"/>
              </w:rPr>
              <w:t>0</w:t>
            </w:r>
          </w:p>
        </w:tc>
        <w:tc>
          <w:tcPr>
            <w:tcW w:w="2446" w:type="dxa"/>
            <w:tcBorders>
              <w:top w:val="nil"/>
              <w:left w:val="nil"/>
              <w:bottom w:val="single" w:color="auto" w:sz="4" w:space="0"/>
              <w:right w:val="single" w:color="auto" w:sz="4" w:space="0"/>
            </w:tcBorders>
            <w:vAlign w:val="center"/>
          </w:tcPr>
          <w:p>
            <w:pPr>
              <w:spacing w:line="400" w:lineRule="exact"/>
              <w:rPr>
                <w:rFonts w:eastAsia="方正仿宋_GBK"/>
                <w:color w:val="000000"/>
              </w:rPr>
            </w:pPr>
            <w:r>
              <w:rPr>
                <w:rFonts w:hint="eastAsia" w:eastAsia="方正仿宋_GBK"/>
                <w:color w:val="000000"/>
              </w:rPr>
              <w:t>无增减变化</w:t>
            </w:r>
          </w:p>
        </w:tc>
      </w:tr>
    </w:tbl>
    <w:p>
      <w:pPr>
        <w:spacing w:line="338" w:lineRule="auto"/>
        <w:ind w:firstLine="800" w:firstLineChars="250"/>
        <w:rPr>
          <w:rFonts w:hint="eastAsia" w:ascii="仿宋" w:eastAsia="仿宋" w:cs="仿宋"/>
          <w:sz w:val="32"/>
          <w:szCs w:val="32"/>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default"/>
          <w:lang w:val="en-US"/>
        </w:rPr>
        <w:t>5</w:t>
      </w:r>
      <w:r>
        <w:t>年，全区组织工作将不断深化主题教育工作，紧紧围绕京津冀协同发展、服务保障雄安新区建设，积极推进党组织建设与中心工作的深度融合，不断增强大局意识，进一步提高组织工作科学化水平，进一步凝聚合力，为转型跨越发展提供坚实组织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（一）办公室</w:t>
      </w:r>
    </w:p>
    <w:p>
      <w:pPr>
        <w:pStyle w:val="24"/>
      </w:pPr>
      <w:r>
        <w:t>负责部内工作的综合协调和重要事项的督促检查，制定机关各项管理制度；负责机要运转、文电处理、印信管理工作；负责文字综合、文件审核、文书档案工作；负责组工信息、新闻宣传、互联网宣传、信息化建设的统筹规划和组织推进；承办部长办公会、部务会和部内理论学习等秘书事务；负责接待受理党员、干部和群众来信来访，协调办理人大代表建议、政协委员提案；负责机关财务及固定资产管理；负责机关退（离）休干部职工的教育、管理、服务工作；负责“大组工网”本级网络建设、维护和管理工作；负责会议组织接待、办公用房、安全保卫、环境卫生、机关值班、职工福利等行政后勤工作。</w:t>
      </w:r>
    </w:p>
    <w:p>
      <w:pPr>
        <w:pStyle w:val="24"/>
      </w:pPr>
      <w:r>
        <w:t>负责部机关党的建设、精神文明建设和思想政治工作；负责部机关干部队伍建设、机构编制工作和人事业务管理；负责部机关纪检监察、党风廉政建设工作；负责部机关工、青、妇等群众组织的组织领导工作。</w:t>
      </w:r>
    </w:p>
    <w:p>
      <w:pPr>
        <w:pStyle w:val="24"/>
      </w:pPr>
      <w:r>
        <w:t>负责围绕区委中心工作，对党的组织建设、班子和干部队伍建设等方面的方针政策和重大问题进行综合研究；对涉及全区组织工作的重要文件、重点文稿研究提出起草和修改意见；负责抓好信息调研工作，谋划、协调、指导全区组织工作重点课题调研，做好信息调研成果转化工作，及时总结和反映实际工作中的经验和存在的问题，为领导决策提供参考；负责做好综合性文稿、领导交办文稿的起草撰写工作，负责制定组织工作年度要点；负责编纂《中共保定市莲池区组织史资料》。</w:t>
      </w:r>
    </w:p>
    <w:p>
      <w:pPr>
        <w:pStyle w:val="24"/>
      </w:pPr>
      <w:r>
        <w:t>（二）组织股</w:t>
      </w:r>
    </w:p>
    <w:p>
      <w:pPr>
        <w:pStyle w:val="24"/>
      </w:pPr>
      <w:r>
        <w:t>负责全区党的基层组织建设；负责指导全区农村、国企、街道、社区、机关、事业单位、非公有制经济组织和社会组织等基层党组织建设，研究提出加强上述领域党建工作的意见建议，起草有关政策文件；负责全区大学生村官的教育、管理和使用工作；负责区级先进基层党组织和优秀党务工作者的评选表彰，以及全区基层党建工作先进典型的培树、宣传工作；负责扶贫脱贫帮扶责任人结对帮扶工作；负责区委党的建设（基层组织建设）工作领导小组办公室日常工作。</w:t>
      </w:r>
    </w:p>
    <w:p>
      <w:pPr>
        <w:pStyle w:val="24"/>
      </w:pPr>
      <w:r>
        <w:t>负责区委非公有制经济组织和社会组织工作委员会日常工作；研究制定全区非公有制经济组织和社会组织党建工作规划；负责非公有制经济组织和社会组织党建工作的指导、督促和检查；负责非公有制经济组织和社会组织党组织书记、党务工作者、党员队伍建设指导。</w:t>
      </w:r>
    </w:p>
    <w:p>
      <w:pPr>
        <w:pStyle w:val="24"/>
      </w:pPr>
      <w:r>
        <w:t>（三）组织员办公室</w:t>
      </w:r>
    </w:p>
    <w:p>
      <w:pPr>
        <w:pStyle w:val="24"/>
      </w:pPr>
      <w:r>
        <w:t>负责指导全区各级组织员的选拔、配备、日常管理和教育培训工作；负责研究和提出全区党员队伍建设的指导意见；负责规划、协调、指导全区党员的发展、教育和管理工作；负责全区党员电化教育工作的宏观指导；负责全区党内激励、关怀、帮扶工作的指导，指导全区优秀共产党员的推荐、评选、表彰工作；负责全区党内统计和党费管理工作指导，提出党员管理信息化、区管党费管理使用建议；负责全区“12371”党员教育服务网络平台及党员教育服务热线的建设、运行，受理党员提出的意见建议，处理党员反映的信访问题。</w:t>
      </w:r>
    </w:p>
    <w:p>
      <w:pPr>
        <w:pStyle w:val="24"/>
      </w:pPr>
      <w:r>
        <w:t>负责全区党的组织制度、党内生活制度建设的宏观指导；负责区委管理领导班子思想作风建设、民主集中制建设特别是对民主生活会的监督、检查和指导；负责研究和提出区本级党和国家机关党组织设置的意见；负责区党代表大会、党代表会议、人民代表大会换届选举工作的组织指导；负责对乡（镇）领导班子换届的宏观指导；负责全国和省、市党代表、人大代表的提名推选工作，对市、区人大代表补选提出建议；负责组织、联络、协调党代表活动，做好代表的日常管理和服务等相关工作；承办闭会期间代表资格管理的具体工作；指导全区做好代表任期制的相关工作。</w:t>
      </w:r>
    </w:p>
    <w:p>
      <w:pPr>
        <w:pStyle w:val="24"/>
      </w:pPr>
      <w:r>
        <w:t>（四）干部一股</w:t>
      </w:r>
    </w:p>
    <w:p>
      <w:pPr>
        <w:pStyle w:val="24"/>
      </w:pPr>
      <w:r>
        <w:t>负责区委管理的领导班子、领导干部的管理工作，提出加强领导班子和干部队伍建设的意见和建议；负责对区委管理干部的职务任免、调整、交流等提出意见和建议；负责干部任免的资格审查、推荐、考察、办理任免等手续；负责区委管理干部任前公示；负责办理区委管理干部职务任免的呈报、审批及向市委组织部预审备案工作；会同有关部门承办区政府提请区人大常委会任免和提请区政府任免人员的行政任免有关手续；负责区党代会、人代会、政协会换届人事安排有关工作；负责乡镇领导班子换届人事安排有关工作。</w:t>
      </w:r>
    </w:p>
    <w:p>
      <w:pPr>
        <w:pStyle w:val="24"/>
      </w:pPr>
      <w:r>
        <w:t>负责执行中央、省、市加强新时代优秀年轻干部队伍建设有关政策法规，综合管理区委组织部掌握的优秀年轻干部队伍，统筹做好选育管用工作，提出区委管理的领导班子在年轻干部配备方面的有关建议；负责选调生队伍培养管理；负责培养选拔科级后备干部、妇女干部、少数民族干部、党外干部工作；负责挂职干部和对口援助干部人才选派管理;负责选派优秀中青年干部下派锻炼工作。</w:t>
      </w:r>
    </w:p>
    <w:p>
      <w:pPr>
        <w:pStyle w:val="24"/>
      </w:pPr>
      <w:r>
        <w:t>负责军转干部安置相关工作；负责全区股级干部职务调整的审核备案工作；负责全区公务员及参照公务员法管理事业单位人员调配；负责干部信息和档案管理相关工作。</w:t>
      </w:r>
    </w:p>
    <w:p>
      <w:pPr>
        <w:pStyle w:val="24"/>
      </w:pPr>
      <w:r>
        <w:t>（五）干部二股</w:t>
      </w:r>
    </w:p>
    <w:p>
      <w:pPr>
        <w:pStyle w:val="24"/>
      </w:pPr>
      <w:r>
        <w:t>负责制定并落实有关干部监督工作的制度、规定；组织开展选人用人工作和执行干部监督制度规定情况的监督检查；负责督办或直接查办严重违反《党政领导干部选拔任用工作条例》等选人用人工作规定和组织人事纪律的案件，办理市委组织部转交和部领导批办的反映领导干部重要问题的案件；负责区委管理干部的提醒、函询和诫勉的综合协调工作；组织实施领导干部报告个人有关事项工作；会同有关股室提出区委管理干部经济责任审计计划建议；负责配偶已移居国（境）外或没有配偶，子女均已移居国（境）外的国家工作人员任职岗位管理工作；负责审理区委管理干部和部分老同志党籍、党龄、参加革命工作时间以及其他历史遗留问题；负责区委管理干部出国（境）和赴台的备案和审批工作；负责公务员监督；负责受理选人用人问题举报和反映领导班子、领导干部等相关问题举报；负责对信访举报、网上举报和组织系统“12380”举报电话受理情况进行统计、分析；负责指导全区组织系统受理、查核选人用人上不正之风工作；负责与区委巡察工作领导小组办公室的日常联络工作。</w:t>
      </w:r>
    </w:p>
    <w:p>
      <w:pPr>
        <w:pStyle w:val="24"/>
      </w:pPr>
      <w:r>
        <w:t>负责全区干部教育培训工作，研究制定全区干部教育培训工作的规划和措施，起草有关制度文件；负责区委管理干部、部分优秀年轻干部、组工干部、专业技术人员以及其他干部教育培训的组织实施；负责全区干部网络教育培训工作；负责按照市委组织部干部教育培训计划和安排调训学员；负责组织和指导全区干部的政治理论教育、政策法规教育、业务知识培训、科学人文素养教育等工作；承担区委党员干部教育工作领导小组办公室干部教育培训的日常工作。</w:t>
      </w:r>
    </w:p>
    <w:p>
      <w:pPr>
        <w:pStyle w:val="24"/>
      </w:pPr>
      <w:r>
        <w:t>履行全区人才工作和人才队伍建设的牵头抓总职能，指导、协调、督促各部门人才工作；统筹抓好重要人才政策法规和规划的落实、人才发展体制机制改革深化推进等；抓好重大人才工作项目的组织开展、重点人才的管理服务等工作；负责牵头协调优化全区人才工作力量，加强全区组织系统人才工作指导和人才队伍业务培训；负责人才工作年度考核；协助市委组织部做好辖区内的国家和省、市优秀高层次专家人才的联系服务工作；承担区委人才工作领导小组办公室日常工作。</w:t>
      </w:r>
    </w:p>
    <w:p>
      <w:pPr>
        <w:pStyle w:val="24"/>
      </w:pPr>
      <w:r>
        <w:t>（六）公务员股</w:t>
      </w:r>
    </w:p>
    <w:p>
      <w:pPr>
        <w:pStyle w:val="24"/>
      </w:pPr>
      <w:r>
        <w:t>负责全区公务员队伍建设。负责公务员法律、政策法规的贯彻执行；承担公务员职位分类、职务与职级并行等工作；负责全区事业单位、人民团体、群众团体机关工作人员参照公务员法管理工作；制定全区公务员录用计划；负责全区公务员录用、公开遴选、公开选调、调任、登记等相关工作；负责全区领导班子和干部队伍、公务员队伍等的统计调查、汇总、上报、分析和资料汇编；承担以区公务员局名义开展的行政复议和行政应诉有关工作；贯彻落实公务员培训、考核奖惩、申诉等政策法规；完善全区公务员培训、考核奖惩、申诉制度并组织实施；贯彻落实公务员行为规范、职业道德建设和能力建设政策。</w:t>
      </w:r>
    </w:p>
    <w:p>
      <w:pPr>
        <w:pStyle w:val="24"/>
      </w:pPr>
      <w:r>
        <w:t>负责区委管理干部和区直公务员、参照公务员法管理事业单位人员工资、津贴补贴标准审核和统发工作；负责办理我区由市委管理干部的退（离）休待遇的报批和区委管理干部的离（退）休及待遇的审批工作；负责区直公务员、参照公务员法管理事业单位人员工资基金手册管理，以及工龄计算、工作年限认定等工作；负责办理县处级干部工资晋升的有关手续。</w:t>
      </w:r>
    </w:p>
    <w:p>
      <w:pPr>
        <w:pStyle w:val="24"/>
      </w:pPr>
      <w:r>
        <w:t>（七）考核股</w:t>
      </w:r>
    </w:p>
    <w:p>
      <w:pPr>
        <w:pStyle w:val="24"/>
      </w:pPr>
      <w:r>
        <w:t>负责研究提出贯彻落实中央、省、市、区委关于干部考核工作方针、政策的具体要求和措施；负责改革完善干部考核评价制度，制定干部综合考核评价标准、指标体系、政策办法和制度规定；负责区委管理领导班子和领导干部的年度综合考核和日常考核工作的组织实施；负责全区干部考核工作的综合统筹、宏观指导和督促检查，对存在问题提出意见和建议；负责区直部门各类专项业务工作考核的统筹协调和审核备案工作；参与区委管理领导班子和领导干部综合分析研判工作；负责配合市对区党政领导班子和市委管理干部年度综合考核工作；承担区委干部考核领导小组办公室职责任务。</w:t>
      </w:r>
    </w:p>
    <w:p>
      <w:pPr>
        <w:pStyle w:val="24"/>
      </w:pPr>
      <w:r>
        <w:t>负责组织指导全区机关目标绩效管理日常工作；组织对目标绩效管理工作总体协调、日常运转和职能绩效目标、机关建设目标、专项工作目标的考核评价；负责绩效考核评价结果的汇总、呈报和通报工作；负责对全区目标绩效奖发放的审核工作；负责对区级机关实施目标绩效考核予以统筹指导。</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r>
        <w:t>一、进一步加强干部人才工作</w:t>
      </w:r>
    </w:p>
    <w:p>
      <w:pPr>
        <w:pStyle w:val="25"/>
      </w:pPr>
      <w:r>
        <w:t>1、进一步优化干部队伍结构。一是加强干部轮岗和交流。认真落实《党政领导干部交流工作规定》，盘活干部资源，建立干部合理流动、调整、退出的选人用人常态化机制。加大任职时间较长的干部交流力度，防止和克服论资排辈、以票取人的现象。注重在基层一线、急难险重任务、艰苦复杂环境、关键时刻表现等实践中考察和识别干部。努力打造人岗相适、人事相宜、充满活力的干部队伍。二是加大年轻干部培养选拔力度。认真贯彻落实中央、省委《关于适应新时代要求大力发现培养选拔优秀年轻干部的实施意见》，根据班子建设和事业发展需要，在合理使用各年龄段干部的同时，大力培养选拔优秀年轻干部。对素质好、发展潜力大的优秀年轻干部，做到早发现、早培养、早压担子，放到重大工程、信访维稳、征地拆迁等重点工作任务中加强锻炼。三是落实好相关政策。认真贯彻落实省委《关于激励干部担当作为实施容错纠错的办法（试行）》，出台符合我区实际、切实可行的《关于激励广大干部新时代新担当新作为的实施意见》，制定完善符合我区实际、切实可行的操作办法。强化监督管理，落实主体责任，构建激励干部担当作为、干事创业的长效机制。四是加快推进职级晋升工作。职级套转完成后，按照职级晋升要求，制定方案。在规定的职级职数内，对符合晋升职级资格条件的人员，经过民主推荐或民主测评、考察了解、区委研究决定、公示等程序，有序开展公务员职级晋升工作。</w:t>
      </w:r>
    </w:p>
    <w:p>
      <w:pPr>
        <w:pStyle w:val="25"/>
      </w:pPr>
      <w:r>
        <w:t>2、推进完善干部经常性管理监督机制。一是抓好提醒函询诫勉等组织措施的落实。从严监督管理干部，严格落实中组部《关于组织人事部门对领导干部进行提醒、函询、诫勉的实施细则》，综合运用考核、审计、受理信访举报等方式，建立健全问题干部基础台账，防止干部“带病提拔”。二是继续抓好选人用人监督检查。对照《党政领导干部选拔任用工作条例》、《干部选拔任用工作监督检查和责任追究办法》等选人用人政策法规进行全面自查，主动发现问题、纠正问题。三是认真做好其他监督工作。充分运用12380四位一体的举报平台受理群众举报，加大举报核查力度。严格领导干部出国（境）审批备案，杜绝违规出入境现象。</w:t>
      </w:r>
    </w:p>
    <w:p>
      <w:pPr>
        <w:pStyle w:val="25"/>
      </w:pPr>
      <w:r>
        <w:t>3、做好干部教育培训工作。一是持续深化党的十九大精神、习近平新时代中国特色社会主义思想学习培训。坚持把深入学习习近平总书记治国理政新理念新思想新战略作为干部教育培训的核心内容。以线上线下多种形式开展面向全体党员干部的专题培训。二是以中青年领导干部为重点，抓住“关键少数”进行“精准滴灌”。抓好五大发展理念、京津冀协同发展、推进供给侧结构性改革、大气污染防治、生态文明建设、宪法法律、党内法规、国家安全观、国防、网络安全等方面的培训。有效提升中青年领导干部的领导能力、执政能力，抓核心工作的综合水平。三是大力推进干部网络培训。依托河北干部网络学院平台，认真组织干部开展在线学习，配套相关制度，提高培训资源利用率，努力营造网络学习的浓厚氛围，全面推动干部网络培训深入开展。</w:t>
      </w:r>
    </w:p>
    <w:p>
      <w:pPr>
        <w:pStyle w:val="25"/>
      </w:pPr>
      <w:r>
        <w:t>4、不断推进人才工作深入开展。一是继续做好创新创业产业平台建设。充分发挥区位、产业特色、科教资源等方面的优势，集群连片打造创新创业产业平台，以“两翼”、“双园”为建设核心，强化优势人才载体建设，吸引优秀人才助力莲池区建设。二是统筹做好各类人才队伍建设。做好高层次人才的选拔管理工作，大力支持科技创新类人才发展并强化专家智库建设。三是配合做好服务人才发展绿卡工作。研究落实好《保定市燕赵英才卡（B卡）（C卡）制度暂行办法》（试行），协助市做好英才卡发放等服务人才工作。</w:t>
      </w:r>
    </w:p>
    <w:p>
      <w:pPr>
        <w:pStyle w:val="25"/>
      </w:pPr>
      <w:r>
        <w:t>5、突出结果运用，搞好干部考核工作。一是建立经常性考核评价制度。完善经常性考核工作机制，综合运用巡视、一线督考、延伸考核、跟踪考察等方式方法，对全局性重点工作、重大项目建设进展和完成情况进行及时考核。强化目标运行监控，定期组织多部门以“联合会诊”的方式，推进重点工作。二是加大考核结果的运用。实施“一公开、双挂钩”。一公开：就是考核结果公开。双挂钩：与绩效整改挂钩，领导班子和领导干部根据反馈意见，及时制定绩效整改方案，明确整改的内容、措施和期限；与领导干部的选拔任用挂钩，把考核结果存入干部个人电子档案。同时，根据区委区政府工作重点，着力注意综合运用重点工程、重大任务工作成效的考核结果，作为管理监督干部的必要手段和选拔任用干部的重要依据。四是全力推进大督查工作。加强各单位各部门对重点工作大督查的重视程度，变被动配合工作为主动改进工作，将重点工作大督查作为推动我区工作的有力抓手。围绕省、市督查重点，紧扣区委中心工作，点面结合，重点对安全生产、扶贫开发、大气污染防治等涉及群众利益的工作进行督查。</w:t>
      </w:r>
    </w:p>
    <w:p>
      <w:pPr>
        <w:pStyle w:val="25"/>
      </w:pPr>
      <w:r>
        <w:t>6、持续抓好组织工作信息网络宣传工作。做好推进学习教育常态化制度化的宣传，完善舆情预案制度，对可能发生的舆情事件，提前做出判断，实施定向舆情监测、及时对上报告、有针对性应对处置。通过刊发网评文章，在各大网站、官方微博、微信等媒体阵地，网络留言，抢占网络舆论主战场，传播组织工作正能量。</w:t>
      </w:r>
    </w:p>
    <w:p>
      <w:pPr>
        <w:pStyle w:val="25"/>
      </w:pPr>
      <w:r>
        <w:t>二、持续加强基层党建工作</w:t>
      </w:r>
    </w:p>
    <w:p>
      <w:pPr>
        <w:pStyle w:val="25"/>
      </w:pPr>
      <w:r>
        <w:t>7、进一步提升基层党组织建设质量。一是深入开展“基层党建质量提升年”活动。对标对表问题清单，逐条逐项抓实集中整改，严格销号管理，确保严格按照时间节点，整改落实到位。二是开展软弱涣散党组织治理。下大力开展软弱涣散后进整治工作，因村制宜，细化方案，强化“四个一”措施（每个软弱涣散党组织分别由1-2名区级领导班子成员联村，1名乡镇（街道）领导班子成员包村，1名第一书记驻村，1个以上区直机关单位结对），严格落实包联制度，加大整顿力量，进行集中攻坚，确保整顿效果。三是构建区域化党建工作新格局。在全区运行街道大工委、社区大党委工作机制，注重加强调研和总结，提炼工作方法与思路，利用三个月的时间，按照“1-4-10”的规模逐步推开，在全区所有街道全面落实街道大工委、社区大党委，构建全区范围内的区域化党建新格局。</w:t>
      </w:r>
    </w:p>
    <w:p>
      <w:pPr>
        <w:pStyle w:val="25"/>
      </w:pPr>
      <w:r>
        <w:t>8、进一步严格党员管理工作。按照全市统一安排，在全区开展违规违纪发展党员排查工作；规范发展党员存在的问题排查、认定和责任追究工作，形成规范发展党员工作长效机制；认真贯彻《中国共产党党员教育管理工作条例》，落实好省委明确的《若干措施》；继续下大力解决农村党组织3年以上不发展党员问题；开展普通党员分级、分类轮训工作，区委组织部组织农村致富带头人、新党员、机关事业单位在职党员等示范培训，各党（工）委组织全体党员进行轮训。</w:t>
      </w:r>
    </w:p>
    <w:p>
      <w:pPr>
        <w:pStyle w:val="25"/>
      </w:pPr>
      <w:r>
        <w:t>9、健全规范党的组织生活制度。完善和落实民主集中制各项制度，指导各党（工）委、党组修订完善工作规则和议事决策程序。继续抓好地方党委工作条例、党组工作条例的贯彻落实，组织各单位对贯彻落实情况进行自查整改。谋划组织2019年度各级领导班子民主生活会，把学习贯彻党章列入民主生活会的重要内容。</w:t>
      </w:r>
    </w:p>
    <w:p>
      <w:pPr>
        <w:pStyle w:val="25"/>
      </w:pPr>
      <w:r>
        <w:t>10、抓好党代表联络工作和人大代表、政协委员相关工作。出台党代表管理制度，规范党代表联系群众和履行职责的程序，单独设置党代表的联络服务机构。加强宣传教育,创造环境和条件，采取参考培训、考察、调研、交流、合作等各种方式，促进党代表的整体素质的提高。创新工作平台，建立“党代表网络之家”。严格把握人大代表、政协委员人选标准，做好人大代表推荐考察选举和政协委员协商提名工作，制定《莲池区人大代表、政协委员增补、退出工作意见》，强化对人大代表、政协委员的教育培训和管理监督。</w:t>
      </w:r>
    </w:p>
    <w:p>
      <w:pPr>
        <w:pStyle w:val="25"/>
      </w:pPr>
      <w:r>
        <w:t>三、不断加强组织部自身建设</w:t>
      </w:r>
    </w:p>
    <w:p>
      <w:pPr>
        <w:pStyle w:val="25"/>
      </w:pPr>
      <w:r>
        <w:t>11、严格自律，持续提升自身建设。加强政治理论学习，深化主题教育成果。要求党员干部要进一步增强政治意识、大局意识和责任意识，牢牢把握经济社会发展，从严治党对组织工作提出的新要求，切实把思想和行动统一到中央和省、市、区委的决策部署上来。探索新老干部知识经验传承学习“链式”模式，搞好传帮带，锻炼年轻干部。开展系列专题教育学习，通过广泛征求意见，查找目前工作中存在的问题和不足，引导机关党员干部深刻认识加强机关作风建设的重要性、紧迫性。</w:t>
      </w:r>
      <w:bookmarkStart w:id="14" w:name="_Toc_3_3_0000000015"/>
    </w:p>
    <w:p>
      <w:pPr>
        <w:pStyle w:val="25"/>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pStyle w:val="2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bidi w:val="0"/>
      </w:pPr>
    </w:p>
    <w:p>
      <w:pPr>
        <w:bidi w:val="0"/>
      </w:pPr>
    </w:p>
    <w:p>
      <w:pPr>
        <w:tabs>
          <w:tab w:val="left" w:pos="958"/>
        </w:tabs>
        <w:bidi w:val="0"/>
        <w:jc w:val="left"/>
        <w:rPr>
          <w:rFonts w:hint="default" w:eastAsia="宋体"/>
          <w:lang w:val="en-US" w:eastAsia="zh-CN"/>
        </w:rPr>
        <w:sectPr>
          <w:pgSz w:w="16840" w:h="11900" w:orient="landscape"/>
          <w:pgMar w:top="1361" w:right="1020" w:bottom="1134" w:left="1020" w:header="720" w:footer="720" w:gutter="0"/>
          <w:cols w:space="720" w:num="1"/>
        </w:sectPr>
      </w:pPr>
      <w:r>
        <w:rPr>
          <w:rFonts w:hint="default" w:eastAsia="宋体"/>
          <w:lang w:val="en-US" w:eastAsia="zh-CN"/>
        </w:rPr>
        <w:t xml:space="preserve">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1、保财行[2024]6号关于提前下达2025年度下派选调生到村工作中央财政补助资金绩效目标表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13060625P00504310348W</w:t>
            </w:r>
          </w:p>
        </w:tc>
        <w:tc>
          <w:tcPr>
            <w:tcW w:w="2835" w:type="dxa"/>
            <w:vAlign w:val="center"/>
          </w:tcPr>
          <w:p>
            <w:pPr>
              <w:pStyle w:val="12"/>
            </w:pPr>
            <w:r>
              <w:t>项目名称</w:t>
            </w:r>
          </w:p>
        </w:tc>
        <w:tc>
          <w:tcPr>
            <w:tcW w:w="6095" w:type="dxa"/>
            <w:gridSpan w:val="3"/>
            <w:vAlign w:val="center"/>
          </w:tcPr>
          <w:p>
            <w:pPr>
              <w:pStyle w:val="14"/>
            </w:pPr>
            <w:r>
              <w:t>保财行[2024]6号关于提前下达2025年度下派选调生到村工作中央财政补助资金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9.19</w:t>
            </w:r>
          </w:p>
        </w:tc>
        <w:tc>
          <w:tcPr>
            <w:tcW w:w="2835" w:type="dxa"/>
            <w:vAlign w:val="center"/>
          </w:tcPr>
          <w:p>
            <w:pPr>
              <w:pStyle w:val="12"/>
            </w:pPr>
            <w:r>
              <w:t>其中：财政    资金</w:t>
            </w:r>
          </w:p>
        </w:tc>
        <w:tc>
          <w:tcPr>
            <w:tcW w:w="2551" w:type="dxa"/>
            <w:vAlign w:val="center"/>
          </w:tcPr>
          <w:p>
            <w:pPr>
              <w:pStyle w:val="14"/>
            </w:pPr>
            <w:r>
              <w:t>9.19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关于提前下达2025年度下派选调生到村工作中央财政补助资金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1.保财行[2024]6号关于提前下达2025年度下派选调生到村工作中央财政补助资金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实际发放补助人数</w:t>
            </w:r>
          </w:p>
        </w:tc>
        <w:tc>
          <w:tcPr>
            <w:tcW w:w="5386" w:type="dxa"/>
            <w:vAlign w:val="center"/>
          </w:tcPr>
          <w:p>
            <w:pPr>
              <w:pStyle w:val="14"/>
            </w:pPr>
            <w:r>
              <w:t>实际发放补助人数正确</w:t>
            </w:r>
          </w:p>
        </w:tc>
        <w:tc>
          <w:tcPr>
            <w:tcW w:w="2268" w:type="dxa"/>
            <w:vAlign w:val="center"/>
          </w:tcPr>
          <w:p>
            <w:pPr>
              <w:pStyle w:val="14"/>
            </w:pPr>
            <w:r>
              <w:t>按照财政部通知确定</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实际补助发放精准率</w:t>
            </w:r>
          </w:p>
        </w:tc>
        <w:tc>
          <w:tcPr>
            <w:tcW w:w="5386" w:type="dxa"/>
            <w:vAlign w:val="center"/>
          </w:tcPr>
          <w:p>
            <w:pPr>
              <w:pStyle w:val="14"/>
            </w:pPr>
            <w:r>
              <w:t>实际补助发放精准</w:t>
            </w:r>
          </w:p>
        </w:tc>
        <w:tc>
          <w:tcPr>
            <w:tcW w:w="2268" w:type="dxa"/>
            <w:vAlign w:val="center"/>
          </w:tcPr>
          <w:p>
            <w:pPr>
              <w:pStyle w:val="14"/>
            </w:pPr>
            <w:r>
              <w:t>1</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补助发放时间</w:t>
            </w:r>
          </w:p>
        </w:tc>
        <w:tc>
          <w:tcPr>
            <w:tcW w:w="5386" w:type="dxa"/>
            <w:vAlign w:val="center"/>
          </w:tcPr>
          <w:p>
            <w:pPr>
              <w:pStyle w:val="14"/>
            </w:pPr>
            <w:r>
              <w:t>按时发放补助</w:t>
            </w:r>
          </w:p>
        </w:tc>
        <w:tc>
          <w:tcPr>
            <w:tcW w:w="2268" w:type="dxa"/>
            <w:vAlign w:val="center"/>
          </w:tcPr>
          <w:p>
            <w:pPr>
              <w:pStyle w:val="14"/>
            </w:pPr>
            <w:r>
              <w:t>按预算管理规定时限下达</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工作经费补助标准</w:t>
            </w:r>
          </w:p>
        </w:tc>
        <w:tc>
          <w:tcPr>
            <w:tcW w:w="5386" w:type="dxa"/>
            <w:vAlign w:val="center"/>
          </w:tcPr>
          <w:p>
            <w:pPr>
              <w:pStyle w:val="14"/>
            </w:pPr>
            <w:r>
              <w:t>工作经费补助标准</w:t>
            </w:r>
          </w:p>
        </w:tc>
        <w:tc>
          <w:tcPr>
            <w:tcW w:w="2268" w:type="dxa"/>
            <w:vAlign w:val="center"/>
          </w:tcPr>
          <w:p>
            <w:pPr>
              <w:pStyle w:val="14"/>
            </w:pPr>
            <w:r>
              <w:t>按国家规定政策标准执行</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选调生到村服务年限</w:t>
            </w:r>
          </w:p>
        </w:tc>
        <w:tc>
          <w:tcPr>
            <w:tcW w:w="5386" w:type="dxa"/>
            <w:vAlign w:val="center"/>
          </w:tcPr>
          <w:p>
            <w:pPr>
              <w:pStyle w:val="14"/>
            </w:pPr>
            <w:r>
              <w:t>选调生到村服务年限</w:t>
            </w:r>
          </w:p>
        </w:tc>
        <w:tc>
          <w:tcPr>
            <w:tcW w:w="2268" w:type="dxa"/>
            <w:vAlign w:val="center"/>
          </w:tcPr>
          <w:p>
            <w:pPr>
              <w:pStyle w:val="14"/>
            </w:pPr>
            <w:r>
              <w:t>≥1</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到村任职选调生满意度</w:t>
            </w:r>
          </w:p>
        </w:tc>
        <w:tc>
          <w:tcPr>
            <w:tcW w:w="5386" w:type="dxa"/>
            <w:vAlign w:val="center"/>
          </w:tcPr>
          <w:p>
            <w:pPr>
              <w:pStyle w:val="14"/>
            </w:pPr>
            <w:r>
              <w:t>到村任职选调生满意度</w:t>
            </w:r>
          </w:p>
        </w:tc>
        <w:tc>
          <w:tcPr>
            <w:tcW w:w="2268" w:type="dxa"/>
            <w:vAlign w:val="center"/>
          </w:tcPr>
          <w:p>
            <w:pPr>
              <w:pStyle w:val="14"/>
            </w:pPr>
            <w:r>
              <w:t>≥90</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2、保财预【2024】26号关于提前下达2025年均衡性转移支付的通知（村级组织运转补助）绩效目标表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13060625P00000910008R</w:t>
            </w:r>
          </w:p>
        </w:tc>
        <w:tc>
          <w:tcPr>
            <w:tcW w:w="2835" w:type="dxa"/>
            <w:vAlign w:val="center"/>
          </w:tcPr>
          <w:p>
            <w:pPr>
              <w:pStyle w:val="12"/>
            </w:pPr>
            <w:r>
              <w:t>项目名称</w:t>
            </w:r>
          </w:p>
        </w:tc>
        <w:tc>
          <w:tcPr>
            <w:tcW w:w="6095" w:type="dxa"/>
            <w:gridSpan w:val="3"/>
            <w:vAlign w:val="center"/>
          </w:tcPr>
          <w:p>
            <w:pPr>
              <w:pStyle w:val="14"/>
            </w:pPr>
            <w:r>
              <w:t>保财预【2024】26号关于提前下达2025年均衡性转移支付的通知（村级组织运转补助）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1131.00</w:t>
            </w:r>
          </w:p>
        </w:tc>
        <w:tc>
          <w:tcPr>
            <w:tcW w:w="2835" w:type="dxa"/>
            <w:vAlign w:val="center"/>
          </w:tcPr>
          <w:p>
            <w:pPr>
              <w:pStyle w:val="12"/>
            </w:pPr>
            <w:r>
              <w:t>其中：财政    资金</w:t>
            </w:r>
          </w:p>
        </w:tc>
        <w:tc>
          <w:tcPr>
            <w:tcW w:w="2551" w:type="dxa"/>
            <w:vAlign w:val="center"/>
          </w:tcPr>
          <w:p>
            <w:pPr>
              <w:pStyle w:val="14"/>
            </w:pPr>
            <w:r>
              <w:t>1131.00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保财预【2024】26号关于提前下达2025年均衡性转移支付的通知（村级组织运转补助）</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1.保财预[2024]26号关于下达202５年均衡性转移支付的通知（村级组织运转经费补助）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≤1131万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3、村级党员活动经费绩效目标表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13060625P00000910004B</w:t>
            </w:r>
          </w:p>
        </w:tc>
        <w:tc>
          <w:tcPr>
            <w:tcW w:w="2835" w:type="dxa"/>
            <w:vAlign w:val="center"/>
          </w:tcPr>
          <w:p>
            <w:pPr>
              <w:pStyle w:val="12"/>
            </w:pPr>
            <w:r>
              <w:t>项目名称</w:t>
            </w:r>
          </w:p>
        </w:tc>
        <w:tc>
          <w:tcPr>
            <w:tcW w:w="6095" w:type="dxa"/>
            <w:gridSpan w:val="3"/>
            <w:vAlign w:val="center"/>
          </w:tcPr>
          <w:p>
            <w:pPr>
              <w:pStyle w:val="14"/>
            </w:pPr>
            <w:r>
              <w:t>村级党员活动经费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130.00</w:t>
            </w:r>
          </w:p>
        </w:tc>
        <w:tc>
          <w:tcPr>
            <w:tcW w:w="2835" w:type="dxa"/>
            <w:vAlign w:val="center"/>
          </w:tcPr>
          <w:p>
            <w:pPr>
              <w:pStyle w:val="12"/>
            </w:pPr>
            <w:r>
              <w:t>其中：财政    资金</w:t>
            </w:r>
          </w:p>
        </w:tc>
        <w:tc>
          <w:tcPr>
            <w:tcW w:w="2551" w:type="dxa"/>
            <w:vAlign w:val="center"/>
          </w:tcPr>
          <w:p>
            <w:pPr>
              <w:pStyle w:val="14"/>
            </w:pPr>
            <w:r>
              <w:t>130.00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村级党员活动经费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1.农村村级党员活动经费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13060625P000009100024</w:t>
            </w:r>
          </w:p>
        </w:tc>
        <w:tc>
          <w:tcPr>
            <w:tcW w:w="2835" w:type="dxa"/>
            <w:vAlign w:val="center"/>
          </w:tcPr>
          <w:p>
            <w:pPr>
              <w:pStyle w:val="12"/>
            </w:pPr>
            <w:r>
              <w:t>项目名称</w:t>
            </w:r>
          </w:p>
        </w:tc>
        <w:tc>
          <w:tcPr>
            <w:tcW w:w="6095" w:type="dxa"/>
            <w:gridSpan w:val="3"/>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119.00</w:t>
            </w:r>
          </w:p>
        </w:tc>
        <w:tc>
          <w:tcPr>
            <w:tcW w:w="2835" w:type="dxa"/>
            <w:vAlign w:val="center"/>
          </w:tcPr>
          <w:p>
            <w:pPr>
              <w:pStyle w:val="12"/>
            </w:pPr>
            <w:r>
              <w:t>其中：财政    资金</w:t>
            </w:r>
          </w:p>
        </w:tc>
        <w:tc>
          <w:tcPr>
            <w:tcW w:w="2551" w:type="dxa"/>
            <w:vAlign w:val="center"/>
          </w:tcPr>
          <w:p>
            <w:pPr>
              <w:pStyle w:val="14"/>
            </w:pPr>
            <w:r>
              <w:t>119.00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1.农村村级组织办公经费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≤119万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5、大组工网专项经费绩效目标表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13060625P00504310201T</w:t>
            </w:r>
          </w:p>
        </w:tc>
        <w:tc>
          <w:tcPr>
            <w:tcW w:w="2835" w:type="dxa"/>
            <w:vAlign w:val="center"/>
          </w:tcPr>
          <w:p>
            <w:pPr>
              <w:pStyle w:val="12"/>
            </w:pPr>
            <w:r>
              <w:t>项目名称</w:t>
            </w:r>
          </w:p>
        </w:tc>
        <w:tc>
          <w:tcPr>
            <w:tcW w:w="6095" w:type="dxa"/>
            <w:gridSpan w:val="3"/>
            <w:vAlign w:val="center"/>
          </w:tcPr>
          <w:p>
            <w:pPr>
              <w:pStyle w:val="14"/>
            </w:pPr>
            <w:r>
              <w:t>大组工网专项经费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大组工网专项经费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1.2025年大组工网专项经费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≤8万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6、党员干部学习活动经费绩效目标表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13060625P00504310196E</w:t>
            </w:r>
          </w:p>
        </w:tc>
        <w:tc>
          <w:tcPr>
            <w:tcW w:w="2835" w:type="dxa"/>
            <w:vAlign w:val="center"/>
          </w:tcPr>
          <w:p>
            <w:pPr>
              <w:pStyle w:val="12"/>
            </w:pPr>
            <w:r>
              <w:t>项目名称</w:t>
            </w:r>
          </w:p>
        </w:tc>
        <w:tc>
          <w:tcPr>
            <w:tcW w:w="6095" w:type="dxa"/>
            <w:gridSpan w:val="3"/>
            <w:vAlign w:val="center"/>
          </w:tcPr>
          <w:p>
            <w:pPr>
              <w:pStyle w:val="14"/>
            </w:pPr>
            <w:r>
              <w:t>党员干部学习活动经费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党员干部学习活动经费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1.党员干部学习活动经费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工作日保障单位运转（是否有培训学习场次，如有建议填培训场次）</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13060625P00000910003P</w:t>
            </w:r>
          </w:p>
        </w:tc>
        <w:tc>
          <w:tcPr>
            <w:tcW w:w="2835" w:type="dxa"/>
            <w:vAlign w:val="center"/>
          </w:tcPr>
          <w:p>
            <w:pPr>
              <w:pStyle w:val="12"/>
            </w:pPr>
            <w:r>
              <w:t>项目名称</w:t>
            </w:r>
          </w:p>
        </w:tc>
        <w:tc>
          <w:tcPr>
            <w:tcW w:w="6095" w:type="dxa"/>
            <w:gridSpan w:val="3"/>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595.00</w:t>
            </w:r>
          </w:p>
        </w:tc>
        <w:tc>
          <w:tcPr>
            <w:tcW w:w="2835" w:type="dxa"/>
            <w:vAlign w:val="center"/>
          </w:tcPr>
          <w:p>
            <w:pPr>
              <w:pStyle w:val="12"/>
            </w:pPr>
            <w:r>
              <w:t>其中：财政    资金</w:t>
            </w:r>
          </w:p>
        </w:tc>
        <w:tc>
          <w:tcPr>
            <w:tcW w:w="2551" w:type="dxa"/>
            <w:vAlign w:val="center"/>
          </w:tcPr>
          <w:p>
            <w:pPr>
              <w:pStyle w:val="14"/>
            </w:pPr>
            <w:r>
              <w:t>595.00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1.村级服务群众专项经费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≤595万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8、基层党建专项经费绩效目标表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13060625P005043102059</w:t>
            </w:r>
          </w:p>
        </w:tc>
        <w:tc>
          <w:tcPr>
            <w:tcW w:w="2835" w:type="dxa"/>
            <w:vAlign w:val="center"/>
          </w:tcPr>
          <w:p>
            <w:pPr>
              <w:pStyle w:val="12"/>
            </w:pPr>
            <w:r>
              <w:t>项目名称</w:t>
            </w:r>
          </w:p>
        </w:tc>
        <w:tc>
          <w:tcPr>
            <w:tcW w:w="6095" w:type="dxa"/>
            <w:gridSpan w:val="3"/>
            <w:vAlign w:val="center"/>
          </w:tcPr>
          <w:p>
            <w:pPr>
              <w:pStyle w:val="14"/>
            </w:pPr>
            <w:r>
              <w:t>基层党建专项经费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基层党建专项经费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1.2025年基层党建专项经费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≤200万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9、考核专项经费绩效目标表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13060625P00504310204M</w:t>
            </w:r>
          </w:p>
        </w:tc>
        <w:tc>
          <w:tcPr>
            <w:tcW w:w="2835" w:type="dxa"/>
            <w:vAlign w:val="center"/>
          </w:tcPr>
          <w:p>
            <w:pPr>
              <w:pStyle w:val="12"/>
            </w:pPr>
            <w:r>
              <w:t>项目名称</w:t>
            </w:r>
          </w:p>
        </w:tc>
        <w:tc>
          <w:tcPr>
            <w:tcW w:w="6095" w:type="dxa"/>
            <w:gridSpan w:val="3"/>
            <w:vAlign w:val="center"/>
          </w:tcPr>
          <w:p>
            <w:pPr>
              <w:pStyle w:val="14"/>
            </w:pPr>
            <w:r>
              <w:t>考核专项经费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考核专项经费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1.2025年考核专项经费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≤60万元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10、农村电教专项经费绩效目标表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13060625P005043102032</w:t>
            </w:r>
          </w:p>
        </w:tc>
        <w:tc>
          <w:tcPr>
            <w:tcW w:w="2835" w:type="dxa"/>
            <w:vAlign w:val="center"/>
          </w:tcPr>
          <w:p>
            <w:pPr>
              <w:pStyle w:val="12"/>
            </w:pPr>
            <w:r>
              <w:t>项目名称</w:t>
            </w:r>
          </w:p>
        </w:tc>
        <w:tc>
          <w:tcPr>
            <w:tcW w:w="6095" w:type="dxa"/>
            <w:gridSpan w:val="3"/>
            <w:vAlign w:val="center"/>
          </w:tcPr>
          <w:p>
            <w:pPr>
              <w:pStyle w:val="14"/>
            </w:pPr>
            <w:r>
              <w:t>农村电教专项经费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农村电教专项经费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1.2025年农村电教专项经费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≤12万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11、农村干部基础职务补贴绩效目标表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13060625P00000910005Y</w:t>
            </w:r>
          </w:p>
        </w:tc>
        <w:tc>
          <w:tcPr>
            <w:tcW w:w="2835" w:type="dxa"/>
            <w:vAlign w:val="center"/>
          </w:tcPr>
          <w:p>
            <w:pPr>
              <w:pStyle w:val="12"/>
            </w:pPr>
            <w:r>
              <w:t>项目名称</w:t>
            </w:r>
          </w:p>
        </w:tc>
        <w:tc>
          <w:tcPr>
            <w:tcW w:w="6095" w:type="dxa"/>
            <w:gridSpan w:val="3"/>
            <w:vAlign w:val="center"/>
          </w:tcPr>
          <w:p>
            <w:pPr>
              <w:pStyle w:val="14"/>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555.00</w:t>
            </w:r>
          </w:p>
        </w:tc>
        <w:tc>
          <w:tcPr>
            <w:tcW w:w="2835" w:type="dxa"/>
            <w:vAlign w:val="center"/>
          </w:tcPr>
          <w:p>
            <w:pPr>
              <w:pStyle w:val="12"/>
            </w:pPr>
            <w:r>
              <w:t>其中：财政    资金</w:t>
            </w:r>
          </w:p>
        </w:tc>
        <w:tc>
          <w:tcPr>
            <w:tcW w:w="2551" w:type="dxa"/>
            <w:vAlign w:val="center"/>
          </w:tcPr>
          <w:p>
            <w:pPr>
              <w:pStyle w:val="14"/>
            </w:pPr>
            <w:r>
              <w:t>555.00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1.农村干部基础职务补贴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≤555万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12、农村干部绩效补贴绩效目标表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13060625P000009100076</w:t>
            </w:r>
          </w:p>
        </w:tc>
        <w:tc>
          <w:tcPr>
            <w:tcW w:w="2835" w:type="dxa"/>
            <w:vAlign w:val="center"/>
          </w:tcPr>
          <w:p>
            <w:pPr>
              <w:pStyle w:val="12"/>
            </w:pPr>
            <w:r>
              <w:t>项目名称</w:t>
            </w:r>
          </w:p>
        </w:tc>
        <w:tc>
          <w:tcPr>
            <w:tcW w:w="6095" w:type="dxa"/>
            <w:gridSpan w:val="3"/>
            <w:vAlign w:val="center"/>
          </w:tcPr>
          <w:p>
            <w:pPr>
              <w:pStyle w:val="14"/>
            </w:pPr>
            <w:r>
              <w:t>农村干部绩效补贴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562.00</w:t>
            </w:r>
          </w:p>
        </w:tc>
        <w:tc>
          <w:tcPr>
            <w:tcW w:w="2835" w:type="dxa"/>
            <w:vAlign w:val="center"/>
          </w:tcPr>
          <w:p>
            <w:pPr>
              <w:pStyle w:val="12"/>
            </w:pPr>
            <w:r>
              <w:t>其中：财政    资金</w:t>
            </w:r>
          </w:p>
        </w:tc>
        <w:tc>
          <w:tcPr>
            <w:tcW w:w="2551" w:type="dxa"/>
            <w:vAlign w:val="center"/>
          </w:tcPr>
          <w:p>
            <w:pPr>
              <w:pStyle w:val="14"/>
            </w:pPr>
            <w:r>
              <w:t>562.00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农村干部基础绩效补贴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1.农村干部基础绩效补贴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≤562万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13、农村干部离任补贴绩效目标表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13060625P00000910006J</w:t>
            </w:r>
          </w:p>
        </w:tc>
        <w:tc>
          <w:tcPr>
            <w:tcW w:w="2835" w:type="dxa"/>
            <w:vAlign w:val="center"/>
          </w:tcPr>
          <w:p>
            <w:pPr>
              <w:pStyle w:val="12"/>
            </w:pPr>
            <w:r>
              <w:t>项目名称</w:t>
            </w:r>
          </w:p>
        </w:tc>
        <w:tc>
          <w:tcPr>
            <w:tcW w:w="6095" w:type="dxa"/>
            <w:gridSpan w:val="3"/>
            <w:vAlign w:val="center"/>
          </w:tcPr>
          <w:p>
            <w:pPr>
              <w:pStyle w:val="14"/>
            </w:pPr>
            <w:r>
              <w:t>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59.00</w:t>
            </w:r>
          </w:p>
        </w:tc>
        <w:tc>
          <w:tcPr>
            <w:tcW w:w="2835" w:type="dxa"/>
            <w:vAlign w:val="center"/>
          </w:tcPr>
          <w:p>
            <w:pPr>
              <w:pStyle w:val="12"/>
            </w:pPr>
            <w:r>
              <w:t>其中：财政    资金</w:t>
            </w:r>
          </w:p>
        </w:tc>
        <w:tc>
          <w:tcPr>
            <w:tcW w:w="2551" w:type="dxa"/>
            <w:vAlign w:val="center"/>
          </w:tcPr>
          <w:p>
            <w:pPr>
              <w:pStyle w:val="14"/>
            </w:pPr>
            <w:r>
              <w:t>59.00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1.村级农村干部离任补贴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≤59万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13060625P005043101999</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1.2025年综合业务费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支出是否达到服务对象满意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203中共莲池区委组织部</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中共莲池区委组织部（含所属单位）上年末固定资产金额为</w:t>
      </w:r>
      <w:r>
        <w:rPr>
          <w:rFonts w:hint="default" w:eastAsia="方正仿宋_GBK" w:cs="Times New Roman"/>
          <w:b w:val="0"/>
          <w:color w:val="000000"/>
          <w:sz w:val="28"/>
          <w:lang w:val="en-US"/>
        </w:rPr>
        <w:t>51.1113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p>
          <w:p>
            <w:pPr>
              <w:pStyle w:val="11"/>
            </w:pPr>
            <w:r>
              <w:t>203中共莲池区委组织部</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top"/>
          </w:tcPr>
          <w:p>
            <w:pPr>
              <w:rPr>
                <w:rFonts w:ascii="Times New Roman" w:hAnsi="Times New Roman" w:eastAsia="Times New Roman" w:cstheme="minorBidi"/>
                <w:sz w:val="24"/>
                <w:szCs w:val="24"/>
                <w:lang w:val="en-US" w:eastAsia="uk-UA" w:bidi="ar-SA"/>
              </w:rPr>
            </w:pPr>
            <w:r>
              <w:t>4</w:t>
            </w:r>
            <w:r>
              <w:rPr>
                <w:rFonts w:hint="eastAsia" w:ascii="宋体" w:hAnsi="宋体" w:eastAsia="宋体" w:cs="宋体"/>
              </w:rPr>
              <w:t>、其他固定资产</w:t>
            </w:r>
          </w:p>
        </w:tc>
        <w:tc>
          <w:tcPr>
            <w:tcW w:w="2835"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w:t>
            </w:r>
          </w:p>
        </w:tc>
        <w:tc>
          <w:tcPr>
            <w:tcW w:w="2835" w:type="dxa"/>
            <w:vAlign w:val="center"/>
          </w:tcPr>
          <w:p>
            <w:pPr>
              <w:pStyle w:val="13"/>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51.1113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一、中共莲池区委组织部本级收支预算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4023.35</w:t>
            </w:r>
          </w:p>
        </w:tc>
        <w:tc>
          <w:tcPr>
            <w:tcW w:w="4535" w:type="dxa"/>
            <w:vAlign w:val="center"/>
          </w:tcPr>
          <w:p>
            <w:pPr>
              <w:pStyle w:val="14"/>
            </w:pPr>
            <w:r>
              <w:t>一、一般公共服务支出</w:t>
            </w:r>
          </w:p>
        </w:tc>
        <w:tc>
          <w:tcPr>
            <w:tcW w:w="2126" w:type="dxa"/>
            <w:vAlign w:val="center"/>
          </w:tcPr>
          <w:p>
            <w:pPr>
              <w:pStyle w:val="13"/>
            </w:pPr>
            <w:r>
              <w:t>530.93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3360.19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4023.35</w:t>
            </w:r>
          </w:p>
        </w:tc>
        <w:tc>
          <w:tcPr>
            <w:tcW w:w="4535" w:type="dxa"/>
            <w:vAlign w:val="center"/>
          </w:tcPr>
          <w:p>
            <w:pPr>
              <w:pStyle w:val="16"/>
            </w:pPr>
            <w:r>
              <w:t>本年支出合计</w:t>
            </w:r>
          </w:p>
        </w:tc>
        <w:tc>
          <w:tcPr>
            <w:tcW w:w="2126" w:type="dxa"/>
            <w:vAlign w:val="center"/>
          </w:tcPr>
          <w:p>
            <w:pPr>
              <w:pStyle w:val="17"/>
            </w:pPr>
            <w:r>
              <w:t>4023.35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4023.35</w:t>
            </w:r>
          </w:p>
        </w:tc>
        <w:tc>
          <w:tcPr>
            <w:tcW w:w="4535" w:type="dxa"/>
            <w:vAlign w:val="center"/>
          </w:tcPr>
          <w:p>
            <w:pPr>
              <w:pStyle w:val="16"/>
            </w:pPr>
            <w:r>
              <w:t>支出总计</w:t>
            </w:r>
          </w:p>
        </w:tc>
        <w:tc>
          <w:tcPr>
            <w:tcW w:w="2126" w:type="dxa"/>
            <w:vAlign w:val="center"/>
          </w:tcPr>
          <w:p>
            <w:pPr>
              <w:pStyle w:val="17"/>
            </w:pPr>
            <w:r>
              <w:t>4023.35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203001中共莲池区委组织部本级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4023.35</w:t>
            </w:r>
          </w:p>
        </w:tc>
        <w:tc>
          <w:tcPr>
            <w:tcW w:w="1134" w:type="dxa"/>
            <w:vAlign w:val="center"/>
          </w:tcPr>
          <w:p>
            <w:pPr>
              <w:pStyle w:val="17"/>
            </w:pPr>
            <w:r>
              <w:t>4023.35</w:t>
            </w:r>
          </w:p>
        </w:tc>
        <w:tc>
          <w:tcPr>
            <w:tcW w:w="1134" w:type="dxa"/>
            <w:vAlign w:val="center"/>
          </w:tcPr>
          <w:p>
            <w:pPr>
              <w:pStyle w:val="17"/>
            </w:pPr>
            <w:r>
              <w:t>4023.35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r>
              <w:t>530.93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390.93</w:t>
            </w:r>
          </w:p>
        </w:tc>
        <w:tc>
          <w:tcPr>
            <w:tcW w:w="1134" w:type="dxa"/>
            <w:vAlign w:val="center"/>
          </w:tcPr>
          <w:p>
            <w:pPr>
              <w:pStyle w:val="13"/>
            </w:pPr>
            <w:r>
              <w:t>390.93</w:t>
            </w:r>
          </w:p>
        </w:tc>
        <w:tc>
          <w:tcPr>
            <w:tcW w:w="1134" w:type="dxa"/>
            <w:vAlign w:val="center"/>
          </w:tcPr>
          <w:p>
            <w:pPr>
              <w:pStyle w:val="13"/>
            </w:pPr>
            <w:r>
              <w:t>390.93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r>
              <w:t>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r>
              <w:t>29.23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19.23</w:t>
            </w:r>
          </w:p>
        </w:tc>
        <w:tc>
          <w:tcPr>
            <w:tcW w:w="1134" w:type="dxa"/>
            <w:vAlign w:val="center"/>
          </w:tcPr>
          <w:p>
            <w:pPr>
              <w:pStyle w:val="13"/>
            </w:pPr>
            <w:r>
              <w:t>19.23</w:t>
            </w:r>
          </w:p>
        </w:tc>
        <w:tc>
          <w:tcPr>
            <w:tcW w:w="1134" w:type="dxa"/>
            <w:vAlign w:val="center"/>
          </w:tcPr>
          <w:p>
            <w:pPr>
              <w:pStyle w:val="13"/>
            </w:pPr>
            <w:r>
              <w:t>19.23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3360.19</w:t>
            </w:r>
          </w:p>
        </w:tc>
        <w:tc>
          <w:tcPr>
            <w:tcW w:w="1134" w:type="dxa"/>
            <w:vAlign w:val="center"/>
          </w:tcPr>
          <w:p>
            <w:pPr>
              <w:pStyle w:val="13"/>
            </w:pPr>
            <w:r>
              <w:t>3360.19</w:t>
            </w:r>
          </w:p>
        </w:tc>
        <w:tc>
          <w:tcPr>
            <w:tcW w:w="1134" w:type="dxa"/>
            <w:vAlign w:val="center"/>
          </w:tcPr>
          <w:p>
            <w:pPr>
              <w:pStyle w:val="13"/>
            </w:pPr>
            <w:r>
              <w:t>3360.19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r>
              <w:t>3351.00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4023.35</w:t>
            </w:r>
          </w:p>
        </w:tc>
        <w:tc>
          <w:tcPr>
            <w:tcW w:w="1361" w:type="dxa"/>
            <w:vAlign w:val="center"/>
          </w:tcPr>
          <w:p>
            <w:pPr>
              <w:pStyle w:val="17"/>
            </w:pPr>
            <w:r>
              <w:t>523.16</w:t>
            </w:r>
          </w:p>
        </w:tc>
        <w:tc>
          <w:tcPr>
            <w:tcW w:w="1361" w:type="dxa"/>
            <w:vAlign w:val="center"/>
          </w:tcPr>
          <w:p>
            <w:pPr>
              <w:pStyle w:val="17"/>
            </w:pPr>
            <w:r>
              <w:t>3500.19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530.93</w:t>
            </w:r>
          </w:p>
        </w:tc>
        <w:tc>
          <w:tcPr>
            <w:tcW w:w="1361" w:type="dxa"/>
            <w:vAlign w:val="center"/>
          </w:tcPr>
          <w:p>
            <w:pPr>
              <w:pStyle w:val="13"/>
            </w:pPr>
            <w:r>
              <w:t>390.93</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530.93</w:t>
            </w:r>
          </w:p>
        </w:tc>
        <w:tc>
          <w:tcPr>
            <w:tcW w:w="1361" w:type="dxa"/>
            <w:vAlign w:val="center"/>
          </w:tcPr>
          <w:p>
            <w:pPr>
              <w:pStyle w:val="13"/>
            </w:pPr>
            <w:r>
              <w:t>390.93</w:t>
            </w:r>
          </w:p>
        </w:tc>
        <w:tc>
          <w:tcPr>
            <w:tcW w:w="1361" w:type="dxa"/>
            <w:vAlign w:val="center"/>
          </w:tcPr>
          <w:p>
            <w:pPr>
              <w:pStyle w:val="13"/>
            </w:pPr>
            <w:r>
              <w:t>140.00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390.93</w:t>
            </w:r>
          </w:p>
        </w:tc>
        <w:tc>
          <w:tcPr>
            <w:tcW w:w="1361" w:type="dxa"/>
            <w:vAlign w:val="center"/>
          </w:tcPr>
          <w:p>
            <w:pPr>
              <w:pStyle w:val="13"/>
            </w:pPr>
            <w:r>
              <w:t>390.93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19.00</w:t>
            </w:r>
          </w:p>
        </w:tc>
        <w:tc>
          <w:tcPr>
            <w:tcW w:w="1361" w:type="dxa"/>
            <w:vAlign w:val="center"/>
          </w:tcPr>
          <w:p>
            <w:pPr>
              <w:pStyle w:val="13"/>
            </w:pPr>
            <w:r>
              <w:t>19.00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19.23</w:t>
            </w:r>
          </w:p>
        </w:tc>
        <w:tc>
          <w:tcPr>
            <w:tcW w:w="1361" w:type="dxa"/>
            <w:vAlign w:val="center"/>
          </w:tcPr>
          <w:p>
            <w:pPr>
              <w:pStyle w:val="13"/>
            </w:pPr>
            <w:r>
              <w:t>19.23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10.00</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3360.19</w:t>
            </w:r>
          </w:p>
        </w:tc>
        <w:tc>
          <w:tcPr>
            <w:tcW w:w="1361" w:type="dxa"/>
            <w:vAlign w:val="center"/>
          </w:tcPr>
          <w:p>
            <w:pPr>
              <w:pStyle w:val="13"/>
            </w:pPr>
          </w:p>
        </w:tc>
        <w:tc>
          <w:tcPr>
            <w:tcW w:w="1361" w:type="dxa"/>
            <w:vAlign w:val="center"/>
          </w:tcPr>
          <w:p>
            <w:pPr>
              <w:pStyle w:val="13"/>
            </w:pPr>
            <w:r>
              <w:t>3360.19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r>
              <w:t>3351.00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38.00</w:t>
            </w:r>
          </w:p>
        </w:tc>
        <w:tc>
          <w:tcPr>
            <w:tcW w:w="1361" w:type="dxa"/>
            <w:vAlign w:val="center"/>
          </w:tcPr>
          <w:p>
            <w:pPr>
              <w:pStyle w:val="13"/>
            </w:pPr>
            <w:r>
              <w:t>38.00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4023.35</w:t>
            </w:r>
          </w:p>
        </w:tc>
        <w:tc>
          <w:tcPr>
            <w:tcW w:w="3402" w:type="dxa"/>
            <w:vAlign w:val="center"/>
          </w:tcPr>
          <w:p>
            <w:pPr>
              <w:pStyle w:val="14"/>
            </w:pPr>
            <w:r>
              <w:t>一、一般公共服务支出</w:t>
            </w:r>
          </w:p>
        </w:tc>
        <w:tc>
          <w:tcPr>
            <w:tcW w:w="1474" w:type="dxa"/>
            <w:vAlign w:val="center"/>
          </w:tcPr>
          <w:p>
            <w:pPr>
              <w:pStyle w:val="13"/>
            </w:pPr>
            <w:r>
              <w:t>530.93</w:t>
            </w:r>
          </w:p>
        </w:tc>
        <w:tc>
          <w:tcPr>
            <w:tcW w:w="1474" w:type="dxa"/>
            <w:vAlign w:val="center"/>
          </w:tcPr>
          <w:p>
            <w:pPr>
              <w:pStyle w:val="13"/>
            </w:pPr>
            <w:r>
              <w:t>530.93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65.00</w:t>
            </w:r>
          </w:p>
        </w:tc>
        <w:tc>
          <w:tcPr>
            <w:tcW w:w="1474" w:type="dxa"/>
            <w:vAlign w:val="center"/>
          </w:tcPr>
          <w:p>
            <w:pPr>
              <w:pStyle w:val="13"/>
            </w:pPr>
            <w:r>
              <w:t>65.00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29.23</w:t>
            </w:r>
          </w:p>
        </w:tc>
        <w:tc>
          <w:tcPr>
            <w:tcW w:w="1474" w:type="dxa"/>
            <w:vAlign w:val="center"/>
          </w:tcPr>
          <w:p>
            <w:pPr>
              <w:pStyle w:val="13"/>
            </w:pPr>
            <w:r>
              <w:t>29.23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3360.19</w:t>
            </w:r>
          </w:p>
        </w:tc>
        <w:tc>
          <w:tcPr>
            <w:tcW w:w="1474" w:type="dxa"/>
            <w:vAlign w:val="center"/>
          </w:tcPr>
          <w:p>
            <w:pPr>
              <w:pStyle w:val="13"/>
            </w:pPr>
            <w:r>
              <w:t>3360.19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38.00</w:t>
            </w:r>
          </w:p>
        </w:tc>
        <w:tc>
          <w:tcPr>
            <w:tcW w:w="1474" w:type="dxa"/>
            <w:vAlign w:val="center"/>
          </w:tcPr>
          <w:p>
            <w:pPr>
              <w:pStyle w:val="13"/>
            </w:pPr>
            <w:r>
              <w:t>38.00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4023.35</w:t>
            </w:r>
          </w:p>
        </w:tc>
        <w:tc>
          <w:tcPr>
            <w:tcW w:w="3402" w:type="dxa"/>
            <w:vAlign w:val="center"/>
          </w:tcPr>
          <w:p>
            <w:pPr>
              <w:pStyle w:val="16"/>
            </w:pPr>
            <w:r>
              <w:t>本年支出合计</w:t>
            </w:r>
          </w:p>
        </w:tc>
        <w:tc>
          <w:tcPr>
            <w:tcW w:w="1474" w:type="dxa"/>
            <w:vAlign w:val="center"/>
          </w:tcPr>
          <w:p>
            <w:pPr>
              <w:pStyle w:val="17"/>
            </w:pPr>
            <w:r>
              <w:t>4023.35</w:t>
            </w:r>
          </w:p>
        </w:tc>
        <w:tc>
          <w:tcPr>
            <w:tcW w:w="1474" w:type="dxa"/>
            <w:vAlign w:val="center"/>
          </w:tcPr>
          <w:p>
            <w:pPr>
              <w:pStyle w:val="17"/>
            </w:pPr>
            <w:r>
              <w:t>4023.35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4023.35</w:t>
            </w:r>
          </w:p>
        </w:tc>
        <w:tc>
          <w:tcPr>
            <w:tcW w:w="3402" w:type="dxa"/>
            <w:vAlign w:val="center"/>
          </w:tcPr>
          <w:p>
            <w:pPr>
              <w:pStyle w:val="16"/>
            </w:pPr>
            <w:r>
              <w:t>支出总计</w:t>
            </w:r>
          </w:p>
        </w:tc>
        <w:tc>
          <w:tcPr>
            <w:tcW w:w="1474" w:type="dxa"/>
            <w:vAlign w:val="center"/>
          </w:tcPr>
          <w:p>
            <w:pPr>
              <w:pStyle w:val="17"/>
            </w:pPr>
            <w:r>
              <w:t>4023.35</w:t>
            </w:r>
          </w:p>
        </w:tc>
        <w:tc>
          <w:tcPr>
            <w:tcW w:w="1474" w:type="dxa"/>
            <w:vAlign w:val="center"/>
          </w:tcPr>
          <w:p>
            <w:pPr>
              <w:pStyle w:val="17"/>
            </w:pPr>
            <w:r>
              <w:t>4023.35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4023.35</w:t>
            </w:r>
          </w:p>
        </w:tc>
        <w:tc>
          <w:tcPr>
            <w:tcW w:w="2551" w:type="dxa"/>
            <w:vAlign w:val="center"/>
          </w:tcPr>
          <w:p>
            <w:pPr>
              <w:pStyle w:val="17"/>
            </w:pPr>
            <w:r>
              <w:t>523.16</w:t>
            </w:r>
          </w:p>
        </w:tc>
        <w:tc>
          <w:tcPr>
            <w:tcW w:w="2551" w:type="dxa"/>
            <w:vAlign w:val="center"/>
          </w:tcPr>
          <w:p>
            <w:pPr>
              <w:pStyle w:val="17"/>
            </w:pPr>
            <w:r>
              <w:t>3500.19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530.93</w:t>
            </w:r>
          </w:p>
        </w:tc>
        <w:tc>
          <w:tcPr>
            <w:tcW w:w="2551" w:type="dxa"/>
            <w:vAlign w:val="center"/>
          </w:tcPr>
          <w:p>
            <w:pPr>
              <w:pStyle w:val="13"/>
            </w:pPr>
            <w:r>
              <w:t>390.93</w:t>
            </w:r>
          </w:p>
        </w:tc>
        <w:tc>
          <w:tcPr>
            <w:tcW w:w="2551" w:type="dxa"/>
            <w:vAlign w:val="center"/>
          </w:tcPr>
          <w:p>
            <w:pPr>
              <w:pStyle w:val="13"/>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530.93</w:t>
            </w:r>
          </w:p>
        </w:tc>
        <w:tc>
          <w:tcPr>
            <w:tcW w:w="2551" w:type="dxa"/>
            <w:vAlign w:val="center"/>
          </w:tcPr>
          <w:p>
            <w:pPr>
              <w:pStyle w:val="13"/>
            </w:pPr>
            <w:r>
              <w:t>390.93</w:t>
            </w:r>
          </w:p>
        </w:tc>
        <w:tc>
          <w:tcPr>
            <w:tcW w:w="2551" w:type="dxa"/>
            <w:vAlign w:val="center"/>
          </w:tcPr>
          <w:p>
            <w:pPr>
              <w:pStyle w:val="13"/>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390.93</w:t>
            </w:r>
          </w:p>
        </w:tc>
        <w:tc>
          <w:tcPr>
            <w:tcW w:w="2551" w:type="dxa"/>
            <w:vAlign w:val="center"/>
          </w:tcPr>
          <w:p>
            <w:pPr>
              <w:pStyle w:val="13"/>
            </w:pPr>
            <w:r>
              <w:t>390.93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98.00</w:t>
            </w:r>
          </w:p>
        </w:tc>
        <w:tc>
          <w:tcPr>
            <w:tcW w:w="2551" w:type="dxa"/>
            <w:vAlign w:val="center"/>
          </w:tcPr>
          <w:p>
            <w:pPr>
              <w:pStyle w:val="13"/>
            </w:pPr>
          </w:p>
        </w:tc>
        <w:tc>
          <w:tcPr>
            <w:tcW w:w="2551" w:type="dxa"/>
            <w:vAlign w:val="center"/>
          </w:tcPr>
          <w:p>
            <w:pPr>
              <w:pStyle w:val="13"/>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19.23</w:t>
            </w:r>
          </w:p>
        </w:tc>
        <w:tc>
          <w:tcPr>
            <w:tcW w:w="2551" w:type="dxa"/>
            <w:vAlign w:val="center"/>
          </w:tcPr>
          <w:p>
            <w:pPr>
              <w:pStyle w:val="13"/>
            </w:pPr>
            <w:r>
              <w:t>19.23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3360.19</w:t>
            </w:r>
          </w:p>
        </w:tc>
        <w:tc>
          <w:tcPr>
            <w:tcW w:w="2551" w:type="dxa"/>
            <w:vAlign w:val="center"/>
          </w:tcPr>
          <w:p>
            <w:pPr>
              <w:pStyle w:val="13"/>
            </w:pPr>
          </w:p>
        </w:tc>
        <w:tc>
          <w:tcPr>
            <w:tcW w:w="2551" w:type="dxa"/>
            <w:vAlign w:val="center"/>
          </w:tcPr>
          <w:p>
            <w:pPr>
              <w:pStyle w:val="13"/>
            </w:pPr>
            <w:r>
              <w:t>3360.19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9.19</w:t>
            </w:r>
          </w:p>
        </w:tc>
        <w:tc>
          <w:tcPr>
            <w:tcW w:w="2551" w:type="dxa"/>
            <w:vAlign w:val="center"/>
          </w:tcPr>
          <w:p>
            <w:pPr>
              <w:pStyle w:val="13"/>
            </w:pPr>
          </w:p>
        </w:tc>
        <w:tc>
          <w:tcPr>
            <w:tcW w:w="2551" w:type="dxa"/>
            <w:vAlign w:val="center"/>
          </w:tcPr>
          <w:p>
            <w:pPr>
              <w:pStyle w:val="13"/>
            </w:pPr>
            <w:r>
              <w:t>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9.19</w:t>
            </w:r>
          </w:p>
        </w:tc>
        <w:tc>
          <w:tcPr>
            <w:tcW w:w="2551" w:type="dxa"/>
            <w:vAlign w:val="center"/>
          </w:tcPr>
          <w:p>
            <w:pPr>
              <w:pStyle w:val="13"/>
            </w:pPr>
          </w:p>
        </w:tc>
        <w:tc>
          <w:tcPr>
            <w:tcW w:w="2551" w:type="dxa"/>
            <w:vAlign w:val="center"/>
          </w:tcPr>
          <w:p>
            <w:pPr>
              <w:pStyle w:val="13"/>
            </w:pPr>
            <w:r>
              <w:t>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3351.00</w:t>
            </w:r>
          </w:p>
        </w:tc>
        <w:tc>
          <w:tcPr>
            <w:tcW w:w="2551" w:type="dxa"/>
            <w:vAlign w:val="center"/>
          </w:tcPr>
          <w:p>
            <w:pPr>
              <w:pStyle w:val="13"/>
            </w:pPr>
          </w:p>
        </w:tc>
        <w:tc>
          <w:tcPr>
            <w:tcW w:w="2551" w:type="dxa"/>
            <w:vAlign w:val="center"/>
          </w:tcPr>
          <w:p>
            <w:pPr>
              <w:pStyle w:val="13"/>
            </w:pPr>
            <w:r>
              <w:t>3351.00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3351.00</w:t>
            </w:r>
          </w:p>
        </w:tc>
        <w:tc>
          <w:tcPr>
            <w:tcW w:w="2551" w:type="dxa"/>
            <w:vAlign w:val="center"/>
          </w:tcPr>
          <w:p>
            <w:pPr>
              <w:pStyle w:val="13"/>
            </w:pPr>
          </w:p>
        </w:tc>
        <w:tc>
          <w:tcPr>
            <w:tcW w:w="2551" w:type="dxa"/>
            <w:vAlign w:val="center"/>
          </w:tcPr>
          <w:p>
            <w:pPr>
              <w:pStyle w:val="13"/>
            </w:pPr>
            <w:r>
              <w:t>3351.00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523.16</w:t>
            </w:r>
          </w:p>
        </w:tc>
        <w:tc>
          <w:tcPr>
            <w:tcW w:w="2551" w:type="dxa"/>
            <w:vAlign w:val="center"/>
          </w:tcPr>
          <w:p>
            <w:pPr>
              <w:pStyle w:val="17"/>
            </w:pPr>
            <w:r>
              <w:t>475.27</w:t>
            </w:r>
          </w:p>
        </w:tc>
        <w:tc>
          <w:tcPr>
            <w:tcW w:w="2551" w:type="dxa"/>
            <w:vAlign w:val="center"/>
          </w:tcPr>
          <w:p>
            <w:pPr>
              <w:pStyle w:val="17"/>
            </w:pPr>
            <w:r>
              <w:t>47.89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456.27</w:t>
            </w:r>
          </w:p>
        </w:tc>
        <w:tc>
          <w:tcPr>
            <w:tcW w:w="2551" w:type="dxa"/>
            <w:vAlign w:val="center"/>
          </w:tcPr>
          <w:p>
            <w:pPr>
              <w:pStyle w:val="13"/>
            </w:pPr>
            <w:r>
              <w:t>456.27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126.00</w:t>
            </w:r>
          </w:p>
        </w:tc>
        <w:tc>
          <w:tcPr>
            <w:tcW w:w="2551" w:type="dxa"/>
            <w:vAlign w:val="center"/>
          </w:tcPr>
          <w:p>
            <w:pPr>
              <w:pStyle w:val="13"/>
            </w:pPr>
            <w:r>
              <w:t>126.00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114.04</w:t>
            </w:r>
          </w:p>
        </w:tc>
        <w:tc>
          <w:tcPr>
            <w:tcW w:w="2551" w:type="dxa"/>
            <w:vAlign w:val="center"/>
          </w:tcPr>
          <w:p>
            <w:pPr>
              <w:pStyle w:val="13"/>
            </w:pPr>
            <w:r>
              <w:t>114.04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93.00</w:t>
            </w:r>
          </w:p>
        </w:tc>
        <w:tc>
          <w:tcPr>
            <w:tcW w:w="2551" w:type="dxa"/>
            <w:vAlign w:val="center"/>
          </w:tcPr>
          <w:p>
            <w:pPr>
              <w:pStyle w:val="13"/>
            </w:pPr>
            <w:r>
              <w:t>93.00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16.23</w:t>
            </w:r>
          </w:p>
        </w:tc>
        <w:tc>
          <w:tcPr>
            <w:tcW w:w="2551" w:type="dxa"/>
            <w:vAlign w:val="center"/>
          </w:tcPr>
          <w:p>
            <w:pPr>
              <w:pStyle w:val="13"/>
            </w:pPr>
            <w:r>
              <w:t>16.23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47.89</w:t>
            </w:r>
          </w:p>
        </w:tc>
        <w:tc>
          <w:tcPr>
            <w:tcW w:w="2551" w:type="dxa"/>
            <w:vAlign w:val="center"/>
          </w:tcPr>
          <w:p>
            <w:pPr>
              <w:pStyle w:val="13"/>
            </w:pPr>
          </w:p>
        </w:tc>
        <w:tc>
          <w:tcPr>
            <w:tcW w:w="2551" w:type="dxa"/>
            <w:vAlign w:val="center"/>
          </w:tcPr>
          <w:p>
            <w:pPr>
              <w:pStyle w:val="13"/>
            </w:pPr>
            <w:r>
              <w:t>47.89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6.35</w:t>
            </w:r>
          </w:p>
        </w:tc>
        <w:tc>
          <w:tcPr>
            <w:tcW w:w="2551" w:type="dxa"/>
            <w:vAlign w:val="center"/>
          </w:tcPr>
          <w:p>
            <w:pPr>
              <w:pStyle w:val="13"/>
            </w:pPr>
          </w:p>
        </w:tc>
        <w:tc>
          <w:tcPr>
            <w:tcW w:w="2551" w:type="dxa"/>
            <w:vAlign w:val="center"/>
          </w:tcPr>
          <w:p>
            <w:pPr>
              <w:pStyle w:val="13"/>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16.30</w:t>
            </w:r>
          </w:p>
        </w:tc>
        <w:tc>
          <w:tcPr>
            <w:tcW w:w="2551" w:type="dxa"/>
            <w:vAlign w:val="center"/>
          </w:tcPr>
          <w:p>
            <w:pPr>
              <w:pStyle w:val="13"/>
            </w:pPr>
          </w:p>
        </w:tc>
        <w:tc>
          <w:tcPr>
            <w:tcW w:w="2551" w:type="dxa"/>
            <w:vAlign w:val="center"/>
          </w:tcPr>
          <w:p>
            <w:pPr>
              <w:pStyle w:val="13"/>
            </w:pPr>
            <w: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3.63</w:t>
            </w:r>
          </w:p>
        </w:tc>
        <w:tc>
          <w:tcPr>
            <w:tcW w:w="2551" w:type="dxa"/>
            <w:vAlign w:val="center"/>
          </w:tcPr>
          <w:p>
            <w:pPr>
              <w:pStyle w:val="13"/>
            </w:pPr>
          </w:p>
        </w:tc>
        <w:tc>
          <w:tcPr>
            <w:tcW w:w="2551" w:type="dxa"/>
            <w:vAlign w:val="center"/>
          </w:tcPr>
          <w:p>
            <w:pPr>
              <w:pStyle w:val="13"/>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203001中共莲池区委组织部本级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中共莲池区委组织部本级2025年单位预算信息公开情况说明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按照《中华人民共和国预算法》、《地方预决算公开操作规程》和《关于进一步推进预算公开工作的实施意见》规定，现将中共莲池区委组织部本级2025年单位预算公开如下：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根据《中共莲池区委组织部职能配置、内设机构和人员编制规定》，中共莲池区委组织部的主要职责是：</w:t>
      </w:r>
    </w:p>
    <w:p>
      <w:pPr>
        <w:pStyle w:val="27"/>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理论，制定或参与制定全区性重要政策和制度。</w:t>
      </w:r>
    </w:p>
    <w:p>
      <w:pPr>
        <w:pStyle w:val="27"/>
      </w:pPr>
      <w:r>
        <w:t>（二）负责全区党组织特别是党的基层组织建设的调查研究、政策制定和宏观指导；负责全区党员队伍建设、组织员队伍建设的宏观指导以及全区党员发展、教育、管理工作；负责全区党的组织制度、党内生活制度建设的宏观指导，研究提出科级领导班子民主集中制建设和民主生活会的指导意见；协调指导全区党代表大会、党代表会议、人民代表大会的选举工作；负责全区党代表大会代表的日常管理和服务工作；负责全区抓党建促脱贫攻坚工作的谋划指导和组织推动；承担区委非公有制经济组织和社会组织工作委员会职责。</w:t>
      </w:r>
    </w:p>
    <w:p>
      <w:pPr>
        <w:pStyle w:val="27"/>
      </w:pPr>
      <w:r>
        <w:t>（三）负责全区各级领导班子和干部队伍建设的宏观管理，研究提出领导班子和干部队伍建设规划以及干部管理体制的意见，指导领导班子思想作风建设；负责提出区委管理的领导班子调整、配备的建议；负责区委管理干部的考察和办理职务任免、工资、待遇、退休审批手续；负责办理我区市委管理干部的工资、退休等报批手续；综合管理优秀年轻干部队伍，统筹选育管用工作，统筹协调妇女干部、少数民族干部和党外干部培养选拔工作；协助上级党委做好对口支援西藏、新疆等干部人才的选派及有关工作；负责对口支援贫困县的扶贫干部人才的选派管理及有关工作；负责军转干部安置相关工作；负责乡镇（街道）、开发区（园区）、古城保护区、区直单位股级干部的备案工作；负责选调生、大学生村官的管理、培养相关工作和宏观指导。</w:t>
      </w:r>
    </w:p>
    <w:p>
      <w:pPr>
        <w:pStyle w:val="27"/>
      </w:pPr>
      <w:r>
        <w:t>（四）负责全区干部教育培训的宏观管理、统筹协调和组织指导，研究制定全区干部教育工作的规划和措施，起草有关政策制度文件；组织实施区委管理干部和一定层次其他干部的培训；承担区委党员干部教育工作领导小组办公室职责任务。负责干部监督工作的综合协调和宏观管理；对选人用人工作进行监督，处置反映违反干部选拔任用工作政策法规选人用人问题及领导干部相关问题的举报。负责全区干部考核工作，组织实施对区委管理领导班子和领导干部的考核工作；组织指导目标绩效考核管理工作；承担区委干部考核领导小组办公室职责任务。</w:t>
      </w:r>
    </w:p>
    <w:p>
      <w:pPr>
        <w:pStyle w:val="27"/>
      </w:pPr>
      <w:r>
        <w:t>（五）研究落实公务员、参照公务员法管理事业单位工作人员管理政策法规、制度文件；负责公务员、参照公务员法管理事业单位工作人员录用调配、考核奖惩、培训和工资福利等相关工作；指导全区公务员、参照公务员法管理事业单位工作人员队伍建设。</w:t>
      </w:r>
    </w:p>
    <w:p>
      <w:pPr>
        <w:pStyle w:val="27"/>
      </w:pPr>
      <w:r>
        <w:t>（六）负责全区人才工作和人才队伍建设的牵头抓总、统筹协调、推进落实；负责人才政策法规的贯彻实施和规划的制定，人才发展体制机制的改革推进；协助上级党委做好国家和省、市优秀高层次专家人才的联系服务工作；承担区委人才工作领导小组办公室职责任务。</w:t>
      </w:r>
    </w:p>
    <w:p>
      <w:pPr>
        <w:pStyle w:val="27"/>
      </w:pPr>
      <w:r>
        <w:t>（七）负责全区组织工作的检查督促，及时向区委反映重要情况，提出建议。</w:t>
      </w:r>
    </w:p>
    <w:p>
      <w:pPr>
        <w:pStyle w:val="27"/>
      </w:pPr>
      <w:r>
        <w:t>（八）统一管理区委机构编制委员会办公室，归口管理区委老干部局。</w:t>
      </w:r>
    </w:p>
    <w:p>
      <w:pPr>
        <w:ind w:firstLine="560" w:firstLineChars="200"/>
        <w:rPr>
          <w:rFonts w:eastAsia="方正仿宋_GBK"/>
          <w:sz w:val="28"/>
        </w:rPr>
      </w:pPr>
      <w:r>
        <w:rPr>
          <w:rFonts w:eastAsia="方正仿宋_GBK"/>
          <w:sz w:val="28"/>
        </w:rPr>
        <w:t>（九）完成区委和上级组织部门交办的其他事项。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中共莲池区委组织部本级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9"/>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按照预算管理有关规定，目前我省部门预算的编制实行综合预算管理，即全部收入和支出都反映在预算中。中共莲池区委组织部机关及所属事业单位的收支包含在部门预算中。</w:t>
      </w:r>
    </w:p>
    <w:p>
      <w:pPr>
        <w:pStyle w:val="2"/>
        <w:kinsoku w:val="0"/>
        <w:overflowPunct w:val="0"/>
        <w:spacing w:line="482" w:lineRule="exact"/>
        <w:ind w:firstLine="640" w:firstLineChars="200"/>
        <w:rPr>
          <w:rFonts w:ascii="微软雅黑" w:eastAsia="微软雅黑" w:cs="微软雅黑"/>
        </w:rPr>
      </w:pPr>
      <w:r>
        <w:rPr>
          <w:rFonts w:ascii="微软雅黑" w:eastAsia="微软雅黑" w:cs="微软雅黑"/>
        </w:rPr>
        <w:t>1</w:t>
      </w:r>
      <w:r>
        <w:rPr>
          <w:rFonts w:hint="eastAsia" w:ascii="微软雅黑" w:eastAsia="微软雅黑" w:cs="微软雅黑"/>
        </w:rPr>
        <w:t>、收入说明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40" w:lineRule="exact"/>
        <w:ind w:firstLine="619"/>
        <w:rPr>
          <w:rFonts w:ascii="仿宋" w:eastAsia="仿宋" w:cs="仿宋"/>
          <w:sz w:val="32"/>
          <w:szCs w:val="32"/>
        </w:rPr>
      </w:pPr>
      <w:r>
        <w:rPr>
          <w:rFonts w:hint="eastAsia" w:ascii="仿宋" w:eastAsia="仿宋" w:cs="仿宋"/>
          <w:sz w:val="32"/>
          <w:szCs w:val="32"/>
        </w:rPr>
        <w:t>反映本</w:t>
      </w:r>
      <w:r>
        <w:rPr>
          <w:rFonts w:hint="eastAsia" w:ascii="仿宋" w:eastAsia="仿宋" w:cs="仿宋"/>
          <w:sz w:val="32"/>
          <w:szCs w:val="32"/>
          <w:lang w:val="en-US" w:eastAsia="zh-CN"/>
        </w:rPr>
        <w:t>单位</w:t>
      </w:r>
      <w:r>
        <w:rPr>
          <w:rFonts w:hint="eastAsia" w:ascii="仿宋" w:eastAsia="仿宋" w:cs="仿宋"/>
          <w:sz w:val="32"/>
          <w:szCs w:val="32"/>
        </w:rPr>
        <w:t>当年全部收入。</w:t>
      </w:r>
      <w:r>
        <w:rPr>
          <w:rFonts w:ascii="仿宋" w:eastAsia="仿宋" w:cs="仿宋"/>
          <w:sz w:val="32"/>
          <w:szCs w:val="32"/>
        </w:rPr>
        <w:t>202</w:t>
      </w:r>
      <w:r>
        <w:rPr>
          <w:rFonts w:hint="default" w:ascii="仿宋" w:eastAsia="仿宋" w:cs="仿宋"/>
          <w:sz w:val="32"/>
          <w:szCs w:val="32"/>
          <w:lang w:val="en-US" w:eastAsia="zh-CN"/>
        </w:rPr>
        <w:t>5</w:t>
      </w:r>
      <w:r>
        <w:rPr>
          <w:rFonts w:hint="eastAsia" w:ascii="仿宋" w:eastAsia="仿宋" w:cs="仿宋"/>
          <w:sz w:val="32"/>
          <w:szCs w:val="32"/>
        </w:rPr>
        <w:t>年预算收</w:t>
      </w:r>
      <w:r>
        <w:rPr>
          <w:rFonts w:hint="eastAsia" w:ascii="仿宋" w:eastAsia="仿宋" w:cs="仿宋"/>
          <w:sz w:val="32"/>
          <w:szCs w:val="32"/>
          <w:lang w:eastAsia="zh-CN"/>
        </w:rPr>
        <w:t>入</w:t>
      </w:r>
      <w:r>
        <w:rPr>
          <w:rFonts w:hint="default" w:ascii="仿宋" w:eastAsia="仿宋" w:cs="仿宋"/>
          <w:sz w:val="32"/>
          <w:szCs w:val="32"/>
          <w:lang w:val="en-US" w:eastAsia="zh-CN"/>
        </w:rPr>
        <w:t>4023.35</w:t>
      </w:r>
      <w:r>
        <w:rPr>
          <w:rFonts w:hint="eastAsia" w:ascii="仿宋" w:eastAsia="仿宋" w:cs="仿宋"/>
          <w:sz w:val="32"/>
          <w:szCs w:val="32"/>
          <w:lang w:eastAsia="zh-CN"/>
        </w:rPr>
        <w:t>万元</w:t>
      </w:r>
      <w:r>
        <w:rPr>
          <w:rFonts w:hint="eastAsia" w:ascii="仿宋" w:eastAsia="仿宋" w:cs="仿宋"/>
          <w:sz w:val="32"/>
          <w:szCs w:val="32"/>
        </w:rPr>
        <w:t>，其中：一般公共预算收入</w:t>
      </w:r>
      <w:r>
        <w:rPr>
          <w:rFonts w:hint="default" w:ascii="仿宋" w:eastAsia="仿宋" w:cs="仿宋"/>
          <w:sz w:val="32"/>
          <w:szCs w:val="32"/>
          <w:lang w:val="en-US" w:eastAsia="zh-CN"/>
        </w:rPr>
        <w:t>4023.35</w:t>
      </w:r>
      <w:r>
        <w:rPr>
          <w:rFonts w:hint="eastAsia" w:ascii="仿宋" w:eastAsia="仿宋" w:cs="仿宋"/>
          <w:sz w:val="32"/>
          <w:szCs w:val="32"/>
        </w:rPr>
        <w:t>万元，</w:t>
      </w:r>
      <w:r>
        <w:rPr>
          <w:rFonts w:hint="eastAsia" w:ascii="仿宋" w:eastAsia="仿宋" w:cs="仿宋"/>
          <w:sz w:val="32"/>
          <w:szCs w:val="32"/>
          <w:lang w:eastAsia="zh-CN"/>
        </w:rPr>
        <w:t>上年结转</w:t>
      </w:r>
      <w:r>
        <w:rPr>
          <w:rFonts w:hint="default" w:ascii="仿宋" w:eastAsia="仿宋" w:cs="仿宋"/>
          <w:sz w:val="32"/>
          <w:szCs w:val="32"/>
          <w:lang w:val="en-US" w:eastAsia="zh-CN"/>
        </w:rPr>
        <w:t>0</w:t>
      </w:r>
      <w:r>
        <w:rPr>
          <w:rFonts w:hint="eastAsia" w:ascii="仿宋" w:eastAsia="仿宋" w:cs="仿宋"/>
          <w:sz w:val="32"/>
          <w:szCs w:val="32"/>
          <w:lang w:eastAsia="zh-CN"/>
        </w:rPr>
        <w:t>万元，</w:t>
      </w:r>
      <w:r>
        <w:rPr>
          <w:rFonts w:hint="eastAsia" w:ascii="仿宋" w:eastAsia="仿宋" w:cs="仿宋"/>
          <w:sz w:val="32"/>
          <w:szCs w:val="32"/>
        </w:rPr>
        <w:t>基金预算收入</w:t>
      </w:r>
      <w:r>
        <w:rPr>
          <w:rFonts w:ascii="仿宋" w:eastAsia="仿宋" w:cs="仿宋"/>
          <w:sz w:val="32"/>
          <w:szCs w:val="32"/>
        </w:rPr>
        <w:t>0</w:t>
      </w:r>
      <w:r>
        <w:rPr>
          <w:rFonts w:hint="eastAsia" w:ascii="仿宋" w:eastAsia="仿宋" w:cs="仿宋"/>
          <w:sz w:val="32"/>
          <w:szCs w:val="32"/>
        </w:rPr>
        <w:t>万元，财政专户核拨收入</w:t>
      </w:r>
      <w:r>
        <w:rPr>
          <w:rFonts w:ascii="仿宋" w:eastAsia="仿宋" w:cs="仿宋"/>
          <w:sz w:val="32"/>
          <w:szCs w:val="32"/>
        </w:rPr>
        <w:t>0</w:t>
      </w:r>
      <w:r>
        <w:rPr>
          <w:rFonts w:hint="eastAsia" w:ascii="仿宋" w:eastAsia="仿宋" w:cs="仿宋"/>
          <w:sz w:val="32"/>
          <w:szCs w:val="32"/>
        </w:rPr>
        <w:t>万元。</w:t>
      </w:r>
    </w:p>
    <w:p>
      <w:pPr>
        <w:pStyle w:val="2"/>
        <w:kinsoku w:val="0"/>
        <w:overflowPunct w:val="0"/>
        <w:spacing w:before="150"/>
        <w:ind w:firstLine="640" w:firstLineChars="200"/>
        <w:rPr>
          <w:rFonts w:ascii="微软雅黑" w:eastAsia="微软雅黑" w:cs="微软雅黑"/>
        </w:rPr>
      </w:pPr>
      <w:r>
        <w:rPr>
          <w:rFonts w:ascii="微软雅黑" w:eastAsia="微软雅黑" w:cs="微软雅黑"/>
        </w:rPr>
        <w:t>2</w:t>
      </w:r>
      <w:r>
        <w:rPr>
          <w:rFonts w:hint="eastAsia" w:ascii="微软雅黑" w:eastAsia="微软雅黑" w:cs="微软雅黑"/>
        </w:rPr>
        <w:t>、支出说明</w:t>
      </w:r>
    </w:p>
    <w:p>
      <w:pPr>
        <w:pStyle w:val="2"/>
        <w:kinsoku w:val="0"/>
        <w:overflowPunct w:val="0"/>
        <w:spacing w:before="93" w:line="338" w:lineRule="auto"/>
        <w:ind w:right="748" w:firstLine="640" w:firstLineChars="200"/>
      </w:pPr>
      <w:r>
        <w:rPr>
          <w:rFonts w:hint="eastAsia"/>
        </w:rPr>
        <w:t>收支预算总表支出栏、基本支出表、项目支出表按经济分类和支出功能分类科目编制，反映本</w:t>
      </w:r>
      <w:r>
        <w:rPr>
          <w:rFonts w:hint="eastAsia"/>
          <w:lang w:val="en-US" w:eastAsia="zh-CN"/>
        </w:rPr>
        <w:t>单位</w:t>
      </w:r>
      <w:r>
        <w:rPr>
          <w:rFonts w:hint="eastAsia"/>
        </w:rPr>
        <w:t>年度单位预算中支出预算的总体情况。</w:t>
      </w:r>
    </w:p>
    <w:p>
      <w:pPr>
        <w:pStyle w:val="2"/>
        <w:kinsoku w:val="0"/>
        <w:overflowPunct w:val="0"/>
        <w:spacing w:before="93" w:line="338" w:lineRule="auto"/>
        <w:ind w:right="748" w:firstLine="640" w:firstLineChars="200"/>
      </w:pPr>
      <w:r>
        <w:t>202</w:t>
      </w:r>
      <w:r>
        <w:rPr>
          <w:rFonts w:hint="default"/>
          <w:lang w:val="en-US"/>
        </w:rPr>
        <w:t>5</w:t>
      </w:r>
      <w:r>
        <w:rPr>
          <w:rFonts w:hint="eastAsia"/>
        </w:rPr>
        <w:t>年支出预算</w:t>
      </w:r>
      <w:r>
        <w:rPr>
          <w:rFonts w:hint="default"/>
          <w:lang w:val="en-US"/>
        </w:rPr>
        <w:t>4023.35</w:t>
      </w:r>
      <w:r>
        <w:rPr>
          <w:rFonts w:hint="eastAsia"/>
        </w:rPr>
        <w:t>万元，其中：基本支出</w:t>
      </w:r>
      <w:r>
        <w:rPr>
          <w:rFonts w:hint="default"/>
          <w:lang w:val="en-US"/>
        </w:rPr>
        <w:t>523.16</w:t>
      </w:r>
      <w:r>
        <w:rPr>
          <w:rFonts w:hint="eastAsia"/>
        </w:rPr>
        <w:t>万元，包括人员经费</w:t>
      </w:r>
      <w:r>
        <w:rPr>
          <w:rFonts w:hint="default"/>
          <w:lang w:val="en-US"/>
        </w:rPr>
        <w:t>475.27</w:t>
      </w:r>
      <w:r>
        <w:rPr>
          <w:rFonts w:hint="eastAsia"/>
        </w:rPr>
        <w:t>万元和日常公用经费</w:t>
      </w:r>
      <w:r>
        <w:rPr>
          <w:rFonts w:hint="default"/>
          <w:lang w:val="en-US"/>
        </w:rPr>
        <w:t>47.89</w:t>
      </w:r>
      <w:r>
        <w:rPr>
          <w:rFonts w:hint="eastAsia"/>
        </w:rPr>
        <w:t>万元；项目支出</w:t>
      </w:r>
      <w:r>
        <w:rPr>
          <w:rFonts w:hint="default"/>
          <w:lang w:val="en-US"/>
        </w:rPr>
        <w:t>3500.19</w:t>
      </w:r>
      <w:r>
        <w:rPr>
          <w:rFonts w:hint="eastAsia"/>
        </w:rPr>
        <w:t>万元。项目支出主要是安排用于一般公共服务支出、社会保障和就业支出、卫生健康支出、对村民委员会和村党支部的补助支出等相关工作。</w:t>
      </w:r>
    </w:p>
    <w:p>
      <w:pPr>
        <w:pStyle w:val="2"/>
        <w:kinsoku w:val="0"/>
        <w:overflowPunct w:val="0"/>
        <w:spacing w:before="68"/>
        <w:ind w:firstLine="640" w:firstLineChars="200"/>
        <w:rPr>
          <w:rFonts w:ascii="微软雅黑" w:eastAsia="微软雅黑" w:cs="微软雅黑"/>
        </w:rPr>
      </w:pPr>
      <w:r>
        <w:rPr>
          <w:rFonts w:ascii="微软雅黑" w:eastAsia="微软雅黑" w:cs="微软雅黑"/>
        </w:rPr>
        <w:t>3</w:t>
      </w:r>
      <w:r>
        <w:rPr>
          <w:rFonts w:hint="eastAsia" w:ascii="微软雅黑" w:eastAsia="微软雅黑" w:cs="微软雅黑"/>
        </w:rPr>
        <w:t>、比上年增减情况</w:t>
      </w:r>
    </w:p>
    <w:p>
      <w:pPr>
        <w:pStyle w:val="2"/>
        <w:kinsoku w:val="0"/>
        <w:overflowPunct w:val="0"/>
        <w:spacing w:before="93" w:line="338" w:lineRule="auto"/>
        <w:ind w:right="748" w:firstLine="640" w:firstLineChars="200"/>
        <w:rPr>
          <w:highlight w:val="yellow"/>
        </w:rPr>
      </w:pPr>
      <w:r>
        <w:t>202</w:t>
      </w:r>
      <w:r>
        <w:rPr>
          <w:rFonts w:hint="default"/>
          <w:lang w:val="en-US"/>
        </w:rPr>
        <w:t>5</w:t>
      </w:r>
      <w:r>
        <w:t>年</w:t>
      </w:r>
      <w:r>
        <w:rPr>
          <w:rFonts w:hint="eastAsia"/>
        </w:rPr>
        <w:t>预算收支安排</w:t>
      </w:r>
      <w:r>
        <w:rPr>
          <w:rFonts w:hint="default"/>
          <w:lang w:val="en-US"/>
        </w:rPr>
        <w:t>4023.35</w:t>
      </w:r>
      <w:r>
        <w:rPr>
          <w:rFonts w:hint="eastAsia"/>
        </w:rPr>
        <w:t>万元，</w:t>
      </w:r>
      <w:r>
        <w:t>202</w:t>
      </w:r>
      <w:r>
        <w:rPr>
          <w:rFonts w:hint="default"/>
          <w:lang w:val="en-US"/>
        </w:rPr>
        <w:t>4</w:t>
      </w:r>
      <w:r>
        <w:rPr>
          <w:rFonts w:hint="eastAsia"/>
        </w:rPr>
        <w:t>年预算收支安排</w:t>
      </w:r>
      <w:r>
        <w:t>2830.26</w:t>
      </w:r>
      <w:r>
        <w:rPr>
          <w:rFonts w:hint="eastAsia"/>
        </w:rPr>
        <w:t>万元，相比上年收支增加</w:t>
      </w:r>
      <w:r>
        <w:rPr>
          <w:rFonts w:hint="default"/>
          <w:lang w:val="en-US"/>
        </w:rPr>
        <w:t>1193.09</w:t>
      </w:r>
      <w:r>
        <w:rPr>
          <w:rFonts w:hint="eastAsia"/>
        </w:rPr>
        <w:t>万元。其中，</w:t>
      </w:r>
      <w:r>
        <w:rPr>
          <w:rFonts w:hint="eastAsia"/>
          <w:lang w:val="en-US" w:eastAsia="zh-CN"/>
        </w:rPr>
        <w:t>人员</w:t>
      </w:r>
      <w:r>
        <w:rPr>
          <w:rFonts w:hint="eastAsia"/>
        </w:rPr>
        <w:t>支出增</w:t>
      </w:r>
      <w:bookmarkStart w:id="21" w:name="_GoBack"/>
      <w:bookmarkEnd w:id="21"/>
      <w:r>
        <w:rPr>
          <w:rFonts w:hint="eastAsia"/>
        </w:rPr>
        <w:t>加，原因是职能增加，对村民委员会和村党支部的补助支出纳入年初预算。</w:t>
      </w:r>
    </w:p>
    <w:p>
      <w:pPr>
        <w:numPr>
          <w:ilvl w:val="0"/>
          <w:numId w:val="0"/>
        </w:numPr>
        <w:spacing w:before="10" w:after="10" w:line="360" w:lineRule="auto"/>
        <w:ind w:firstLine="560" w:firstLineChars="200"/>
        <w:jc w:val="left"/>
        <w:outlineLvl w:val="2"/>
        <w:rPr>
          <w:rFonts w:hint="eastAsia" w:ascii="黑体" w:hAnsi="黑体" w:eastAsia="黑体" w:cs="黑体"/>
          <w:color w:val="000000"/>
          <w:sz w:val="32"/>
        </w:rPr>
      </w:pPr>
      <w:r>
        <w:rPr>
          <w:rFonts w:hint="eastAsia" w:ascii="黑体" w:hAnsi="黑体" w:eastAsia="黑体" w:cs="黑体"/>
          <w:color w:val="000000"/>
          <w:sz w:val="28"/>
          <w:lang w:val="en-US" w:eastAsia="zh-CN"/>
        </w:rPr>
        <w:t>三、</w:t>
      </w:r>
      <w:r>
        <w:rPr>
          <w:rFonts w:hint="eastAsia" w:ascii="黑体" w:hAnsi="黑体" w:eastAsia="黑体" w:cs="黑体"/>
          <w:color w:val="000000"/>
          <w:sz w:val="32"/>
        </w:rPr>
        <w:t>机关运行经费安排情况</w:t>
      </w:r>
    </w:p>
    <w:p>
      <w:pPr>
        <w:widowControl w:val="0"/>
        <w:kinsoku w:val="0"/>
        <w:overflowPunct w:val="0"/>
        <w:autoSpaceDE w:val="0"/>
        <w:autoSpaceDN w:val="0"/>
        <w:adjustRightInd w:val="0"/>
        <w:spacing w:before="93" w:line="336" w:lineRule="auto"/>
        <w:ind w:right="748" w:firstLine="640" w:firstLineChars="200"/>
        <w:rPr>
          <w:highlight w:val="yellow"/>
        </w:rPr>
      </w:pPr>
      <w:r>
        <w:rPr>
          <w:rFonts w:hint="eastAsia" w:ascii="仿宋" w:eastAsia="仿宋" w:cs="仿宋"/>
          <w:sz w:val="32"/>
          <w:szCs w:val="32"/>
          <w:lang w:eastAsia="zh-CN"/>
        </w:rPr>
        <w:t>202</w:t>
      </w:r>
      <w:r>
        <w:rPr>
          <w:rFonts w:hint="default" w:ascii="仿宋" w:eastAsia="仿宋" w:cs="仿宋"/>
          <w:sz w:val="32"/>
          <w:szCs w:val="32"/>
          <w:lang w:val="en-US" w:eastAsia="zh-CN"/>
        </w:rPr>
        <w:t>5</w:t>
      </w:r>
      <w:r>
        <w:rPr>
          <w:rFonts w:hint="eastAsia" w:ascii="仿宋" w:eastAsia="仿宋" w:cs="仿宋"/>
          <w:sz w:val="32"/>
          <w:szCs w:val="32"/>
          <w:lang w:eastAsia="zh-CN"/>
        </w:rPr>
        <w:t>年，我</w:t>
      </w:r>
      <w:r>
        <w:rPr>
          <w:rFonts w:hint="eastAsia" w:ascii="仿宋" w:eastAsia="仿宋" w:cs="仿宋"/>
          <w:sz w:val="32"/>
          <w:szCs w:val="32"/>
          <w:lang w:val="en-US" w:eastAsia="zh-CN"/>
        </w:rPr>
        <w:t>单位</w:t>
      </w:r>
      <w:r>
        <w:rPr>
          <w:rFonts w:hint="eastAsia" w:ascii="仿宋" w:eastAsia="仿宋" w:cs="仿宋"/>
          <w:sz w:val="32"/>
          <w:szCs w:val="32"/>
          <w:lang w:eastAsia="zh-CN"/>
        </w:rPr>
        <w:t>机关运行经费共计安排</w:t>
      </w:r>
      <w:r>
        <w:rPr>
          <w:rFonts w:hint="default" w:ascii="仿宋" w:eastAsia="仿宋" w:cs="仿宋"/>
          <w:sz w:val="32"/>
          <w:szCs w:val="32"/>
          <w:lang w:val="en-US" w:eastAsia="zh-CN"/>
        </w:rPr>
        <w:t>47.89</w:t>
      </w:r>
      <w:r>
        <w:rPr>
          <w:rFonts w:hint="eastAsia" w:ascii="仿宋" w:eastAsia="仿宋" w:cs="仿宋"/>
          <w:sz w:val="32"/>
          <w:szCs w:val="32"/>
          <w:lang w:eastAsia="zh-CN"/>
        </w:rPr>
        <w:t>万元，主要用于我</w:t>
      </w:r>
      <w:r>
        <w:rPr>
          <w:rFonts w:hint="eastAsia" w:ascii="仿宋" w:eastAsia="仿宋" w:cs="仿宋"/>
          <w:sz w:val="32"/>
          <w:szCs w:val="32"/>
          <w:lang w:val="en-US" w:eastAsia="zh-CN"/>
        </w:rPr>
        <w:t>部</w:t>
      </w:r>
      <w:r>
        <w:rPr>
          <w:rFonts w:hint="eastAsia" w:ascii="仿宋" w:eastAsia="仿宋" w:cs="仿宋"/>
          <w:sz w:val="32"/>
          <w:szCs w:val="32"/>
          <w:lang w:eastAsia="zh-CN"/>
        </w:rPr>
        <w:t>正常运行的公用经费支出，是保证部门正常公务活动和日常业务开展所必需的经费，主要包括办公及印刷费、邮电费、差旅费、会议费、福利费、日常维修费、公务用车运行维护费以及公务员车补和通讯补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338" w:lineRule="auto"/>
        <w:ind w:firstLine="800" w:firstLineChars="250"/>
        <w:rPr>
          <w:rFonts w:hint="eastAsia" w:ascii="仿宋" w:eastAsia="仿宋" w:cs="仿宋"/>
          <w:sz w:val="32"/>
          <w:szCs w:val="32"/>
        </w:rPr>
      </w:pPr>
      <w:r>
        <w:rPr>
          <w:rFonts w:ascii="仿宋" w:eastAsia="仿宋" w:cs="仿宋"/>
          <w:sz w:val="32"/>
          <w:szCs w:val="32"/>
        </w:rPr>
        <w:t>202</w:t>
      </w:r>
      <w:r>
        <w:rPr>
          <w:rFonts w:hint="default" w:ascii="仿宋" w:eastAsia="仿宋" w:cs="仿宋"/>
          <w:sz w:val="32"/>
          <w:szCs w:val="32"/>
          <w:lang w:val="en-US" w:eastAsia="zh-CN"/>
        </w:rPr>
        <w:t>5</w:t>
      </w:r>
      <w:r>
        <w:rPr>
          <w:rFonts w:hint="eastAsia" w:ascii="仿宋" w:eastAsia="仿宋" w:cs="仿宋"/>
          <w:sz w:val="32"/>
          <w:szCs w:val="32"/>
        </w:rPr>
        <w:t>年我</w:t>
      </w:r>
      <w:r>
        <w:rPr>
          <w:rFonts w:hint="eastAsia" w:ascii="仿宋" w:eastAsia="仿宋" w:cs="仿宋"/>
          <w:sz w:val="32"/>
          <w:szCs w:val="32"/>
          <w:lang w:val="en-US" w:eastAsia="zh-CN"/>
        </w:rPr>
        <w:t>单位</w:t>
      </w:r>
      <w:r>
        <w:rPr>
          <w:rFonts w:hint="eastAsia" w:ascii="仿宋" w:eastAsia="仿宋" w:cs="仿宋"/>
          <w:sz w:val="32"/>
          <w:szCs w:val="32"/>
        </w:rPr>
        <w:t>财政拨款“三公”经费预算安排</w:t>
      </w:r>
      <w:r>
        <w:rPr>
          <w:rFonts w:hint="eastAsia" w:ascii="仿宋" w:eastAsia="仿宋" w:cs="仿宋"/>
          <w:sz w:val="32"/>
          <w:szCs w:val="32"/>
          <w:lang w:eastAsia="zh-CN"/>
        </w:rPr>
        <w:t>0</w:t>
      </w:r>
      <w:r>
        <w:rPr>
          <w:rFonts w:hint="eastAsia" w:ascii="仿宋" w:eastAsia="仿宋" w:cs="仿宋"/>
          <w:sz w:val="32"/>
          <w:szCs w:val="32"/>
        </w:rPr>
        <w:t>万元，其中因公出国（境）费</w:t>
      </w:r>
      <w:r>
        <w:rPr>
          <w:rFonts w:ascii="仿宋" w:eastAsia="仿宋" w:cs="仿宋"/>
          <w:sz w:val="32"/>
          <w:szCs w:val="32"/>
        </w:rPr>
        <w:t>0</w:t>
      </w:r>
      <w:r>
        <w:rPr>
          <w:rFonts w:hint="eastAsia" w:ascii="仿宋" w:eastAsia="仿宋" w:cs="仿宋"/>
          <w:sz w:val="32"/>
          <w:szCs w:val="32"/>
        </w:rPr>
        <w:t>万元；公务用车购置及运行维护费</w:t>
      </w:r>
      <w:r>
        <w:rPr>
          <w:rFonts w:hint="eastAsia" w:ascii="仿宋" w:eastAsia="仿宋" w:cs="仿宋"/>
          <w:sz w:val="32"/>
          <w:szCs w:val="32"/>
          <w:lang w:eastAsia="zh-CN"/>
        </w:rPr>
        <w:t>0</w:t>
      </w:r>
      <w:r>
        <w:rPr>
          <w:rFonts w:hint="eastAsia" w:ascii="仿宋" w:eastAsia="仿宋" w:cs="仿宋"/>
          <w:sz w:val="32"/>
          <w:szCs w:val="32"/>
        </w:rPr>
        <w:t>万元（其中公务用车购置费</w:t>
      </w:r>
      <w:r>
        <w:rPr>
          <w:rFonts w:ascii="仿宋" w:eastAsia="仿宋" w:cs="仿宋"/>
          <w:sz w:val="32"/>
          <w:szCs w:val="32"/>
        </w:rPr>
        <w:t>0</w:t>
      </w:r>
      <w:r>
        <w:rPr>
          <w:rFonts w:hint="eastAsia" w:ascii="仿宋" w:eastAsia="仿宋" w:cs="仿宋"/>
          <w:sz w:val="32"/>
          <w:szCs w:val="32"/>
        </w:rPr>
        <w:t>万元，公务用车运行维护费</w:t>
      </w:r>
      <w:r>
        <w:rPr>
          <w:rFonts w:hint="eastAsia" w:ascii="仿宋" w:eastAsia="仿宋" w:cs="仿宋"/>
          <w:sz w:val="32"/>
          <w:szCs w:val="32"/>
          <w:lang w:eastAsia="zh-CN"/>
        </w:rPr>
        <w:t>0</w:t>
      </w:r>
      <w:r>
        <w:rPr>
          <w:rFonts w:hint="eastAsia" w:ascii="仿宋" w:eastAsia="仿宋" w:cs="仿宋"/>
          <w:sz w:val="32"/>
          <w:szCs w:val="32"/>
        </w:rPr>
        <w:t>万元）；公务接待费安排</w:t>
      </w:r>
      <w:r>
        <w:rPr>
          <w:rFonts w:ascii="仿宋" w:eastAsia="仿宋" w:cs="仿宋"/>
          <w:sz w:val="32"/>
          <w:szCs w:val="32"/>
        </w:rPr>
        <w:t>0</w:t>
      </w:r>
      <w:r>
        <w:rPr>
          <w:rFonts w:hint="eastAsia" w:ascii="仿宋" w:eastAsia="仿宋" w:cs="仿宋"/>
          <w:sz w:val="32"/>
          <w:szCs w:val="32"/>
        </w:rPr>
        <w:t>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1、保财行[2024]6号关于提前下达2025年度下派选调生到村工作中央财政补助资金绩效目标表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13060625P00504310348W</w:t>
            </w:r>
          </w:p>
        </w:tc>
        <w:tc>
          <w:tcPr>
            <w:tcW w:w="2835" w:type="dxa"/>
            <w:vAlign w:val="center"/>
          </w:tcPr>
          <w:p>
            <w:pPr>
              <w:pStyle w:val="12"/>
            </w:pPr>
            <w:r>
              <w:t>项目名称</w:t>
            </w:r>
          </w:p>
        </w:tc>
        <w:tc>
          <w:tcPr>
            <w:tcW w:w="6095" w:type="dxa"/>
            <w:gridSpan w:val="3"/>
            <w:vAlign w:val="center"/>
          </w:tcPr>
          <w:p>
            <w:pPr>
              <w:pStyle w:val="14"/>
            </w:pPr>
            <w:r>
              <w:t>保财行[2024]6号关于提前下达2025年度下派选调生到村工作中央财政补助资金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9.19</w:t>
            </w:r>
          </w:p>
        </w:tc>
        <w:tc>
          <w:tcPr>
            <w:tcW w:w="2835" w:type="dxa"/>
            <w:vAlign w:val="center"/>
          </w:tcPr>
          <w:p>
            <w:pPr>
              <w:pStyle w:val="12"/>
            </w:pPr>
            <w:r>
              <w:t>其中：财政    资金</w:t>
            </w:r>
          </w:p>
        </w:tc>
        <w:tc>
          <w:tcPr>
            <w:tcW w:w="2551" w:type="dxa"/>
            <w:vAlign w:val="center"/>
          </w:tcPr>
          <w:p>
            <w:pPr>
              <w:pStyle w:val="14"/>
            </w:pPr>
            <w:r>
              <w:t>9.19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关于提前下达2025年度下派选调生到村工作中央财政补助资金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1.保财行[2024]6号关于提前下达2025年度下派选调生到村工作中央财政补助资金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实际发放补助人数</w:t>
            </w:r>
          </w:p>
        </w:tc>
        <w:tc>
          <w:tcPr>
            <w:tcW w:w="5386" w:type="dxa"/>
            <w:vAlign w:val="center"/>
          </w:tcPr>
          <w:p>
            <w:pPr>
              <w:pStyle w:val="14"/>
            </w:pPr>
            <w:r>
              <w:t>实际发放补助人数正确</w:t>
            </w:r>
          </w:p>
        </w:tc>
        <w:tc>
          <w:tcPr>
            <w:tcW w:w="2268" w:type="dxa"/>
            <w:vAlign w:val="center"/>
          </w:tcPr>
          <w:p>
            <w:pPr>
              <w:pStyle w:val="14"/>
            </w:pPr>
            <w:r>
              <w:t>按照财政部通知确定</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实际补助发放精准率</w:t>
            </w:r>
          </w:p>
        </w:tc>
        <w:tc>
          <w:tcPr>
            <w:tcW w:w="5386" w:type="dxa"/>
            <w:vAlign w:val="center"/>
          </w:tcPr>
          <w:p>
            <w:pPr>
              <w:pStyle w:val="14"/>
            </w:pPr>
            <w:r>
              <w:t>实际补助发放精准</w:t>
            </w:r>
          </w:p>
        </w:tc>
        <w:tc>
          <w:tcPr>
            <w:tcW w:w="2268" w:type="dxa"/>
            <w:vAlign w:val="center"/>
          </w:tcPr>
          <w:p>
            <w:pPr>
              <w:pStyle w:val="14"/>
            </w:pPr>
            <w:r>
              <w:t>1</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补助发放时间</w:t>
            </w:r>
          </w:p>
        </w:tc>
        <w:tc>
          <w:tcPr>
            <w:tcW w:w="5386" w:type="dxa"/>
            <w:vAlign w:val="center"/>
          </w:tcPr>
          <w:p>
            <w:pPr>
              <w:pStyle w:val="14"/>
            </w:pPr>
            <w:r>
              <w:t>按时发放补助</w:t>
            </w:r>
          </w:p>
        </w:tc>
        <w:tc>
          <w:tcPr>
            <w:tcW w:w="2268" w:type="dxa"/>
            <w:vAlign w:val="center"/>
          </w:tcPr>
          <w:p>
            <w:pPr>
              <w:pStyle w:val="14"/>
            </w:pPr>
            <w:r>
              <w:t>按预算管理规定时限下达</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工作经费补助标准</w:t>
            </w:r>
          </w:p>
        </w:tc>
        <w:tc>
          <w:tcPr>
            <w:tcW w:w="5386" w:type="dxa"/>
            <w:vAlign w:val="center"/>
          </w:tcPr>
          <w:p>
            <w:pPr>
              <w:pStyle w:val="14"/>
            </w:pPr>
            <w:r>
              <w:t>工作经费补助标准</w:t>
            </w:r>
          </w:p>
        </w:tc>
        <w:tc>
          <w:tcPr>
            <w:tcW w:w="2268" w:type="dxa"/>
            <w:vAlign w:val="center"/>
          </w:tcPr>
          <w:p>
            <w:pPr>
              <w:pStyle w:val="14"/>
            </w:pPr>
            <w:r>
              <w:t>按国家规定政策标准执行</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选调生到村服务年限</w:t>
            </w:r>
          </w:p>
        </w:tc>
        <w:tc>
          <w:tcPr>
            <w:tcW w:w="5386" w:type="dxa"/>
            <w:vAlign w:val="center"/>
          </w:tcPr>
          <w:p>
            <w:pPr>
              <w:pStyle w:val="14"/>
            </w:pPr>
            <w:r>
              <w:t>选调生到村服务年限</w:t>
            </w:r>
          </w:p>
        </w:tc>
        <w:tc>
          <w:tcPr>
            <w:tcW w:w="2268" w:type="dxa"/>
            <w:vAlign w:val="center"/>
          </w:tcPr>
          <w:p>
            <w:pPr>
              <w:pStyle w:val="14"/>
            </w:pPr>
            <w:r>
              <w:t>≥1</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到村任职选调生满意度</w:t>
            </w:r>
          </w:p>
        </w:tc>
        <w:tc>
          <w:tcPr>
            <w:tcW w:w="5386" w:type="dxa"/>
            <w:vAlign w:val="center"/>
          </w:tcPr>
          <w:p>
            <w:pPr>
              <w:pStyle w:val="14"/>
            </w:pPr>
            <w:r>
              <w:t>到村任职选调生满意度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2、保财预【2024】26号关于提前下达2025年均衡性转移支付的通知（村级组织运转补助）绩效目标表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13060625P00000910008R</w:t>
            </w:r>
          </w:p>
        </w:tc>
        <w:tc>
          <w:tcPr>
            <w:tcW w:w="2835" w:type="dxa"/>
            <w:vAlign w:val="center"/>
          </w:tcPr>
          <w:p>
            <w:pPr>
              <w:pStyle w:val="12"/>
            </w:pPr>
            <w:r>
              <w:t>项目名称</w:t>
            </w:r>
          </w:p>
        </w:tc>
        <w:tc>
          <w:tcPr>
            <w:tcW w:w="6095" w:type="dxa"/>
            <w:gridSpan w:val="3"/>
            <w:vAlign w:val="center"/>
          </w:tcPr>
          <w:p>
            <w:pPr>
              <w:pStyle w:val="14"/>
            </w:pPr>
            <w:r>
              <w:t>保财预【2024】26号关于提前下达2025年均衡性转移支付的通知（村级组织运转补助）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1131.00</w:t>
            </w:r>
          </w:p>
        </w:tc>
        <w:tc>
          <w:tcPr>
            <w:tcW w:w="2835" w:type="dxa"/>
            <w:vAlign w:val="center"/>
          </w:tcPr>
          <w:p>
            <w:pPr>
              <w:pStyle w:val="12"/>
            </w:pPr>
            <w:r>
              <w:t>其中：财政    资金</w:t>
            </w:r>
          </w:p>
        </w:tc>
        <w:tc>
          <w:tcPr>
            <w:tcW w:w="2551" w:type="dxa"/>
            <w:vAlign w:val="center"/>
          </w:tcPr>
          <w:p>
            <w:pPr>
              <w:pStyle w:val="14"/>
            </w:pPr>
            <w:r>
              <w:t>1131.00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保财预【2024】26号关于提前下达2025年均衡性转移支付的通知（村级组织运转补助）</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1.保财预[2024]26号关于下达202５年均衡性转移支付的通知（村级组织运转经费补助）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≤1131万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3、村级党员活动经费绩效目标表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13060625P00000910004B</w:t>
            </w:r>
          </w:p>
        </w:tc>
        <w:tc>
          <w:tcPr>
            <w:tcW w:w="2835" w:type="dxa"/>
            <w:vAlign w:val="center"/>
          </w:tcPr>
          <w:p>
            <w:pPr>
              <w:pStyle w:val="12"/>
            </w:pPr>
            <w:r>
              <w:t>项目名称</w:t>
            </w:r>
          </w:p>
        </w:tc>
        <w:tc>
          <w:tcPr>
            <w:tcW w:w="6095" w:type="dxa"/>
            <w:gridSpan w:val="3"/>
            <w:vAlign w:val="center"/>
          </w:tcPr>
          <w:p>
            <w:pPr>
              <w:pStyle w:val="14"/>
            </w:pPr>
            <w:r>
              <w:t>村级党员活动经费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130.00</w:t>
            </w:r>
          </w:p>
        </w:tc>
        <w:tc>
          <w:tcPr>
            <w:tcW w:w="2835" w:type="dxa"/>
            <w:vAlign w:val="center"/>
          </w:tcPr>
          <w:p>
            <w:pPr>
              <w:pStyle w:val="12"/>
            </w:pPr>
            <w:r>
              <w:t>其中：财政    资金</w:t>
            </w:r>
          </w:p>
        </w:tc>
        <w:tc>
          <w:tcPr>
            <w:tcW w:w="2551" w:type="dxa"/>
            <w:vAlign w:val="center"/>
          </w:tcPr>
          <w:p>
            <w:pPr>
              <w:pStyle w:val="14"/>
            </w:pPr>
            <w:r>
              <w:t>130.00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村级党员活动经费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1.农村村级党员活动经费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13060625P000009100024</w:t>
            </w:r>
          </w:p>
        </w:tc>
        <w:tc>
          <w:tcPr>
            <w:tcW w:w="2835" w:type="dxa"/>
            <w:vAlign w:val="center"/>
          </w:tcPr>
          <w:p>
            <w:pPr>
              <w:pStyle w:val="12"/>
            </w:pPr>
            <w:r>
              <w:t>项目名称</w:t>
            </w:r>
          </w:p>
        </w:tc>
        <w:tc>
          <w:tcPr>
            <w:tcW w:w="6095" w:type="dxa"/>
            <w:gridSpan w:val="3"/>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119.00</w:t>
            </w:r>
          </w:p>
        </w:tc>
        <w:tc>
          <w:tcPr>
            <w:tcW w:w="2835" w:type="dxa"/>
            <w:vAlign w:val="center"/>
          </w:tcPr>
          <w:p>
            <w:pPr>
              <w:pStyle w:val="12"/>
            </w:pPr>
            <w:r>
              <w:t>其中：财政    资金</w:t>
            </w:r>
          </w:p>
        </w:tc>
        <w:tc>
          <w:tcPr>
            <w:tcW w:w="2551" w:type="dxa"/>
            <w:vAlign w:val="center"/>
          </w:tcPr>
          <w:p>
            <w:pPr>
              <w:pStyle w:val="14"/>
            </w:pPr>
            <w:r>
              <w:t>119.00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1.农村村级组织办公经费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≤119万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5、大组工网专项经费绩效目标表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13060625P00504310201T</w:t>
            </w:r>
          </w:p>
        </w:tc>
        <w:tc>
          <w:tcPr>
            <w:tcW w:w="2835" w:type="dxa"/>
            <w:vAlign w:val="center"/>
          </w:tcPr>
          <w:p>
            <w:pPr>
              <w:pStyle w:val="12"/>
            </w:pPr>
            <w:r>
              <w:t>项目名称</w:t>
            </w:r>
          </w:p>
        </w:tc>
        <w:tc>
          <w:tcPr>
            <w:tcW w:w="6095" w:type="dxa"/>
            <w:gridSpan w:val="3"/>
            <w:vAlign w:val="center"/>
          </w:tcPr>
          <w:p>
            <w:pPr>
              <w:pStyle w:val="14"/>
            </w:pPr>
            <w:r>
              <w:t>大组工网专项经费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大组工网专项经费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1.2025年大组工网专项经费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≤8万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6、党员干部学习活动经费绩效目标表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13060625P00504310196E</w:t>
            </w:r>
          </w:p>
        </w:tc>
        <w:tc>
          <w:tcPr>
            <w:tcW w:w="2835" w:type="dxa"/>
            <w:vAlign w:val="center"/>
          </w:tcPr>
          <w:p>
            <w:pPr>
              <w:pStyle w:val="12"/>
            </w:pPr>
            <w:r>
              <w:t>项目名称</w:t>
            </w:r>
          </w:p>
        </w:tc>
        <w:tc>
          <w:tcPr>
            <w:tcW w:w="6095" w:type="dxa"/>
            <w:gridSpan w:val="3"/>
            <w:vAlign w:val="center"/>
          </w:tcPr>
          <w:p>
            <w:pPr>
              <w:pStyle w:val="14"/>
            </w:pPr>
            <w:r>
              <w:t>党员干部学习活动经费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党员干部学习活动经费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1.党员干部学习活动经费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工作日保障单位运转（是否有培训学习场次，如有建议填培训场次）</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13060625P00000910003P</w:t>
            </w:r>
          </w:p>
        </w:tc>
        <w:tc>
          <w:tcPr>
            <w:tcW w:w="2835" w:type="dxa"/>
            <w:vAlign w:val="center"/>
          </w:tcPr>
          <w:p>
            <w:pPr>
              <w:pStyle w:val="12"/>
            </w:pPr>
            <w:r>
              <w:t>项目名称</w:t>
            </w:r>
          </w:p>
        </w:tc>
        <w:tc>
          <w:tcPr>
            <w:tcW w:w="6095" w:type="dxa"/>
            <w:gridSpan w:val="3"/>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595.00</w:t>
            </w:r>
          </w:p>
        </w:tc>
        <w:tc>
          <w:tcPr>
            <w:tcW w:w="2835" w:type="dxa"/>
            <w:vAlign w:val="center"/>
          </w:tcPr>
          <w:p>
            <w:pPr>
              <w:pStyle w:val="12"/>
            </w:pPr>
            <w:r>
              <w:t>其中：财政    资金</w:t>
            </w:r>
          </w:p>
        </w:tc>
        <w:tc>
          <w:tcPr>
            <w:tcW w:w="2551" w:type="dxa"/>
            <w:vAlign w:val="center"/>
          </w:tcPr>
          <w:p>
            <w:pPr>
              <w:pStyle w:val="14"/>
            </w:pPr>
            <w:r>
              <w:t>595.00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1.村级服务群众专项经费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≤595万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8、基层党建专项经费绩效目标表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13060625P005043102059</w:t>
            </w:r>
          </w:p>
        </w:tc>
        <w:tc>
          <w:tcPr>
            <w:tcW w:w="2835" w:type="dxa"/>
            <w:vAlign w:val="center"/>
          </w:tcPr>
          <w:p>
            <w:pPr>
              <w:pStyle w:val="12"/>
            </w:pPr>
            <w:r>
              <w:t>项目名称</w:t>
            </w:r>
          </w:p>
        </w:tc>
        <w:tc>
          <w:tcPr>
            <w:tcW w:w="6095" w:type="dxa"/>
            <w:gridSpan w:val="3"/>
            <w:vAlign w:val="center"/>
          </w:tcPr>
          <w:p>
            <w:pPr>
              <w:pStyle w:val="14"/>
            </w:pPr>
            <w:r>
              <w:t>基层党建专项经费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基层党建专项经费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1.2025年基层党建专项经费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≤200万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9、考核专项经费绩效目标表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13060625P00504310204M</w:t>
            </w:r>
          </w:p>
        </w:tc>
        <w:tc>
          <w:tcPr>
            <w:tcW w:w="2835" w:type="dxa"/>
            <w:vAlign w:val="center"/>
          </w:tcPr>
          <w:p>
            <w:pPr>
              <w:pStyle w:val="12"/>
            </w:pPr>
            <w:r>
              <w:t>项目名称</w:t>
            </w:r>
          </w:p>
        </w:tc>
        <w:tc>
          <w:tcPr>
            <w:tcW w:w="6095" w:type="dxa"/>
            <w:gridSpan w:val="3"/>
            <w:vAlign w:val="center"/>
          </w:tcPr>
          <w:p>
            <w:pPr>
              <w:pStyle w:val="14"/>
            </w:pPr>
            <w:r>
              <w:t>考核专项经费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考核专项经费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1.2025年考核专项经费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≤60万元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10、农村电教专项经费绩效目标表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13060625P005043102032</w:t>
            </w:r>
          </w:p>
        </w:tc>
        <w:tc>
          <w:tcPr>
            <w:tcW w:w="2835" w:type="dxa"/>
            <w:vAlign w:val="center"/>
          </w:tcPr>
          <w:p>
            <w:pPr>
              <w:pStyle w:val="12"/>
            </w:pPr>
            <w:r>
              <w:t>项目名称</w:t>
            </w:r>
          </w:p>
        </w:tc>
        <w:tc>
          <w:tcPr>
            <w:tcW w:w="6095" w:type="dxa"/>
            <w:gridSpan w:val="3"/>
            <w:vAlign w:val="center"/>
          </w:tcPr>
          <w:p>
            <w:pPr>
              <w:pStyle w:val="14"/>
            </w:pPr>
            <w:r>
              <w:t>农村电教专项经费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农村电教专项经费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1.2025年农村电教专项经费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≤12万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11、农村干部基础职务补贴绩效目标表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13060625P00000910005Y</w:t>
            </w:r>
          </w:p>
        </w:tc>
        <w:tc>
          <w:tcPr>
            <w:tcW w:w="2835" w:type="dxa"/>
            <w:vAlign w:val="center"/>
          </w:tcPr>
          <w:p>
            <w:pPr>
              <w:pStyle w:val="12"/>
            </w:pPr>
            <w:r>
              <w:t>项目名称</w:t>
            </w:r>
          </w:p>
        </w:tc>
        <w:tc>
          <w:tcPr>
            <w:tcW w:w="6095" w:type="dxa"/>
            <w:gridSpan w:val="3"/>
            <w:vAlign w:val="center"/>
          </w:tcPr>
          <w:p>
            <w:pPr>
              <w:pStyle w:val="14"/>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555.00</w:t>
            </w:r>
          </w:p>
        </w:tc>
        <w:tc>
          <w:tcPr>
            <w:tcW w:w="2835" w:type="dxa"/>
            <w:vAlign w:val="center"/>
          </w:tcPr>
          <w:p>
            <w:pPr>
              <w:pStyle w:val="12"/>
            </w:pPr>
            <w:r>
              <w:t>其中：财政    资金</w:t>
            </w:r>
          </w:p>
        </w:tc>
        <w:tc>
          <w:tcPr>
            <w:tcW w:w="2551" w:type="dxa"/>
            <w:vAlign w:val="center"/>
          </w:tcPr>
          <w:p>
            <w:pPr>
              <w:pStyle w:val="14"/>
            </w:pPr>
            <w:r>
              <w:t>555.00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1.农村干部基础职务补贴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≤555万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12、农村干部绩效补贴绩效目标表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13060625P000009100076</w:t>
            </w:r>
          </w:p>
        </w:tc>
        <w:tc>
          <w:tcPr>
            <w:tcW w:w="2835" w:type="dxa"/>
            <w:vAlign w:val="center"/>
          </w:tcPr>
          <w:p>
            <w:pPr>
              <w:pStyle w:val="12"/>
            </w:pPr>
            <w:r>
              <w:t>项目名称</w:t>
            </w:r>
          </w:p>
        </w:tc>
        <w:tc>
          <w:tcPr>
            <w:tcW w:w="6095" w:type="dxa"/>
            <w:gridSpan w:val="3"/>
            <w:vAlign w:val="center"/>
          </w:tcPr>
          <w:p>
            <w:pPr>
              <w:pStyle w:val="14"/>
            </w:pPr>
            <w:r>
              <w:t>农村干部绩效补贴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562.00</w:t>
            </w:r>
          </w:p>
        </w:tc>
        <w:tc>
          <w:tcPr>
            <w:tcW w:w="2835" w:type="dxa"/>
            <w:vAlign w:val="center"/>
          </w:tcPr>
          <w:p>
            <w:pPr>
              <w:pStyle w:val="12"/>
            </w:pPr>
            <w:r>
              <w:t>其中：财政    资金</w:t>
            </w:r>
          </w:p>
        </w:tc>
        <w:tc>
          <w:tcPr>
            <w:tcW w:w="2551" w:type="dxa"/>
            <w:vAlign w:val="center"/>
          </w:tcPr>
          <w:p>
            <w:pPr>
              <w:pStyle w:val="14"/>
            </w:pPr>
            <w:r>
              <w:t>562.00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农村干部基础绩效补贴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1.农村干部基础绩效补贴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≤562万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13、农村干部离任补贴绩效目标表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13060625P00000910006J</w:t>
            </w:r>
          </w:p>
        </w:tc>
        <w:tc>
          <w:tcPr>
            <w:tcW w:w="2835" w:type="dxa"/>
            <w:vAlign w:val="center"/>
          </w:tcPr>
          <w:p>
            <w:pPr>
              <w:pStyle w:val="12"/>
            </w:pPr>
            <w:r>
              <w:t>项目名称</w:t>
            </w:r>
          </w:p>
        </w:tc>
        <w:tc>
          <w:tcPr>
            <w:tcW w:w="6095" w:type="dxa"/>
            <w:gridSpan w:val="3"/>
            <w:vAlign w:val="center"/>
          </w:tcPr>
          <w:p>
            <w:pPr>
              <w:pStyle w:val="14"/>
            </w:pPr>
            <w:r>
              <w:t>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59.00</w:t>
            </w:r>
          </w:p>
        </w:tc>
        <w:tc>
          <w:tcPr>
            <w:tcW w:w="2835" w:type="dxa"/>
            <w:vAlign w:val="center"/>
          </w:tcPr>
          <w:p>
            <w:pPr>
              <w:pStyle w:val="12"/>
            </w:pPr>
            <w:r>
              <w:t>其中：财政    资金</w:t>
            </w:r>
          </w:p>
        </w:tc>
        <w:tc>
          <w:tcPr>
            <w:tcW w:w="2551" w:type="dxa"/>
            <w:vAlign w:val="center"/>
          </w:tcPr>
          <w:p>
            <w:pPr>
              <w:pStyle w:val="14"/>
            </w:pPr>
            <w:r>
              <w:t>59.00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1.村级农村干部离任补贴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费用支付完成率</w:t>
            </w:r>
          </w:p>
        </w:tc>
        <w:tc>
          <w:tcPr>
            <w:tcW w:w="5386" w:type="dxa"/>
            <w:vAlign w:val="center"/>
          </w:tcPr>
          <w:p>
            <w:pPr>
              <w:pStyle w:val="14"/>
            </w:pPr>
            <w:r>
              <w:t>支付完成情况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财政拨款保障率</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完成工作情况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≤59万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使用率</w:t>
            </w:r>
          </w:p>
        </w:tc>
        <w:tc>
          <w:tcPr>
            <w:tcW w:w="5386" w:type="dxa"/>
            <w:vAlign w:val="center"/>
          </w:tcPr>
          <w:p>
            <w:pPr>
              <w:pStyle w:val="14"/>
            </w:pPr>
            <w:r>
              <w:t>按要求支出情况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日常完成率</w:t>
            </w:r>
          </w:p>
        </w:tc>
        <w:tc>
          <w:tcPr>
            <w:tcW w:w="5386" w:type="dxa"/>
            <w:vAlign w:val="center"/>
          </w:tcPr>
          <w:p>
            <w:pPr>
              <w:pStyle w:val="14"/>
            </w:pPr>
            <w:r>
              <w:t>各项工作完成情况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持续率</w:t>
            </w:r>
          </w:p>
        </w:tc>
        <w:tc>
          <w:tcPr>
            <w:tcW w:w="5386" w:type="dxa"/>
            <w:vAlign w:val="center"/>
          </w:tcPr>
          <w:p>
            <w:pPr>
              <w:pStyle w:val="14"/>
            </w:pPr>
            <w:r>
              <w:t>满足日常办工情况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支出是否达到村级组织满意</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13060625P005043101999</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1.2025年综合业务费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w:t>
            </w:r>
          </w:p>
        </w:tc>
        <w:tc>
          <w:tcPr>
            <w:tcW w:w="5386" w:type="dxa"/>
            <w:vAlign w:val="center"/>
          </w:tcPr>
          <w:p>
            <w:pPr>
              <w:pStyle w:val="14"/>
            </w:pPr>
            <w:r>
              <w:t>工作日保障单位运转</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财政拨款是否准确</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总预算执行情况</w:t>
            </w:r>
          </w:p>
        </w:tc>
        <w:tc>
          <w:tcPr>
            <w:tcW w:w="2268" w:type="dxa"/>
            <w:vAlign w:val="center"/>
          </w:tcPr>
          <w:p>
            <w:pPr>
              <w:pStyle w:val="14"/>
            </w:pPr>
            <w:r>
              <w:t>≤30万  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财政资金使用请况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落实国家政策</w:t>
            </w:r>
          </w:p>
        </w:tc>
        <w:tc>
          <w:tcPr>
            <w:tcW w:w="5386" w:type="dxa"/>
            <w:vAlign w:val="center"/>
          </w:tcPr>
          <w:p>
            <w:pPr>
              <w:pStyle w:val="14"/>
            </w:pPr>
            <w:r>
              <w:t>维持社会公平公正</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不涉及0不涉及</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有效提高0有效提高</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支出是否达到服务对象满意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203001中共莲池区委组织部本级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中共莲池区委组织部本级上年末固定资产金额为</w:t>
      </w:r>
      <w:r>
        <w:rPr>
          <w:rFonts w:hint="default" w:eastAsia="方正仿宋_GBK" w:cs="Times New Roman"/>
          <w:b w:val="0"/>
          <w:color w:val="000000"/>
          <w:sz w:val="28"/>
          <w:lang w:val="en-US"/>
        </w:rPr>
        <w:t>51.1113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203001中共莲池区委组织部本级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rPr>
                <w:rFonts w:hint="default" w:eastAsia="方正书宋_GBK"/>
                <w:lang w:val="en-US" w:eastAsia="zh-CN"/>
              </w:rPr>
            </w:pPr>
            <w:r>
              <w:rPr>
                <w:rFonts w:hint="eastAsia"/>
                <w:lang w:val="en-US" w:eastAsia="zh-CN"/>
              </w:rPr>
              <w:t>其他固定资产</w:t>
            </w:r>
          </w:p>
        </w:tc>
        <w:tc>
          <w:tcPr>
            <w:tcW w:w="2835" w:type="dxa"/>
            <w:vAlign w:val="center"/>
          </w:tcPr>
          <w:p>
            <w:pPr>
              <w:pStyle w:val="15"/>
              <w:rPr>
                <w:rFonts w:hint="eastAsia" w:eastAsia="方正书宋_GBK"/>
                <w:lang w:eastAsia="zh-CN"/>
              </w:rPr>
            </w:pPr>
            <w:r>
              <w:rPr>
                <w:rFonts w:hint="eastAsia"/>
                <w:lang w:eastAsia="zh-CN"/>
              </w:rPr>
              <w:t>——</w:t>
            </w:r>
          </w:p>
        </w:tc>
        <w:tc>
          <w:tcPr>
            <w:tcW w:w="2835" w:type="dxa"/>
            <w:vAlign w:val="center"/>
          </w:tcPr>
          <w:p>
            <w:pPr>
              <w:pStyle w:val="13"/>
              <w:rPr>
                <w:rFonts w:hint="default"/>
                <w:lang w:val="en-US"/>
              </w:rPr>
            </w:pPr>
            <w:r>
              <w:rPr>
                <w:rFonts w:hint="default"/>
                <w:lang w:val="en-US"/>
              </w:rPr>
              <w:t>51.1113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3D28E7"/>
    <w:rsid w:val="23E03F76"/>
    <w:rsid w:val="26C27FCA"/>
    <w:rsid w:val="51F12252"/>
    <w:rsid w:val="7AB67DF3"/>
    <w:rsid w:val="7FA85B1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adjustRightInd w:val="0"/>
    </w:pPr>
    <w:rPr>
      <w:rFonts w:ascii="仿宋" w:eastAsia="仿宋" w:cs="仿宋"/>
      <w:sz w:val="32"/>
      <w:szCs w:val="32"/>
      <w:lang w:eastAsia="zh-CN"/>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9</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2025-02-12T10:14:00Z</dcterms:created>
  <dc:creator>DELL</dc:creator>
  <cp:lastModifiedBy>DELL</cp:lastModifiedBy>
  <dcterms:modified xsi:type="dcterms:W3CDTF">2025-02-12T07:44:08Z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E0015E55A28142F1A282C5342B312FE0</vt:lpwstr>
  </property>
</Properties>
</file>