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一、保定市莲池区工业和信息化局本级收支预算</w:t>
      </w:r>
      <w:r>
        <w:tab/>
      </w:r>
      <w:r>
        <w:fldChar w:fldCharType="begin"/>
      </w:r>
      <w:r>
        <w:instrText xml:space="preserve">PAGEREF _Toc_4_4_0000000021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4960.25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134.60</w:t>
            </w: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1445.24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5094.85</w:t>
            </w:r>
          </w:p>
        </w:tc>
        <w:tc>
          <w:tcPr>
            <w:tcW w:w="4535" w:type="dxa"/>
            <w:vAlign w:val="center"/>
          </w:tcPr>
          <w:p>
            <w:pPr>
              <w:pStyle w:val="16"/>
            </w:pPr>
            <w:r>
              <w:t>本年支出合计</w:t>
            </w:r>
          </w:p>
        </w:tc>
        <w:tc>
          <w:tcPr>
            <w:tcW w:w="2126" w:type="dxa"/>
            <w:vAlign w:val="center"/>
          </w:tcPr>
          <w:p>
            <w:pPr>
              <w:pStyle w:val="17"/>
            </w:pPr>
            <w:r>
              <w:t>9594.85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4500.00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9594.85</w:t>
            </w:r>
          </w:p>
        </w:tc>
        <w:tc>
          <w:tcPr>
            <w:tcW w:w="4535" w:type="dxa"/>
            <w:vAlign w:val="center"/>
          </w:tcPr>
          <w:p>
            <w:pPr>
              <w:pStyle w:val="16"/>
            </w:pPr>
            <w:r>
              <w:t>支出总计</w:t>
            </w:r>
          </w:p>
        </w:tc>
        <w:tc>
          <w:tcPr>
            <w:tcW w:w="2126" w:type="dxa"/>
            <w:vAlign w:val="center"/>
          </w:tcPr>
          <w:p>
            <w:pPr>
              <w:pStyle w:val="17"/>
            </w:pPr>
            <w:r>
              <w:t>9594.85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9594.85</w:t>
            </w:r>
          </w:p>
        </w:tc>
        <w:tc>
          <w:tcPr>
            <w:tcW w:w="1134" w:type="dxa"/>
            <w:vAlign w:val="center"/>
          </w:tcPr>
          <w:p>
            <w:pPr>
              <w:pStyle w:val="17"/>
            </w:pPr>
            <w:r>
              <w:t>5094.85</w:t>
            </w:r>
          </w:p>
        </w:tc>
        <w:tc>
          <w:tcPr>
            <w:tcW w:w="1134" w:type="dxa"/>
            <w:vAlign w:val="center"/>
          </w:tcPr>
          <w:p>
            <w:pPr>
              <w:pStyle w:val="17"/>
            </w:pPr>
            <w:r>
              <w:t>5094.85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2050399</w:t>
            </w:r>
          </w:p>
        </w:tc>
        <w:tc>
          <w:tcPr>
            <w:tcW w:w="1559" w:type="dxa"/>
            <w:vAlign w:val="center"/>
          </w:tcPr>
          <w:p>
            <w:pPr>
              <w:pStyle w:val="14"/>
            </w:pPr>
            <w:r>
              <w:t>其他职业教育支出</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302.24</w:t>
            </w:r>
          </w:p>
        </w:tc>
        <w:tc>
          <w:tcPr>
            <w:tcW w:w="1134" w:type="dxa"/>
            <w:vAlign w:val="center"/>
          </w:tcPr>
          <w:p>
            <w:pPr>
              <w:pStyle w:val="13"/>
            </w:pPr>
            <w:r>
              <w:t>302.24</w:t>
            </w:r>
          </w:p>
        </w:tc>
        <w:tc>
          <w:tcPr>
            <w:tcW w:w="1134" w:type="dxa"/>
            <w:vAlign w:val="center"/>
          </w:tcPr>
          <w:p>
            <w:pPr>
              <w:pStyle w:val="13"/>
            </w:pPr>
            <w:r>
              <w:t>302.24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152.00</w:t>
            </w:r>
          </w:p>
        </w:tc>
        <w:tc>
          <w:tcPr>
            <w:tcW w:w="1134" w:type="dxa"/>
            <w:vAlign w:val="center"/>
          </w:tcPr>
          <w:p>
            <w:pPr>
              <w:pStyle w:val="13"/>
            </w:pPr>
            <w:r>
              <w:t>152.00</w:t>
            </w:r>
          </w:p>
        </w:tc>
        <w:tc>
          <w:tcPr>
            <w:tcW w:w="1134" w:type="dxa"/>
            <w:vAlign w:val="center"/>
          </w:tcPr>
          <w:p>
            <w:pPr>
              <w:pStyle w:val="13"/>
            </w:pPr>
            <w:r>
              <w:t>152.00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133.00</w:t>
            </w:r>
          </w:p>
        </w:tc>
        <w:tc>
          <w:tcPr>
            <w:tcW w:w="1134" w:type="dxa"/>
            <w:vAlign w:val="center"/>
          </w:tcPr>
          <w:p>
            <w:pPr>
              <w:pStyle w:val="13"/>
            </w:pPr>
            <w:r>
              <w:t>133.00</w:t>
            </w:r>
          </w:p>
        </w:tc>
        <w:tc>
          <w:tcPr>
            <w:tcW w:w="1134" w:type="dxa"/>
            <w:vAlign w:val="center"/>
          </w:tcPr>
          <w:p>
            <w:pPr>
              <w:pStyle w:val="13"/>
            </w:pPr>
            <w:r>
              <w:t>133.00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142.32</w:t>
            </w:r>
          </w:p>
        </w:tc>
        <w:tc>
          <w:tcPr>
            <w:tcW w:w="1134" w:type="dxa"/>
            <w:vAlign w:val="center"/>
          </w:tcPr>
          <w:p>
            <w:pPr>
              <w:pStyle w:val="13"/>
            </w:pPr>
            <w:r>
              <w:t>142.32</w:t>
            </w:r>
          </w:p>
        </w:tc>
        <w:tc>
          <w:tcPr>
            <w:tcW w:w="1134" w:type="dxa"/>
            <w:vAlign w:val="center"/>
          </w:tcPr>
          <w:p>
            <w:pPr>
              <w:pStyle w:val="13"/>
            </w:pPr>
            <w:r>
              <w:t>142.32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16.32</w:t>
            </w:r>
          </w:p>
        </w:tc>
        <w:tc>
          <w:tcPr>
            <w:tcW w:w="1134" w:type="dxa"/>
            <w:vAlign w:val="center"/>
          </w:tcPr>
          <w:p>
            <w:pPr>
              <w:pStyle w:val="13"/>
            </w:pPr>
            <w:r>
              <w:t>16.32</w:t>
            </w:r>
          </w:p>
        </w:tc>
        <w:tc>
          <w:tcPr>
            <w:tcW w:w="1134" w:type="dxa"/>
            <w:vAlign w:val="center"/>
          </w:tcPr>
          <w:p>
            <w:pPr>
              <w:pStyle w:val="13"/>
            </w:pPr>
            <w:r>
              <w:t>16.32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21111</w:t>
            </w:r>
          </w:p>
        </w:tc>
        <w:tc>
          <w:tcPr>
            <w:tcW w:w="1559" w:type="dxa"/>
            <w:vAlign w:val="center"/>
          </w:tcPr>
          <w:p>
            <w:pPr>
              <w:pStyle w:val="14"/>
            </w:pPr>
            <w:r>
              <w:t>污染减排</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2111103</w:t>
            </w:r>
          </w:p>
        </w:tc>
        <w:tc>
          <w:tcPr>
            <w:tcW w:w="1559" w:type="dxa"/>
            <w:vAlign w:val="center"/>
          </w:tcPr>
          <w:p>
            <w:pPr>
              <w:pStyle w:val="14"/>
            </w:pPr>
            <w:r>
              <w:t>减排专项支出</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21505</w:t>
            </w:r>
          </w:p>
        </w:tc>
        <w:tc>
          <w:tcPr>
            <w:tcW w:w="1559" w:type="dxa"/>
            <w:vAlign w:val="center"/>
          </w:tcPr>
          <w:p>
            <w:pPr>
              <w:pStyle w:val="14"/>
            </w:pPr>
            <w:r>
              <w:t>工业和信息产业</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2150501</w:t>
            </w:r>
          </w:p>
        </w:tc>
        <w:tc>
          <w:tcPr>
            <w:tcW w:w="1559" w:type="dxa"/>
            <w:vAlign w:val="center"/>
          </w:tcPr>
          <w:p>
            <w:pPr>
              <w:pStyle w:val="14"/>
            </w:pPr>
            <w:r>
              <w:t>行政运行</w:t>
            </w:r>
          </w:p>
        </w:tc>
        <w:tc>
          <w:tcPr>
            <w:tcW w:w="1134" w:type="dxa"/>
            <w:vAlign w:val="center"/>
          </w:tcPr>
          <w:p>
            <w:pPr>
              <w:pStyle w:val="13"/>
            </w:pPr>
            <w:r>
              <w:t>173.03</w:t>
            </w:r>
          </w:p>
        </w:tc>
        <w:tc>
          <w:tcPr>
            <w:tcW w:w="1134" w:type="dxa"/>
            <w:vAlign w:val="center"/>
          </w:tcPr>
          <w:p>
            <w:pPr>
              <w:pStyle w:val="13"/>
            </w:pPr>
            <w:r>
              <w:t>173.03</w:t>
            </w:r>
          </w:p>
        </w:tc>
        <w:tc>
          <w:tcPr>
            <w:tcW w:w="1134" w:type="dxa"/>
            <w:vAlign w:val="center"/>
          </w:tcPr>
          <w:p>
            <w:pPr>
              <w:pStyle w:val="13"/>
            </w:pPr>
            <w:r>
              <w:t>173.03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2150502</w:t>
            </w:r>
          </w:p>
        </w:tc>
        <w:tc>
          <w:tcPr>
            <w:tcW w:w="1559" w:type="dxa"/>
            <w:vAlign w:val="center"/>
          </w:tcPr>
          <w:p>
            <w:pPr>
              <w:pStyle w:val="14"/>
            </w:pPr>
            <w:r>
              <w:t>一般行政管理事务</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2150517</w:t>
            </w:r>
          </w:p>
        </w:tc>
        <w:tc>
          <w:tcPr>
            <w:tcW w:w="1559" w:type="dxa"/>
            <w:vAlign w:val="center"/>
          </w:tcPr>
          <w:p>
            <w:pPr>
              <w:pStyle w:val="14"/>
            </w:pPr>
            <w:r>
              <w:t>产业发展</w:t>
            </w:r>
          </w:p>
        </w:tc>
        <w:tc>
          <w:tcPr>
            <w:tcW w:w="1134" w:type="dxa"/>
            <w:vAlign w:val="center"/>
          </w:tcPr>
          <w:p>
            <w:pPr>
              <w:pStyle w:val="13"/>
            </w:pPr>
            <w:r>
              <w:t>1265.21</w:t>
            </w:r>
          </w:p>
        </w:tc>
        <w:tc>
          <w:tcPr>
            <w:tcW w:w="1134" w:type="dxa"/>
            <w:vAlign w:val="center"/>
          </w:tcPr>
          <w:p>
            <w:pPr>
              <w:pStyle w:val="13"/>
            </w:pPr>
            <w:r>
              <w:t>1265.21</w:t>
            </w:r>
          </w:p>
        </w:tc>
        <w:tc>
          <w:tcPr>
            <w:tcW w:w="1134" w:type="dxa"/>
            <w:vAlign w:val="center"/>
          </w:tcPr>
          <w:p>
            <w:pPr>
              <w:pStyle w:val="13"/>
            </w:pPr>
            <w:r>
              <w:t>1265.21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9594.85</w:t>
            </w:r>
          </w:p>
        </w:tc>
        <w:tc>
          <w:tcPr>
            <w:tcW w:w="1361" w:type="dxa"/>
            <w:vAlign w:val="center"/>
          </w:tcPr>
          <w:p>
            <w:pPr>
              <w:pStyle w:val="17"/>
            </w:pPr>
            <w:r>
              <w:t>360.35</w:t>
            </w:r>
          </w:p>
        </w:tc>
        <w:tc>
          <w:tcPr>
            <w:tcW w:w="1361" w:type="dxa"/>
            <w:vAlign w:val="center"/>
          </w:tcPr>
          <w:p>
            <w:pPr>
              <w:pStyle w:val="17"/>
            </w:pPr>
            <w:r>
              <w:t>9234.50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2050399</w:t>
            </w:r>
          </w:p>
        </w:tc>
        <w:tc>
          <w:tcPr>
            <w:tcW w:w="4535" w:type="dxa"/>
            <w:vAlign w:val="center"/>
          </w:tcPr>
          <w:p>
            <w:pPr>
              <w:pStyle w:val="14"/>
            </w:pPr>
            <w:r>
              <w:t>其他职业教育支出</w:t>
            </w: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302.24</w:t>
            </w:r>
          </w:p>
        </w:tc>
        <w:tc>
          <w:tcPr>
            <w:tcW w:w="1361" w:type="dxa"/>
            <w:vAlign w:val="center"/>
          </w:tcPr>
          <w:p>
            <w:pPr>
              <w:pStyle w:val="13"/>
            </w:pPr>
            <w:r>
              <w:t>156.00</w:t>
            </w: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152.00</w:t>
            </w:r>
          </w:p>
        </w:tc>
        <w:tc>
          <w:tcPr>
            <w:tcW w:w="1361" w:type="dxa"/>
            <w:vAlign w:val="center"/>
          </w:tcPr>
          <w:p>
            <w:pPr>
              <w:pStyle w:val="13"/>
            </w:pPr>
            <w:r>
              <w:t>152.00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133.00</w:t>
            </w:r>
          </w:p>
        </w:tc>
        <w:tc>
          <w:tcPr>
            <w:tcW w:w="1361" w:type="dxa"/>
            <w:vAlign w:val="center"/>
          </w:tcPr>
          <w:p>
            <w:pPr>
              <w:pStyle w:val="13"/>
            </w:pPr>
            <w:r>
              <w:t>133.00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4.00</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4.00</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142.32</w:t>
            </w:r>
          </w:p>
        </w:tc>
        <w:tc>
          <w:tcPr>
            <w:tcW w:w="1361" w:type="dxa"/>
            <w:vAlign w:val="center"/>
          </w:tcPr>
          <w:p>
            <w:pPr>
              <w:pStyle w:val="13"/>
            </w:pPr>
            <w:r>
              <w:t>16.32</w:t>
            </w: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16.32</w:t>
            </w:r>
          </w:p>
        </w:tc>
        <w:tc>
          <w:tcPr>
            <w:tcW w:w="1361" w:type="dxa"/>
            <w:vAlign w:val="center"/>
          </w:tcPr>
          <w:p>
            <w:pPr>
              <w:pStyle w:val="13"/>
            </w:pPr>
            <w:r>
              <w:t>16.32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9.00</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2111103</w:t>
            </w:r>
          </w:p>
        </w:tc>
        <w:tc>
          <w:tcPr>
            <w:tcW w:w="4535" w:type="dxa"/>
            <w:vAlign w:val="center"/>
          </w:tcPr>
          <w:p>
            <w:pPr>
              <w:pStyle w:val="14"/>
            </w:pPr>
            <w:r>
              <w:t>减排专项支出</w:t>
            </w: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1445.24</w:t>
            </w:r>
          </w:p>
        </w:tc>
        <w:tc>
          <w:tcPr>
            <w:tcW w:w="1361" w:type="dxa"/>
            <w:vAlign w:val="center"/>
          </w:tcPr>
          <w:p>
            <w:pPr>
              <w:pStyle w:val="13"/>
            </w:pPr>
            <w:r>
              <w:t>173.03</w:t>
            </w:r>
          </w:p>
        </w:tc>
        <w:tc>
          <w:tcPr>
            <w:tcW w:w="1361" w:type="dxa"/>
            <w:vAlign w:val="center"/>
          </w:tcPr>
          <w:p>
            <w:pPr>
              <w:pStyle w:val="13"/>
            </w:pPr>
            <w:r>
              <w:t>1272.21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21505</w:t>
            </w:r>
          </w:p>
        </w:tc>
        <w:tc>
          <w:tcPr>
            <w:tcW w:w="4535" w:type="dxa"/>
            <w:vAlign w:val="center"/>
          </w:tcPr>
          <w:p>
            <w:pPr>
              <w:pStyle w:val="14"/>
            </w:pPr>
            <w:r>
              <w:t>工业和信息产业</w:t>
            </w:r>
          </w:p>
        </w:tc>
        <w:tc>
          <w:tcPr>
            <w:tcW w:w="1361" w:type="dxa"/>
            <w:vAlign w:val="center"/>
          </w:tcPr>
          <w:p>
            <w:pPr>
              <w:pStyle w:val="13"/>
            </w:pPr>
            <w:r>
              <w:t>1445.24</w:t>
            </w:r>
          </w:p>
        </w:tc>
        <w:tc>
          <w:tcPr>
            <w:tcW w:w="1361" w:type="dxa"/>
            <w:vAlign w:val="center"/>
          </w:tcPr>
          <w:p>
            <w:pPr>
              <w:pStyle w:val="13"/>
            </w:pPr>
            <w:r>
              <w:t>173.03</w:t>
            </w:r>
          </w:p>
        </w:tc>
        <w:tc>
          <w:tcPr>
            <w:tcW w:w="1361" w:type="dxa"/>
            <w:vAlign w:val="center"/>
          </w:tcPr>
          <w:p>
            <w:pPr>
              <w:pStyle w:val="13"/>
            </w:pPr>
            <w:r>
              <w:t>1272.21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2150501</w:t>
            </w:r>
          </w:p>
        </w:tc>
        <w:tc>
          <w:tcPr>
            <w:tcW w:w="4535" w:type="dxa"/>
            <w:vAlign w:val="center"/>
          </w:tcPr>
          <w:p>
            <w:pPr>
              <w:pStyle w:val="14"/>
            </w:pPr>
            <w:r>
              <w:t>行政运行</w:t>
            </w:r>
          </w:p>
        </w:tc>
        <w:tc>
          <w:tcPr>
            <w:tcW w:w="1361" w:type="dxa"/>
            <w:vAlign w:val="center"/>
          </w:tcPr>
          <w:p>
            <w:pPr>
              <w:pStyle w:val="13"/>
            </w:pPr>
            <w:r>
              <w:t>173.03</w:t>
            </w:r>
          </w:p>
        </w:tc>
        <w:tc>
          <w:tcPr>
            <w:tcW w:w="1361" w:type="dxa"/>
            <w:vAlign w:val="center"/>
          </w:tcPr>
          <w:p>
            <w:pPr>
              <w:pStyle w:val="13"/>
            </w:pPr>
            <w:r>
              <w:t>173.03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2150502</w:t>
            </w:r>
          </w:p>
        </w:tc>
        <w:tc>
          <w:tcPr>
            <w:tcW w:w="4535" w:type="dxa"/>
            <w:vAlign w:val="center"/>
          </w:tcPr>
          <w:p>
            <w:pPr>
              <w:pStyle w:val="14"/>
            </w:pPr>
            <w:r>
              <w:t>一般行政管理事务</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2150517</w:t>
            </w:r>
          </w:p>
        </w:tc>
        <w:tc>
          <w:tcPr>
            <w:tcW w:w="4535" w:type="dxa"/>
            <w:vAlign w:val="center"/>
          </w:tcPr>
          <w:p>
            <w:pPr>
              <w:pStyle w:val="14"/>
            </w:pPr>
            <w:r>
              <w:t>产业发展</w:t>
            </w:r>
          </w:p>
        </w:tc>
        <w:tc>
          <w:tcPr>
            <w:tcW w:w="1361" w:type="dxa"/>
            <w:vAlign w:val="center"/>
          </w:tcPr>
          <w:p>
            <w:pPr>
              <w:pStyle w:val="13"/>
            </w:pPr>
            <w:r>
              <w:t>1265.21</w:t>
            </w:r>
          </w:p>
        </w:tc>
        <w:tc>
          <w:tcPr>
            <w:tcW w:w="1361" w:type="dxa"/>
            <w:vAlign w:val="center"/>
          </w:tcPr>
          <w:p>
            <w:pPr>
              <w:pStyle w:val="13"/>
            </w:pPr>
          </w:p>
        </w:tc>
        <w:tc>
          <w:tcPr>
            <w:tcW w:w="1361" w:type="dxa"/>
            <w:vAlign w:val="center"/>
          </w:tcPr>
          <w:p>
            <w:pPr>
              <w:pStyle w:val="13"/>
            </w:pPr>
            <w:r>
              <w:t>1265.21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4960.25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134.60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215.45</w:t>
            </w:r>
          </w:p>
        </w:tc>
        <w:tc>
          <w:tcPr>
            <w:tcW w:w="1474" w:type="dxa"/>
            <w:vAlign w:val="center"/>
          </w:tcPr>
          <w:p>
            <w:pPr>
              <w:pStyle w:val="13"/>
            </w:pPr>
            <w:r>
              <w:t>215.45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302.24</w:t>
            </w:r>
          </w:p>
        </w:tc>
        <w:tc>
          <w:tcPr>
            <w:tcW w:w="1474" w:type="dxa"/>
            <w:vAlign w:val="center"/>
          </w:tcPr>
          <w:p>
            <w:pPr>
              <w:pStyle w:val="13"/>
            </w:pPr>
            <w:r>
              <w:t>302.24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142.32</w:t>
            </w:r>
          </w:p>
        </w:tc>
        <w:tc>
          <w:tcPr>
            <w:tcW w:w="1474" w:type="dxa"/>
            <w:vAlign w:val="center"/>
          </w:tcPr>
          <w:p>
            <w:pPr>
              <w:pStyle w:val="13"/>
            </w:pPr>
            <w:r>
              <w:t>142.32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2840.00</w:t>
            </w:r>
          </w:p>
        </w:tc>
        <w:tc>
          <w:tcPr>
            <w:tcW w:w="1474" w:type="dxa"/>
            <w:vAlign w:val="center"/>
          </w:tcPr>
          <w:p>
            <w:pPr>
              <w:pStyle w:val="13"/>
            </w:pPr>
            <w:r>
              <w:t>2840.00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1445.24</w:t>
            </w:r>
          </w:p>
        </w:tc>
        <w:tc>
          <w:tcPr>
            <w:tcW w:w="1474" w:type="dxa"/>
            <w:vAlign w:val="center"/>
          </w:tcPr>
          <w:p>
            <w:pPr>
              <w:pStyle w:val="13"/>
            </w:pPr>
            <w:r>
              <w:t>1445.24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15.00</w:t>
            </w:r>
          </w:p>
        </w:tc>
        <w:tc>
          <w:tcPr>
            <w:tcW w:w="1474" w:type="dxa"/>
            <w:vAlign w:val="center"/>
          </w:tcPr>
          <w:p>
            <w:pPr>
              <w:pStyle w:val="13"/>
            </w:pPr>
            <w:r>
              <w:t>15.00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134.60</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4500.00</w:t>
            </w:r>
          </w:p>
        </w:tc>
        <w:tc>
          <w:tcPr>
            <w:tcW w:w="1474" w:type="dxa"/>
            <w:vAlign w:val="center"/>
          </w:tcPr>
          <w:p>
            <w:pPr>
              <w:pStyle w:val="13"/>
            </w:pPr>
          </w:p>
        </w:tc>
        <w:tc>
          <w:tcPr>
            <w:tcW w:w="1474" w:type="dxa"/>
            <w:vAlign w:val="center"/>
          </w:tcPr>
          <w:p>
            <w:pPr>
              <w:pStyle w:val="13"/>
            </w:pPr>
            <w:r>
              <w:t>4500.00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5094.85</w:t>
            </w:r>
          </w:p>
        </w:tc>
        <w:tc>
          <w:tcPr>
            <w:tcW w:w="3402" w:type="dxa"/>
            <w:vAlign w:val="center"/>
          </w:tcPr>
          <w:p>
            <w:pPr>
              <w:pStyle w:val="16"/>
            </w:pPr>
            <w:r>
              <w:t>本年支出合计</w:t>
            </w:r>
          </w:p>
        </w:tc>
        <w:tc>
          <w:tcPr>
            <w:tcW w:w="1474" w:type="dxa"/>
            <w:vAlign w:val="center"/>
          </w:tcPr>
          <w:p>
            <w:pPr>
              <w:pStyle w:val="17"/>
            </w:pPr>
            <w:r>
              <w:t>9594.85</w:t>
            </w:r>
          </w:p>
        </w:tc>
        <w:tc>
          <w:tcPr>
            <w:tcW w:w="1474" w:type="dxa"/>
            <w:vAlign w:val="center"/>
          </w:tcPr>
          <w:p>
            <w:pPr>
              <w:pStyle w:val="17"/>
            </w:pPr>
            <w:r>
              <w:t>4960.25</w:t>
            </w:r>
          </w:p>
        </w:tc>
        <w:tc>
          <w:tcPr>
            <w:tcW w:w="1474" w:type="dxa"/>
            <w:vAlign w:val="center"/>
          </w:tcPr>
          <w:p>
            <w:pPr>
              <w:pStyle w:val="17"/>
            </w:pPr>
            <w:r>
              <w:t>4500.00</w:t>
            </w:r>
          </w:p>
        </w:tc>
        <w:tc>
          <w:tcPr>
            <w:tcW w:w="1474" w:type="dxa"/>
            <w:vAlign w:val="center"/>
          </w:tcPr>
          <w:p>
            <w:pPr>
              <w:pStyle w:val="17"/>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4500.00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4500.00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9594.85</w:t>
            </w:r>
          </w:p>
        </w:tc>
        <w:tc>
          <w:tcPr>
            <w:tcW w:w="3402" w:type="dxa"/>
            <w:vAlign w:val="center"/>
          </w:tcPr>
          <w:p>
            <w:pPr>
              <w:pStyle w:val="16"/>
            </w:pPr>
            <w:r>
              <w:t>支出总计</w:t>
            </w:r>
          </w:p>
        </w:tc>
        <w:tc>
          <w:tcPr>
            <w:tcW w:w="1474" w:type="dxa"/>
            <w:vAlign w:val="center"/>
          </w:tcPr>
          <w:p>
            <w:pPr>
              <w:pStyle w:val="17"/>
            </w:pPr>
            <w:r>
              <w:t>9594.85</w:t>
            </w:r>
          </w:p>
        </w:tc>
        <w:tc>
          <w:tcPr>
            <w:tcW w:w="1474" w:type="dxa"/>
            <w:vAlign w:val="center"/>
          </w:tcPr>
          <w:p>
            <w:pPr>
              <w:pStyle w:val="17"/>
            </w:pPr>
            <w:r>
              <w:t>4960.25</w:t>
            </w:r>
          </w:p>
        </w:tc>
        <w:tc>
          <w:tcPr>
            <w:tcW w:w="1474" w:type="dxa"/>
            <w:vAlign w:val="center"/>
          </w:tcPr>
          <w:p>
            <w:pPr>
              <w:pStyle w:val="17"/>
            </w:pPr>
            <w:r>
              <w:t>4500.00</w:t>
            </w:r>
          </w:p>
        </w:tc>
        <w:tc>
          <w:tcPr>
            <w:tcW w:w="1474" w:type="dxa"/>
            <w:vAlign w:val="center"/>
          </w:tcPr>
          <w:p>
            <w:pPr>
              <w:pStyle w:val="17"/>
            </w:pPr>
            <w:r>
              <w:t>134.60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4960.25</w:t>
            </w:r>
          </w:p>
        </w:tc>
        <w:tc>
          <w:tcPr>
            <w:tcW w:w="2551" w:type="dxa"/>
            <w:vAlign w:val="center"/>
          </w:tcPr>
          <w:p>
            <w:pPr>
              <w:pStyle w:val="17"/>
            </w:pPr>
            <w:r>
              <w:t>360.35</w:t>
            </w:r>
          </w:p>
        </w:tc>
        <w:tc>
          <w:tcPr>
            <w:tcW w:w="2551" w:type="dxa"/>
            <w:vAlign w:val="center"/>
          </w:tcPr>
          <w:p>
            <w:pPr>
              <w:pStyle w:val="17"/>
            </w:pPr>
            <w:r>
              <w:t>4599.90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215.45</w:t>
            </w:r>
          </w:p>
        </w:tc>
        <w:tc>
          <w:tcPr>
            <w:tcW w:w="2551" w:type="dxa"/>
            <w:vAlign w:val="center"/>
          </w:tcPr>
          <w:p>
            <w:pPr>
              <w:pStyle w:val="13"/>
            </w:pPr>
          </w:p>
        </w:tc>
        <w:tc>
          <w:tcPr>
            <w:tcW w:w="2551"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215.45</w:t>
            </w:r>
          </w:p>
        </w:tc>
        <w:tc>
          <w:tcPr>
            <w:tcW w:w="2551" w:type="dxa"/>
            <w:vAlign w:val="center"/>
          </w:tcPr>
          <w:p>
            <w:pPr>
              <w:pStyle w:val="13"/>
            </w:pPr>
          </w:p>
        </w:tc>
        <w:tc>
          <w:tcPr>
            <w:tcW w:w="2551"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2050399</w:t>
            </w:r>
          </w:p>
        </w:tc>
        <w:tc>
          <w:tcPr>
            <w:tcW w:w="4535" w:type="dxa"/>
            <w:vAlign w:val="center"/>
          </w:tcPr>
          <w:p>
            <w:pPr>
              <w:pStyle w:val="14"/>
            </w:pPr>
            <w:r>
              <w:t>其他职业教育支出</w:t>
            </w:r>
          </w:p>
        </w:tc>
        <w:tc>
          <w:tcPr>
            <w:tcW w:w="2551" w:type="dxa"/>
            <w:vAlign w:val="center"/>
          </w:tcPr>
          <w:p>
            <w:pPr>
              <w:pStyle w:val="13"/>
            </w:pPr>
            <w:r>
              <w:t>215.45</w:t>
            </w:r>
          </w:p>
        </w:tc>
        <w:tc>
          <w:tcPr>
            <w:tcW w:w="2551" w:type="dxa"/>
            <w:vAlign w:val="center"/>
          </w:tcPr>
          <w:p>
            <w:pPr>
              <w:pStyle w:val="13"/>
            </w:pPr>
          </w:p>
        </w:tc>
        <w:tc>
          <w:tcPr>
            <w:tcW w:w="2551"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302.24</w:t>
            </w:r>
          </w:p>
        </w:tc>
        <w:tc>
          <w:tcPr>
            <w:tcW w:w="2551" w:type="dxa"/>
            <w:vAlign w:val="center"/>
          </w:tcPr>
          <w:p>
            <w:pPr>
              <w:pStyle w:val="13"/>
            </w:pPr>
            <w:r>
              <w:t>156.00</w:t>
            </w:r>
          </w:p>
        </w:tc>
        <w:tc>
          <w:tcPr>
            <w:tcW w:w="2551" w:type="dxa"/>
            <w:vAlign w:val="center"/>
          </w:tcPr>
          <w:p>
            <w:pPr>
              <w:pStyle w:val="13"/>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152.00</w:t>
            </w:r>
          </w:p>
        </w:tc>
        <w:tc>
          <w:tcPr>
            <w:tcW w:w="2551" w:type="dxa"/>
            <w:vAlign w:val="center"/>
          </w:tcPr>
          <w:p>
            <w:pPr>
              <w:pStyle w:val="13"/>
            </w:pPr>
            <w:r>
              <w:t>152.00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133.00</w:t>
            </w:r>
          </w:p>
        </w:tc>
        <w:tc>
          <w:tcPr>
            <w:tcW w:w="2551" w:type="dxa"/>
            <w:vAlign w:val="center"/>
          </w:tcPr>
          <w:p>
            <w:pPr>
              <w:pStyle w:val="13"/>
            </w:pPr>
            <w:r>
              <w:t>133.00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146.24</w:t>
            </w:r>
          </w:p>
        </w:tc>
        <w:tc>
          <w:tcPr>
            <w:tcW w:w="2551" w:type="dxa"/>
            <w:vAlign w:val="center"/>
          </w:tcPr>
          <w:p>
            <w:pPr>
              <w:pStyle w:val="13"/>
            </w:pPr>
          </w:p>
        </w:tc>
        <w:tc>
          <w:tcPr>
            <w:tcW w:w="2551" w:type="dxa"/>
            <w:vAlign w:val="center"/>
          </w:tcPr>
          <w:p>
            <w:pPr>
              <w:pStyle w:val="13"/>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146.24</w:t>
            </w:r>
          </w:p>
        </w:tc>
        <w:tc>
          <w:tcPr>
            <w:tcW w:w="2551" w:type="dxa"/>
            <w:vAlign w:val="center"/>
          </w:tcPr>
          <w:p>
            <w:pPr>
              <w:pStyle w:val="13"/>
            </w:pPr>
          </w:p>
        </w:tc>
        <w:tc>
          <w:tcPr>
            <w:tcW w:w="2551" w:type="dxa"/>
            <w:vAlign w:val="center"/>
          </w:tcPr>
          <w:p>
            <w:pPr>
              <w:pStyle w:val="13"/>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142.32</w:t>
            </w:r>
          </w:p>
        </w:tc>
        <w:tc>
          <w:tcPr>
            <w:tcW w:w="2551" w:type="dxa"/>
            <w:vAlign w:val="center"/>
          </w:tcPr>
          <w:p>
            <w:pPr>
              <w:pStyle w:val="13"/>
            </w:pPr>
            <w:r>
              <w:t>16.32</w:t>
            </w:r>
          </w:p>
        </w:tc>
        <w:tc>
          <w:tcPr>
            <w:tcW w:w="2551" w:type="dxa"/>
            <w:vAlign w:val="center"/>
          </w:tcPr>
          <w:p>
            <w:pPr>
              <w:pStyle w:val="13"/>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16.32</w:t>
            </w:r>
          </w:p>
        </w:tc>
        <w:tc>
          <w:tcPr>
            <w:tcW w:w="2551" w:type="dxa"/>
            <w:vAlign w:val="center"/>
          </w:tcPr>
          <w:p>
            <w:pPr>
              <w:pStyle w:val="13"/>
            </w:pPr>
            <w:r>
              <w:t>16.32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126.00</w:t>
            </w:r>
          </w:p>
        </w:tc>
        <w:tc>
          <w:tcPr>
            <w:tcW w:w="2551" w:type="dxa"/>
            <w:vAlign w:val="center"/>
          </w:tcPr>
          <w:p>
            <w:pPr>
              <w:pStyle w:val="13"/>
            </w:pPr>
          </w:p>
        </w:tc>
        <w:tc>
          <w:tcPr>
            <w:tcW w:w="2551" w:type="dxa"/>
            <w:vAlign w:val="center"/>
          </w:tcPr>
          <w:p>
            <w:pPr>
              <w:pStyle w:val="13"/>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126.00</w:t>
            </w:r>
          </w:p>
        </w:tc>
        <w:tc>
          <w:tcPr>
            <w:tcW w:w="2551" w:type="dxa"/>
            <w:vAlign w:val="center"/>
          </w:tcPr>
          <w:p>
            <w:pPr>
              <w:pStyle w:val="13"/>
            </w:pPr>
          </w:p>
        </w:tc>
        <w:tc>
          <w:tcPr>
            <w:tcW w:w="2551" w:type="dxa"/>
            <w:vAlign w:val="center"/>
          </w:tcPr>
          <w:p>
            <w:pPr>
              <w:pStyle w:val="13"/>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2840.00</w:t>
            </w:r>
          </w:p>
        </w:tc>
        <w:tc>
          <w:tcPr>
            <w:tcW w:w="2551" w:type="dxa"/>
            <w:vAlign w:val="center"/>
          </w:tcPr>
          <w:p>
            <w:pPr>
              <w:pStyle w:val="13"/>
            </w:pPr>
          </w:p>
        </w:tc>
        <w:tc>
          <w:tcPr>
            <w:tcW w:w="2551"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21111</w:t>
            </w:r>
          </w:p>
        </w:tc>
        <w:tc>
          <w:tcPr>
            <w:tcW w:w="4535" w:type="dxa"/>
            <w:vAlign w:val="center"/>
          </w:tcPr>
          <w:p>
            <w:pPr>
              <w:pStyle w:val="14"/>
            </w:pPr>
            <w:r>
              <w:t>污染减排</w:t>
            </w:r>
          </w:p>
        </w:tc>
        <w:tc>
          <w:tcPr>
            <w:tcW w:w="2551" w:type="dxa"/>
            <w:vAlign w:val="center"/>
          </w:tcPr>
          <w:p>
            <w:pPr>
              <w:pStyle w:val="13"/>
            </w:pPr>
            <w:r>
              <w:t>2840.00</w:t>
            </w:r>
          </w:p>
        </w:tc>
        <w:tc>
          <w:tcPr>
            <w:tcW w:w="2551" w:type="dxa"/>
            <w:vAlign w:val="center"/>
          </w:tcPr>
          <w:p>
            <w:pPr>
              <w:pStyle w:val="13"/>
            </w:pPr>
          </w:p>
        </w:tc>
        <w:tc>
          <w:tcPr>
            <w:tcW w:w="2551"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2111103</w:t>
            </w:r>
          </w:p>
        </w:tc>
        <w:tc>
          <w:tcPr>
            <w:tcW w:w="4535" w:type="dxa"/>
            <w:vAlign w:val="center"/>
          </w:tcPr>
          <w:p>
            <w:pPr>
              <w:pStyle w:val="14"/>
            </w:pPr>
            <w:r>
              <w:t>减排专项支出</w:t>
            </w:r>
          </w:p>
        </w:tc>
        <w:tc>
          <w:tcPr>
            <w:tcW w:w="2551" w:type="dxa"/>
            <w:vAlign w:val="center"/>
          </w:tcPr>
          <w:p>
            <w:pPr>
              <w:pStyle w:val="13"/>
            </w:pPr>
            <w:r>
              <w:t>2840.00</w:t>
            </w:r>
          </w:p>
        </w:tc>
        <w:tc>
          <w:tcPr>
            <w:tcW w:w="2551" w:type="dxa"/>
            <w:vAlign w:val="center"/>
          </w:tcPr>
          <w:p>
            <w:pPr>
              <w:pStyle w:val="13"/>
            </w:pPr>
          </w:p>
        </w:tc>
        <w:tc>
          <w:tcPr>
            <w:tcW w:w="2551"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1445.24</w:t>
            </w:r>
          </w:p>
        </w:tc>
        <w:tc>
          <w:tcPr>
            <w:tcW w:w="2551" w:type="dxa"/>
            <w:vAlign w:val="center"/>
          </w:tcPr>
          <w:p>
            <w:pPr>
              <w:pStyle w:val="13"/>
            </w:pPr>
            <w:r>
              <w:t>173.03</w:t>
            </w:r>
          </w:p>
        </w:tc>
        <w:tc>
          <w:tcPr>
            <w:tcW w:w="2551" w:type="dxa"/>
            <w:vAlign w:val="center"/>
          </w:tcPr>
          <w:p>
            <w:pPr>
              <w:pStyle w:val="13"/>
            </w:pPr>
            <w:r>
              <w:t>1272.21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21505</w:t>
            </w:r>
          </w:p>
        </w:tc>
        <w:tc>
          <w:tcPr>
            <w:tcW w:w="4535" w:type="dxa"/>
            <w:vAlign w:val="center"/>
          </w:tcPr>
          <w:p>
            <w:pPr>
              <w:pStyle w:val="14"/>
            </w:pPr>
            <w:r>
              <w:t>工业和信息产业</w:t>
            </w:r>
          </w:p>
        </w:tc>
        <w:tc>
          <w:tcPr>
            <w:tcW w:w="2551" w:type="dxa"/>
            <w:vAlign w:val="center"/>
          </w:tcPr>
          <w:p>
            <w:pPr>
              <w:pStyle w:val="13"/>
            </w:pPr>
            <w:r>
              <w:t>1445.24</w:t>
            </w:r>
          </w:p>
        </w:tc>
        <w:tc>
          <w:tcPr>
            <w:tcW w:w="2551" w:type="dxa"/>
            <w:vAlign w:val="center"/>
          </w:tcPr>
          <w:p>
            <w:pPr>
              <w:pStyle w:val="13"/>
            </w:pPr>
            <w:r>
              <w:t>173.03</w:t>
            </w:r>
          </w:p>
        </w:tc>
        <w:tc>
          <w:tcPr>
            <w:tcW w:w="2551" w:type="dxa"/>
            <w:vAlign w:val="center"/>
          </w:tcPr>
          <w:p>
            <w:pPr>
              <w:pStyle w:val="13"/>
            </w:pPr>
            <w:r>
              <w:t>1272.21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pPr>
            <w:r>
              <w:t>173.03</w:t>
            </w:r>
          </w:p>
        </w:tc>
        <w:tc>
          <w:tcPr>
            <w:tcW w:w="2551" w:type="dxa"/>
            <w:vAlign w:val="center"/>
          </w:tcPr>
          <w:p>
            <w:pPr>
              <w:pStyle w:val="13"/>
            </w:pPr>
            <w:r>
              <w:t>173.03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2150502</w:t>
            </w:r>
          </w:p>
        </w:tc>
        <w:tc>
          <w:tcPr>
            <w:tcW w:w="4535" w:type="dxa"/>
            <w:vAlign w:val="center"/>
          </w:tcPr>
          <w:p>
            <w:pPr>
              <w:pStyle w:val="14"/>
            </w:pPr>
            <w:r>
              <w:t>一般行政管理事务</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2150517</w:t>
            </w:r>
          </w:p>
        </w:tc>
        <w:tc>
          <w:tcPr>
            <w:tcW w:w="4535" w:type="dxa"/>
            <w:vAlign w:val="center"/>
          </w:tcPr>
          <w:p>
            <w:pPr>
              <w:pStyle w:val="14"/>
            </w:pPr>
            <w:r>
              <w:t>产业发展</w:t>
            </w:r>
          </w:p>
        </w:tc>
        <w:tc>
          <w:tcPr>
            <w:tcW w:w="2551" w:type="dxa"/>
            <w:vAlign w:val="center"/>
          </w:tcPr>
          <w:p>
            <w:pPr>
              <w:pStyle w:val="13"/>
            </w:pPr>
            <w:r>
              <w:t>1265.21</w:t>
            </w:r>
          </w:p>
        </w:tc>
        <w:tc>
          <w:tcPr>
            <w:tcW w:w="2551" w:type="dxa"/>
            <w:vAlign w:val="center"/>
          </w:tcPr>
          <w:p>
            <w:pPr>
              <w:pStyle w:val="13"/>
            </w:pPr>
          </w:p>
        </w:tc>
        <w:tc>
          <w:tcPr>
            <w:tcW w:w="2551" w:type="dxa"/>
            <w:vAlign w:val="center"/>
          </w:tcPr>
          <w:p>
            <w:pPr>
              <w:pStyle w:val="13"/>
            </w:pPr>
            <w:r>
              <w:t>1265.21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360.35</w:t>
            </w:r>
          </w:p>
        </w:tc>
        <w:tc>
          <w:tcPr>
            <w:tcW w:w="2551" w:type="dxa"/>
            <w:vAlign w:val="center"/>
          </w:tcPr>
          <w:p>
            <w:pPr>
              <w:pStyle w:val="17"/>
            </w:pPr>
            <w:r>
              <w:t>331.34</w:t>
            </w:r>
          </w:p>
        </w:tc>
        <w:tc>
          <w:tcPr>
            <w:tcW w:w="2551" w:type="dxa"/>
            <w:vAlign w:val="center"/>
          </w:tcPr>
          <w:p>
            <w:pPr>
              <w:pStyle w:val="17"/>
            </w:pPr>
            <w:r>
              <w:t>29.01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192.34</w:t>
            </w:r>
          </w:p>
        </w:tc>
        <w:tc>
          <w:tcPr>
            <w:tcW w:w="2551" w:type="dxa"/>
            <w:vAlign w:val="center"/>
          </w:tcPr>
          <w:p>
            <w:pPr>
              <w:pStyle w:val="13"/>
            </w:pPr>
            <w:r>
              <w:t>192.34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46.02</w:t>
            </w:r>
          </w:p>
        </w:tc>
        <w:tc>
          <w:tcPr>
            <w:tcW w:w="2551" w:type="dxa"/>
            <w:vAlign w:val="center"/>
          </w:tcPr>
          <w:p>
            <w:pPr>
              <w:pStyle w:val="13"/>
            </w:pPr>
            <w:r>
              <w:t>46.02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34.00</w:t>
            </w:r>
          </w:p>
        </w:tc>
        <w:tc>
          <w:tcPr>
            <w:tcW w:w="2551" w:type="dxa"/>
            <w:vAlign w:val="center"/>
          </w:tcPr>
          <w:p>
            <w:pPr>
              <w:pStyle w:val="13"/>
            </w:pPr>
            <w:r>
              <w:t>34.00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6.32</w:t>
            </w:r>
          </w:p>
        </w:tc>
        <w:tc>
          <w:tcPr>
            <w:tcW w:w="2551" w:type="dxa"/>
            <w:vAlign w:val="center"/>
          </w:tcPr>
          <w:p>
            <w:pPr>
              <w:pStyle w:val="13"/>
            </w:pPr>
            <w:r>
              <w:t>6.32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29.01</w:t>
            </w:r>
          </w:p>
        </w:tc>
        <w:tc>
          <w:tcPr>
            <w:tcW w:w="2551" w:type="dxa"/>
            <w:vAlign w:val="center"/>
          </w:tcPr>
          <w:p>
            <w:pPr>
              <w:pStyle w:val="13"/>
            </w:pPr>
          </w:p>
        </w:tc>
        <w:tc>
          <w:tcPr>
            <w:tcW w:w="2551" w:type="dxa"/>
            <w:vAlign w:val="center"/>
          </w:tcPr>
          <w:p>
            <w:pPr>
              <w:pStyle w:val="13"/>
            </w:pPr>
            <w:r>
              <w:t>29.01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6.80</w:t>
            </w:r>
          </w:p>
        </w:tc>
        <w:tc>
          <w:tcPr>
            <w:tcW w:w="2551" w:type="dxa"/>
            <w:vAlign w:val="center"/>
          </w:tcPr>
          <w:p>
            <w:pPr>
              <w:pStyle w:val="13"/>
            </w:pPr>
          </w:p>
        </w:tc>
        <w:tc>
          <w:tcPr>
            <w:tcW w:w="2551" w:type="dxa"/>
            <w:vAlign w:val="center"/>
          </w:tcPr>
          <w:p>
            <w:pPr>
              <w:pStyle w:val="13"/>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1.06</w:t>
            </w:r>
          </w:p>
        </w:tc>
        <w:tc>
          <w:tcPr>
            <w:tcW w:w="2551" w:type="dxa"/>
            <w:vAlign w:val="center"/>
          </w:tcPr>
          <w:p>
            <w:pPr>
              <w:pStyle w:val="13"/>
            </w:pPr>
          </w:p>
        </w:tc>
        <w:tc>
          <w:tcPr>
            <w:tcW w:w="2551" w:type="dxa"/>
            <w:vAlign w:val="center"/>
          </w:tcPr>
          <w:p>
            <w:pPr>
              <w:pStyle w:val="13"/>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5.41</w:t>
            </w:r>
          </w:p>
        </w:tc>
        <w:tc>
          <w:tcPr>
            <w:tcW w:w="2551" w:type="dxa"/>
            <w:vAlign w:val="center"/>
          </w:tcPr>
          <w:p>
            <w:pPr>
              <w:pStyle w:val="13"/>
            </w:pPr>
          </w:p>
        </w:tc>
        <w:tc>
          <w:tcPr>
            <w:tcW w:w="2551" w:type="dxa"/>
            <w:vAlign w:val="center"/>
          </w:tcPr>
          <w:p>
            <w:pPr>
              <w:pStyle w:val="13"/>
            </w:pPr>
            <w:r>
              <w:t>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3.58</w:t>
            </w:r>
          </w:p>
        </w:tc>
        <w:tc>
          <w:tcPr>
            <w:tcW w:w="2551" w:type="dxa"/>
            <w:vAlign w:val="center"/>
          </w:tcPr>
          <w:p>
            <w:pPr>
              <w:pStyle w:val="13"/>
            </w:pPr>
          </w:p>
        </w:tc>
        <w:tc>
          <w:tcPr>
            <w:tcW w:w="2551" w:type="dxa"/>
            <w:vAlign w:val="center"/>
          </w:tcPr>
          <w:p>
            <w:pPr>
              <w:pStyle w:val="13"/>
            </w:pPr>
            <w:r>
              <w:t>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139.00</w:t>
            </w:r>
          </w:p>
        </w:tc>
        <w:tc>
          <w:tcPr>
            <w:tcW w:w="2551" w:type="dxa"/>
            <w:vAlign w:val="center"/>
          </w:tcPr>
          <w:p>
            <w:pPr>
              <w:pStyle w:val="13"/>
            </w:pPr>
            <w:r>
              <w:t>139.00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133.00</w:t>
            </w:r>
          </w:p>
        </w:tc>
        <w:tc>
          <w:tcPr>
            <w:tcW w:w="2551" w:type="dxa"/>
            <w:vAlign w:val="center"/>
          </w:tcPr>
          <w:p>
            <w:pPr>
              <w:pStyle w:val="13"/>
            </w:pPr>
            <w:r>
              <w:t>133.00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4500.00</w:t>
            </w:r>
          </w:p>
        </w:tc>
        <w:tc>
          <w:tcPr>
            <w:tcW w:w="2551" w:type="dxa"/>
            <w:vAlign w:val="center"/>
          </w:tcPr>
          <w:p>
            <w:pPr>
              <w:pStyle w:val="17"/>
            </w:pPr>
          </w:p>
        </w:tc>
        <w:tc>
          <w:tcPr>
            <w:tcW w:w="2551" w:type="dxa"/>
            <w:vAlign w:val="center"/>
          </w:tcPr>
          <w:p>
            <w:pPr>
              <w:pStyle w:val="17"/>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134.60</w:t>
            </w:r>
          </w:p>
        </w:tc>
        <w:tc>
          <w:tcPr>
            <w:tcW w:w="2551" w:type="dxa"/>
            <w:vAlign w:val="center"/>
          </w:tcPr>
          <w:p>
            <w:pPr>
              <w:pStyle w:val="17"/>
            </w:pPr>
          </w:p>
        </w:tc>
        <w:tc>
          <w:tcPr>
            <w:tcW w:w="2551" w:type="dxa"/>
            <w:vAlign w:val="center"/>
          </w:tcPr>
          <w:p>
            <w:pPr>
              <w:pStyle w:val="17"/>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134.60</w:t>
            </w:r>
          </w:p>
        </w:tc>
        <w:tc>
          <w:tcPr>
            <w:tcW w:w="2551" w:type="dxa"/>
            <w:vAlign w:val="center"/>
          </w:tcPr>
          <w:p>
            <w:pPr>
              <w:pStyle w:val="13"/>
            </w:pPr>
          </w:p>
        </w:tc>
        <w:tc>
          <w:tcPr>
            <w:tcW w:w="2551"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134.60</w:t>
            </w:r>
          </w:p>
        </w:tc>
        <w:tc>
          <w:tcPr>
            <w:tcW w:w="2551" w:type="dxa"/>
            <w:vAlign w:val="center"/>
          </w:tcPr>
          <w:p>
            <w:pPr>
              <w:pStyle w:val="13"/>
            </w:pPr>
          </w:p>
        </w:tc>
        <w:tc>
          <w:tcPr>
            <w:tcW w:w="2551"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134.60</w:t>
            </w:r>
          </w:p>
        </w:tc>
        <w:tc>
          <w:tcPr>
            <w:tcW w:w="2551" w:type="dxa"/>
            <w:vAlign w:val="center"/>
          </w:tcPr>
          <w:p>
            <w:pPr>
              <w:pStyle w:val="13"/>
            </w:pPr>
          </w:p>
        </w:tc>
        <w:tc>
          <w:tcPr>
            <w:tcW w:w="2551" w:type="dxa"/>
            <w:vAlign w:val="center"/>
          </w:tcPr>
          <w:p>
            <w:pPr>
              <w:pStyle w:val="13"/>
            </w:pPr>
            <w:r>
              <w:t>134.60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保定市莲池区工业和信息化局2025年部门预算信息公开情况说明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保定市莲池区工业和信息化局2025年部门预算信息公开情况说明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按照《中华人民共和国预算法》、《地方预决算公开操作规程》和《关于进一步推进预算公开工作的实施意见》规定，现将保定市莲池区工业和信息化局2025年部门预算公开如下：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1"/>
      </w:pPr>
      <w:r>
        <w:t>（一）贯彻执行国家有关工业、信息化发展的方针政策、法律规章，指导工业发展，积极推进全区工业化和工业企业的信息化。</w:t>
      </w:r>
    </w:p>
    <w:p>
      <w:pPr>
        <w:pStyle w:val="31"/>
      </w:pPr>
      <w:r>
        <w:t>（二）对工业企业，特别是规上企业实施具体服务指导，按照全市计划要求，提出年度工业生产指导性目标。</w:t>
      </w:r>
    </w:p>
    <w:p>
      <w:pPr>
        <w:pStyle w:val="31"/>
      </w:pPr>
      <w:r>
        <w:t>（三）指导引进的重大技术和重大成套装备的消化创新；指导工业企业技术改造工作；具体负责新建工业项目及技改工业项目的备案工作，协助企业争取上级各类专项扶持资金，落实各方面扶持政策。</w:t>
      </w:r>
    </w:p>
    <w:p>
      <w:pPr>
        <w:pStyle w:val="31"/>
      </w:pPr>
      <w:r>
        <w:t>（四）负责检测分析全区工业经济运行态势，对工业经济运行进行分析、跟踪、汇总，组织解决工业经济运行的有关重大问题；研究提出工业经济运行方面的建议。</w:t>
      </w:r>
    </w:p>
    <w:p>
      <w:pPr>
        <w:pStyle w:val="31"/>
      </w:pPr>
      <w:r>
        <w:t>（五）负责指导和协调中小企业的发展改革，推动优势主导产业快速发展。</w:t>
      </w:r>
    </w:p>
    <w:p>
      <w:pPr>
        <w:pStyle w:val="31"/>
      </w:pPr>
      <w:r>
        <w:t>（六）统筹推进工业信息化工作，按市局要求落实全区工业信息化建设重大事项，审议全区信息产业的发展并报上级信息产业部门批复。</w:t>
      </w:r>
    </w:p>
    <w:p>
      <w:pPr>
        <w:pStyle w:val="31"/>
      </w:pPr>
      <w:r>
        <w:t>（七）开展工业企业信息化的对外合作与交流。</w:t>
      </w:r>
    </w:p>
    <w:p>
      <w:pPr>
        <w:pStyle w:val="31"/>
      </w:pPr>
      <w:r>
        <w:t>（八）负责区属工业企业的党建、工会、妇联、共青团等日常工作。</w:t>
      </w:r>
    </w:p>
    <w:p>
      <w:pPr>
        <w:pStyle w:val="31"/>
      </w:pPr>
      <w:r>
        <w:t>（九）负责对区属国有企业监督管理，履行政府出资人义务。</w:t>
      </w:r>
    </w:p>
    <w:p>
      <w:pPr>
        <w:pStyle w:val="31"/>
      </w:pPr>
      <w:r>
        <w:t>（十）负责推进全区国有企业改革、改制工作；协调处理企业改革、改制工作中的重大问题；负责协助区国资办对国有资产保值、增值进行监督。</w:t>
      </w:r>
    </w:p>
    <w:p>
      <w:pPr>
        <w:pStyle w:val="31"/>
        <w:rPr>
          <w:rFonts w:eastAsiaTheme="minorEastAsia"/>
          <w:lang w:val="uk-UA" w:eastAsia="zh-CN"/>
        </w:rPr>
      </w:pPr>
      <w:r>
        <w:t>（十一）承办区政府交办的其他事项。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保定市莲池区工业和信息化局本级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ind w:firstLine="480"/>
      </w:pPr>
      <w:r>
        <w:rPr>
          <w:rFonts w:hint="eastAsia" w:ascii="方正仿宋_GBK" w:hAnsi="方正仿宋_GBK" w:eastAsia="方正仿宋_GBK" w:cs="方正仿宋_GBK"/>
          <w:sz w:val="30"/>
          <w:szCs w:val="30"/>
        </w:rPr>
        <w:t>按照预算管理有关规定，目前我省部门预算的编制实行综合预算管理，即全部收入和支出都反映在预算中。保定市莲池区工业和信息化局机关及所属事业单位的收支包含在部门预算中。</w:t>
      </w:r>
    </w:p>
    <w:p>
      <w:pPr>
        <w:spacing w:line="560" w:lineRule="exact"/>
        <w:ind w:firstLine="640" w:firstLineChars="200"/>
        <w:rPr>
          <w:rFonts w:ascii="仿宋" w:hAnsi="仿宋" w:eastAsia="仿宋" w:cs="宋体"/>
          <w:color w:val="0000FF"/>
          <w:sz w:val="32"/>
          <w:szCs w:val="32"/>
          <w:highlight w:val="none"/>
        </w:rPr>
      </w:pPr>
      <w:r>
        <w:rPr>
          <w:rFonts w:hint="eastAsia" w:ascii="仿宋" w:hAnsi="仿宋" w:eastAsia="仿宋" w:cs="宋体"/>
          <w:color w:val="000000" w:themeColor="text1"/>
          <w:sz w:val="32"/>
          <w:szCs w:val="32"/>
          <w:highlight w:val="none"/>
          <w:lang w:val="en-US" w:eastAsia="zh-CN"/>
        </w:rPr>
        <w:t>1</w:t>
      </w:r>
      <w:r>
        <w:rPr>
          <w:rFonts w:hint="eastAsia" w:ascii="仿宋" w:hAnsi="仿宋" w:eastAsia="仿宋" w:cs="宋体"/>
          <w:color w:val="000000" w:themeColor="text1"/>
          <w:sz w:val="32"/>
          <w:szCs w:val="32"/>
          <w:highlight w:val="none"/>
          <w:lang w:eastAsia="zh-CN"/>
        </w:rPr>
        <w:t>、</w:t>
      </w:r>
      <w:r>
        <w:rPr>
          <w:rFonts w:hint="eastAsia" w:ascii="仿宋" w:hAnsi="仿宋" w:eastAsia="仿宋" w:cs="宋体"/>
          <w:color w:val="000000" w:themeColor="text1"/>
          <w:sz w:val="32"/>
          <w:szCs w:val="32"/>
          <w:highlight w:val="none"/>
        </w:rPr>
        <w:t>收入说明</w:t>
      </w:r>
    </w:p>
    <w:p>
      <w:pPr>
        <w:spacing w:line="560" w:lineRule="exact"/>
        <w:ind w:firstLine="960" w:firstLineChars="300"/>
        <w:rPr>
          <w:rFonts w:hint="eastAsia" w:ascii="仿宋" w:hAnsi="仿宋" w:eastAsia="仿宋" w:cs="宋体"/>
          <w:color w:val="000000" w:themeColor="text1"/>
          <w:sz w:val="32"/>
          <w:szCs w:val="32"/>
          <w:highlight w:val="none"/>
          <w:lang w:eastAsia="zh-CN"/>
        </w:rPr>
      </w:pPr>
      <w:r>
        <w:rPr>
          <w:rFonts w:hint="eastAsia" w:ascii="仿宋" w:hAnsi="仿宋" w:eastAsia="仿宋" w:cs="宋体"/>
          <w:color w:val="000000" w:themeColor="text1"/>
          <w:sz w:val="32"/>
          <w:szCs w:val="32"/>
          <w:highlight w:val="none"/>
        </w:rPr>
        <w:t>反映本部门当年全部收入. 2025年预算收入</w:t>
      </w:r>
      <w:r>
        <w:rPr>
          <w:rFonts w:hint="eastAsia" w:ascii="仿宋" w:hAnsi="仿宋" w:eastAsia="仿宋" w:cs="宋体"/>
          <w:color w:val="000000" w:themeColor="text1"/>
          <w:sz w:val="32"/>
          <w:szCs w:val="32"/>
          <w:highlight w:val="none"/>
          <w:lang w:val="en-US" w:eastAsia="zh-CN"/>
        </w:rPr>
        <w:t>9594.85</w:t>
      </w:r>
      <w:r>
        <w:rPr>
          <w:rFonts w:hint="eastAsia" w:ascii="仿宋" w:hAnsi="仿宋" w:eastAsia="仿宋" w:cs="宋体"/>
          <w:color w:val="000000" w:themeColor="text1"/>
          <w:sz w:val="32"/>
          <w:szCs w:val="32"/>
          <w:highlight w:val="none"/>
        </w:rPr>
        <w:t>万元,其中:一般公共预算收入</w:t>
      </w:r>
      <w:r>
        <w:rPr>
          <w:rFonts w:hint="eastAsia" w:ascii="仿宋" w:hAnsi="仿宋" w:eastAsia="仿宋" w:cs="宋体"/>
          <w:color w:val="000000" w:themeColor="text1"/>
          <w:sz w:val="32"/>
          <w:szCs w:val="32"/>
          <w:highlight w:val="none"/>
          <w:lang w:val="en-US" w:eastAsia="zh-CN"/>
        </w:rPr>
        <w:t>4960.25</w:t>
      </w:r>
      <w:r>
        <w:rPr>
          <w:rFonts w:hint="eastAsia" w:ascii="仿宋" w:hAnsi="仿宋" w:eastAsia="仿宋" w:cs="宋体"/>
          <w:color w:val="000000" w:themeColor="text1"/>
          <w:sz w:val="32"/>
          <w:szCs w:val="32"/>
          <w:highlight w:val="none"/>
        </w:rPr>
        <w:t>万元,</w:t>
      </w:r>
      <w:r>
        <w:rPr>
          <w:rFonts w:hint="eastAsia" w:ascii="仿宋" w:hAnsi="仿宋" w:eastAsia="仿宋" w:cs="宋体"/>
          <w:color w:val="000000" w:themeColor="text1"/>
          <w:sz w:val="32"/>
          <w:szCs w:val="32"/>
          <w:highlight w:val="none"/>
          <w:lang w:val="en-US" w:eastAsia="zh-CN"/>
        </w:rPr>
        <w:t>政府性</w:t>
      </w:r>
      <w:r>
        <w:rPr>
          <w:rFonts w:hint="eastAsia" w:ascii="仿宋" w:hAnsi="仿宋" w:eastAsia="仿宋" w:cs="宋体"/>
          <w:color w:val="000000" w:themeColor="text1"/>
          <w:sz w:val="32"/>
          <w:szCs w:val="32"/>
          <w:highlight w:val="none"/>
        </w:rPr>
        <w:t>基金预算收入</w:t>
      </w:r>
      <w:r>
        <w:rPr>
          <w:rFonts w:hint="eastAsia" w:ascii="仿宋" w:hAnsi="仿宋" w:eastAsia="仿宋" w:cs="宋体"/>
          <w:color w:val="000000" w:themeColor="text1"/>
          <w:sz w:val="32"/>
          <w:szCs w:val="32"/>
          <w:highlight w:val="none"/>
          <w:lang w:val="en-US" w:eastAsia="zh-CN"/>
        </w:rPr>
        <w:t>0</w:t>
      </w:r>
      <w:r>
        <w:rPr>
          <w:rFonts w:hint="eastAsia" w:ascii="仿宋" w:hAnsi="仿宋" w:eastAsia="仿宋" w:cs="宋体"/>
          <w:color w:val="000000" w:themeColor="text1"/>
          <w:sz w:val="32"/>
          <w:szCs w:val="32"/>
          <w:highlight w:val="none"/>
        </w:rPr>
        <w:t>万元, 国有资本经营预算收入</w:t>
      </w:r>
      <w:r>
        <w:rPr>
          <w:rFonts w:hint="eastAsia" w:ascii="仿宋" w:hAnsi="仿宋" w:eastAsia="仿宋" w:cs="宋体"/>
          <w:color w:val="000000" w:themeColor="text1"/>
          <w:sz w:val="32"/>
          <w:szCs w:val="32"/>
          <w:highlight w:val="none"/>
          <w:lang w:val="en-US" w:eastAsia="zh-CN"/>
        </w:rPr>
        <w:t>134.6</w:t>
      </w:r>
      <w:r>
        <w:rPr>
          <w:rFonts w:hint="eastAsia" w:ascii="仿宋" w:hAnsi="仿宋" w:eastAsia="仿宋" w:cs="宋体"/>
          <w:color w:val="000000" w:themeColor="text1"/>
          <w:sz w:val="32"/>
          <w:szCs w:val="32"/>
          <w:highlight w:val="none"/>
        </w:rPr>
        <w:t>万元, 财政专户核拔收入0.00万元, 单位资金收入0.00万元, 上年结转结余</w:t>
      </w:r>
      <w:r>
        <w:rPr>
          <w:rFonts w:hint="eastAsia" w:ascii="仿宋" w:hAnsi="仿宋" w:eastAsia="仿宋" w:cs="宋体"/>
          <w:color w:val="000000" w:themeColor="text1"/>
          <w:sz w:val="32"/>
          <w:szCs w:val="32"/>
          <w:highlight w:val="none"/>
          <w:lang w:val="en-US" w:eastAsia="zh-CN"/>
        </w:rPr>
        <w:t>4500</w:t>
      </w:r>
      <w:r>
        <w:rPr>
          <w:rFonts w:hint="eastAsia" w:ascii="仿宋" w:hAnsi="仿宋" w:eastAsia="仿宋" w:cs="宋体"/>
          <w:color w:val="000000" w:themeColor="text1"/>
          <w:sz w:val="32"/>
          <w:szCs w:val="32"/>
          <w:highlight w:val="none"/>
        </w:rPr>
        <w:t>万元</w:t>
      </w:r>
      <w:r>
        <w:rPr>
          <w:rFonts w:hint="eastAsia" w:ascii="仿宋" w:hAnsi="仿宋" w:eastAsia="仿宋" w:cs="宋体"/>
          <w:color w:val="000000" w:themeColor="text1"/>
          <w:sz w:val="32"/>
          <w:szCs w:val="32"/>
          <w:highlight w:val="none"/>
          <w:lang w:eastAsia="zh-CN"/>
        </w:rPr>
        <w:t>。</w:t>
      </w:r>
    </w:p>
    <w:p>
      <w:pPr>
        <w:spacing w:line="560" w:lineRule="exact"/>
        <w:ind w:firstLine="640" w:firstLineChars="200"/>
        <w:rPr>
          <w:rFonts w:ascii="仿宋" w:hAnsi="仿宋" w:eastAsia="仿宋" w:cs="宋体"/>
          <w:color w:val="000000" w:themeColor="text1"/>
          <w:sz w:val="32"/>
          <w:szCs w:val="32"/>
          <w:highlight w:val="none"/>
        </w:rPr>
      </w:pPr>
      <w:r>
        <w:rPr>
          <w:rFonts w:hint="eastAsia" w:ascii="仿宋" w:hAnsi="仿宋" w:eastAsia="仿宋" w:cs="宋体"/>
          <w:color w:val="000000" w:themeColor="text1"/>
          <w:sz w:val="32"/>
          <w:szCs w:val="32"/>
          <w:highlight w:val="none"/>
          <w:lang w:val="en-US" w:eastAsia="zh-CN"/>
        </w:rPr>
        <w:t>2</w:t>
      </w:r>
      <w:r>
        <w:rPr>
          <w:rFonts w:hint="eastAsia" w:ascii="仿宋" w:hAnsi="仿宋" w:eastAsia="仿宋" w:cs="宋体"/>
          <w:color w:val="000000" w:themeColor="text1"/>
          <w:sz w:val="32"/>
          <w:szCs w:val="32"/>
          <w:highlight w:val="none"/>
          <w:lang w:eastAsia="zh-CN"/>
        </w:rPr>
        <w:t>、</w:t>
      </w:r>
      <w:r>
        <w:rPr>
          <w:rFonts w:hint="eastAsia" w:ascii="仿宋" w:hAnsi="仿宋" w:eastAsia="仿宋" w:cs="宋体"/>
          <w:color w:val="000000" w:themeColor="text1"/>
          <w:sz w:val="32"/>
          <w:szCs w:val="32"/>
          <w:highlight w:val="none"/>
        </w:rPr>
        <w:t>支出说明</w:t>
      </w:r>
    </w:p>
    <w:p>
      <w:pPr>
        <w:spacing w:line="560" w:lineRule="exact"/>
        <w:ind w:firstLine="640" w:firstLineChars="200"/>
        <w:rPr>
          <w:rFonts w:hint="default" w:ascii="仿宋" w:hAnsi="仿宋" w:eastAsia="仿宋" w:cs="宋体"/>
          <w:color w:val="000000" w:themeColor="text1"/>
          <w:sz w:val="32"/>
          <w:szCs w:val="32"/>
          <w:highlight w:val="none"/>
          <w:lang w:val="en-US" w:eastAsia="zh-CN"/>
        </w:rPr>
      </w:pPr>
      <w:r>
        <w:rPr>
          <w:rFonts w:hint="eastAsia" w:ascii="仿宋" w:hAnsi="仿宋" w:eastAsia="仿宋" w:cs="宋体"/>
          <w:color w:val="000000" w:themeColor="text1"/>
          <w:sz w:val="32"/>
          <w:szCs w:val="32"/>
          <w:highlight w:val="none"/>
        </w:rPr>
        <w:t>收支预算总表支出栏、基本支出表、项目支出表按经济分类和支出功能分类科目编制, 反映莲池区</w:t>
      </w:r>
      <w:r>
        <w:rPr>
          <w:rFonts w:hint="eastAsia" w:ascii="仿宋" w:hAnsi="仿宋" w:eastAsia="仿宋" w:cs="宋体"/>
          <w:color w:val="000000" w:themeColor="text1"/>
          <w:sz w:val="32"/>
          <w:szCs w:val="32"/>
          <w:highlight w:val="none"/>
          <w:lang w:val="en-US" w:eastAsia="zh-CN"/>
        </w:rPr>
        <w:t>工业和信息化局</w:t>
      </w:r>
      <w:r>
        <w:rPr>
          <w:rFonts w:hint="eastAsia" w:ascii="仿宋" w:hAnsi="仿宋" w:eastAsia="仿宋" w:cs="宋体"/>
          <w:color w:val="000000" w:themeColor="text1"/>
          <w:sz w:val="32"/>
          <w:szCs w:val="32"/>
          <w:highlight w:val="none"/>
        </w:rPr>
        <w:t>年度部门预算中支出预算的总体情况。2025年支出预算</w:t>
      </w:r>
      <w:r>
        <w:rPr>
          <w:rFonts w:hint="eastAsia" w:ascii="仿宋" w:hAnsi="仿宋" w:eastAsia="仿宋" w:cs="宋体"/>
          <w:color w:val="000000" w:themeColor="text1"/>
          <w:sz w:val="32"/>
          <w:szCs w:val="32"/>
          <w:highlight w:val="none"/>
          <w:lang w:val="en-US" w:eastAsia="zh-CN"/>
        </w:rPr>
        <w:t>9594.85</w:t>
      </w:r>
      <w:r>
        <w:rPr>
          <w:rFonts w:hint="eastAsia" w:ascii="仿宋" w:hAnsi="仿宋" w:eastAsia="仿宋" w:cs="宋体"/>
          <w:color w:val="000000" w:themeColor="text1"/>
          <w:sz w:val="32"/>
          <w:szCs w:val="32"/>
          <w:highlight w:val="none"/>
        </w:rPr>
        <w:t>万元,其中基本支出</w:t>
      </w:r>
      <w:r>
        <w:rPr>
          <w:rFonts w:hint="eastAsia" w:ascii="仿宋" w:hAnsi="仿宋" w:eastAsia="仿宋" w:cs="宋体"/>
          <w:color w:val="000000" w:themeColor="text1"/>
          <w:sz w:val="32"/>
          <w:szCs w:val="32"/>
          <w:highlight w:val="none"/>
          <w:lang w:val="en-US" w:eastAsia="zh-CN"/>
        </w:rPr>
        <w:t>360.35</w:t>
      </w:r>
      <w:r>
        <w:rPr>
          <w:rFonts w:hint="eastAsia" w:ascii="仿宋" w:hAnsi="仿宋" w:eastAsia="仿宋" w:cs="宋体"/>
          <w:color w:val="000000" w:themeColor="text1"/>
          <w:sz w:val="32"/>
          <w:szCs w:val="32"/>
          <w:highlight w:val="none"/>
        </w:rPr>
        <w:t>万元, 包括人员经费</w:t>
      </w:r>
      <w:r>
        <w:rPr>
          <w:rFonts w:hint="eastAsia" w:ascii="仿宋" w:hAnsi="仿宋" w:eastAsia="仿宋" w:cs="宋体"/>
          <w:color w:val="000000" w:themeColor="text1"/>
          <w:sz w:val="32"/>
          <w:szCs w:val="32"/>
          <w:highlight w:val="none"/>
          <w:lang w:val="en-US" w:eastAsia="zh-CN"/>
        </w:rPr>
        <w:t>331.34</w:t>
      </w:r>
      <w:r>
        <w:rPr>
          <w:rFonts w:hint="eastAsia" w:ascii="仿宋" w:hAnsi="仿宋" w:eastAsia="仿宋" w:cs="宋体"/>
          <w:color w:val="000000" w:themeColor="text1"/>
          <w:sz w:val="32"/>
          <w:szCs w:val="32"/>
          <w:highlight w:val="none"/>
        </w:rPr>
        <w:t>万元和日常公用经费</w:t>
      </w:r>
      <w:r>
        <w:rPr>
          <w:rFonts w:hint="eastAsia" w:ascii="仿宋" w:hAnsi="仿宋" w:eastAsia="仿宋" w:cs="宋体"/>
          <w:color w:val="000000" w:themeColor="text1"/>
          <w:sz w:val="32"/>
          <w:szCs w:val="32"/>
          <w:highlight w:val="none"/>
          <w:lang w:val="en-US" w:eastAsia="zh-CN"/>
        </w:rPr>
        <w:t>29.01</w:t>
      </w:r>
      <w:r>
        <w:rPr>
          <w:rFonts w:hint="eastAsia" w:ascii="仿宋" w:hAnsi="仿宋" w:eastAsia="仿宋" w:cs="宋体"/>
          <w:color w:val="000000" w:themeColor="text1"/>
          <w:sz w:val="32"/>
          <w:szCs w:val="32"/>
          <w:highlight w:val="none"/>
        </w:rPr>
        <w:t>万元; 项目支出</w:t>
      </w:r>
      <w:r>
        <w:rPr>
          <w:rFonts w:hint="eastAsia" w:ascii="仿宋" w:hAnsi="仿宋" w:eastAsia="仿宋" w:cs="宋体"/>
          <w:color w:val="000000" w:themeColor="text1"/>
          <w:sz w:val="32"/>
          <w:szCs w:val="32"/>
          <w:highlight w:val="none"/>
          <w:lang w:val="en-US" w:eastAsia="zh-CN"/>
        </w:rPr>
        <w:t>9234.5</w:t>
      </w:r>
      <w:r>
        <w:rPr>
          <w:rFonts w:hint="eastAsia" w:ascii="仿宋" w:hAnsi="仿宋" w:eastAsia="仿宋" w:cs="宋体"/>
          <w:color w:val="000000" w:themeColor="text1"/>
          <w:sz w:val="32"/>
          <w:szCs w:val="32"/>
          <w:highlight w:val="none"/>
        </w:rPr>
        <w:t>万元,主要为</w:t>
      </w:r>
      <w:r>
        <w:rPr>
          <w:rFonts w:hint="eastAsia" w:ascii="仿宋" w:hAnsi="仿宋" w:eastAsia="仿宋" w:cs="宋体"/>
          <w:color w:val="000000" w:themeColor="text1"/>
          <w:sz w:val="32"/>
          <w:szCs w:val="32"/>
          <w:highlight w:val="none"/>
          <w:lang w:eastAsia="zh-CN"/>
        </w:rPr>
        <w:t>：</w:t>
      </w:r>
      <w:r>
        <w:rPr>
          <w:rFonts w:hint="eastAsia" w:ascii="仿宋" w:hAnsi="仿宋" w:eastAsia="仿宋" w:cs="宋体"/>
          <w:color w:val="000000" w:themeColor="text1"/>
          <w:sz w:val="32"/>
          <w:szCs w:val="32"/>
          <w:highlight w:val="none"/>
          <w:lang w:val="en-US" w:eastAsia="zh-CN"/>
        </w:rPr>
        <w:t>节能减排项目资金2840万元；工业和信息产业补助资金1265.21万元；城乡电网改造项目资金4500万元；国有企业退休人员社会化管理补助资金134.6万元；职教幼教补助资金215.45万元；离休干部医保统筹126万元；离休干部医保统筹区级配套资金140万元；离休干部及建国前老工人春节慰问0.24万元；困难职工春节慰问6万元；综合业务费7万元。</w:t>
      </w:r>
    </w:p>
    <w:p>
      <w:pPr>
        <w:spacing w:line="560" w:lineRule="exact"/>
        <w:ind w:firstLine="640" w:firstLineChars="200"/>
        <w:rPr>
          <w:rFonts w:ascii="仿宋" w:hAnsi="仿宋" w:eastAsia="仿宋" w:cs="宋体"/>
          <w:color w:val="000000" w:themeColor="text1"/>
          <w:sz w:val="32"/>
          <w:szCs w:val="32"/>
          <w:highlight w:val="none"/>
        </w:rPr>
      </w:pPr>
      <w:r>
        <w:rPr>
          <w:rFonts w:hint="eastAsia" w:ascii="仿宋" w:hAnsi="仿宋" w:eastAsia="仿宋" w:cs="宋体"/>
          <w:color w:val="000000" w:themeColor="text1"/>
          <w:sz w:val="32"/>
          <w:szCs w:val="32"/>
          <w:highlight w:val="none"/>
          <w:lang w:val="en-US" w:eastAsia="zh-CN"/>
        </w:rPr>
        <w:t>3</w:t>
      </w:r>
      <w:r>
        <w:rPr>
          <w:rFonts w:hint="eastAsia" w:ascii="仿宋" w:hAnsi="仿宋" w:eastAsia="仿宋" w:cs="宋体"/>
          <w:color w:val="000000" w:themeColor="text1"/>
          <w:sz w:val="32"/>
          <w:szCs w:val="32"/>
          <w:highlight w:val="none"/>
        </w:rPr>
        <w:t>、比上年增减情况</w:t>
      </w:r>
    </w:p>
    <w:p>
      <w:pPr>
        <w:spacing w:line="560" w:lineRule="exact"/>
        <w:ind w:firstLine="640" w:firstLineChars="200"/>
        <w:rPr>
          <w:rFonts w:hint="default" w:ascii="仿宋" w:hAnsi="仿宋" w:eastAsia="仿宋" w:cs="宋体"/>
          <w:color w:val="000000" w:themeColor="text1"/>
          <w:sz w:val="32"/>
          <w:szCs w:val="32"/>
          <w:highlight w:val="none"/>
          <w:lang w:val="en-US" w:eastAsia="zh-CN"/>
        </w:rPr>
      </w:pPr>
      <w:r>
        <w:rPr>
          <w:rFonts w:hint="eastAsia" w:ascii="仿宋" w:hAnsi="仿宋" w:eastAsia="仿宋" w:cs="宋体"/>
          <w:color w:val="000000" w:themeColor="text1"/>
          <w:sz w:val="32"/>
          <w:szCs w:val="32"/>
          <w:highlight w:val="none"/>
        </w:rPr>
        <w:t>2025年预算收支安排</w:t>
      </w:r>
      <w:r>
        <w:rPr>
          <w:rFonts w:hint="eastAsia" w:ascii="仿宋" w:hAnsi="仿宋" w:eastAsia="仿宋" w:cs="宋体"/>
          <w:color w:val="000000" w:themeColor="text1"/>
          <w:sz w:val="32"/>
          <w:szCs w:val="32"/>
          <w:highlight w:val="none"/>
          <w:lang w:val="en-US" w:eastAsia="zh-CN"/>
        </w:rPr>
        <w:t>9594.85</w:t>
      </w:r>
      <w:r>
        <w:rPr>
          <w:rFonts w:hint="eastAsia" w:ascii="仿宋" w:hAnsi="仿宋" w:eastAsia="仿宋" w:cs="宋体"/>
          <w:color w:val="000000" w:themeColor="text1"/>
          <w:sz w:val="32"/>
          <w:szCs w:val="32"/>
          <w:highlight w:val="none"/>
        </w:rPr>
        <w:t>万元, 较2024年预算</w:t>
      </w:r>
      <w:r>
        <w:rPr>
          <w:rFonts w:hint="eastAsia" w:ascii="仿宋" w:hAnsi="仿宋" w:eastAsia="仿宋" w:cs="宋体"/>
          <w:color w:val="000000" w:themeColor="text1"/>
          <w:sz w:val="32"/>
          <w:szCs w:val="32"/>
          <w:highlight w:val="none"/>
          <w:lang w:val="en-US" w:eastAsia="zh-CN"/>
        </w:rPr>
        <w:t>增加8883.85</w:t>
      </w:r>
      <w:r>
        <w:rPr>
          <w:rFonts w:hint="eastAsia" w:ascii="仿宋" w:hAnsi="仿宋" w:eastAsia="仿宋" w:cs="宋体"/>
          <w:color w:val="000000" w:themeColor="text1"/>
          <w:sz w:val="32"/>
          <w:szCs w:val="32"/>
          <w:highlight w:val="none"/>
        </w:rPr>
        <w:t>万元, 其中: 基本支出</w:t>
      </w:r>
      <w:r>
        <w:rPr>
          <w:rFonts w:hint="eastAsia" w:ascii="仿宋" w:hAnsi="仿宋" w:eastAsia="仿宋" w:cs="宋体"/>
          <w:color w:val="000000" w:themeColor="text1"/>
          <w:sz w:val="32"/>
          <w:szCs w:val="32"/>
          <w:highlight w:val="none"/>
          <w:lang w:val="en-US" w:eastAsia="zh-CN"/>
        </w:rPr>
        <w:t>增加2.58</w:t>
      </w:r>
      <w:r>
        <w:rPr>
          <w:rFonts w:hint="eastAsia" w:ascii="仿宋" w:hAnsi="仿宋" w:eastAsia="仿宋" w:cs="宋体"/>
          <w:color w:val="000000" w:themeColor="text1"/>
          <w:sz w:val="32"/>
          <w:szCs w:val="32"/>
          <w:highlight w:val="none"/>
        </w:rPr>
        <w:t>万元,主要为:人员经费</w:t>
      </w:r>
      <w:r>
        <w:rPr>
          <w:rFonts w:hint="eastAsia" w:ascii="仿宋" w:hAnsi="仿宋" w:eastAsia="仿宋" w:cs="宋体"/>
          <w:color w:val="000000" w:themeColor="text1"/>
          <w:sz w:val="32"/>
          <w:szCs w:val="32"/>
          <w:highlight w:val="none"/>
          <w:lang w:val="en-US" w:eastAsia="zh-CN"/>
        </w:rPr>
        <w:t>减少1.01万元，</w:t>
      </w:r>
      <w:r>
        <w:rPr>
          <w:rFonts w:hint="eastAsia" w:ascii="仿宋" w:hAnsi="仿宋" w:eastAsia="仿宋" w:cs="宋体"/>
          <w:color w:val="000000" w:themeColor="text1"/>
          <w:sz w:val="32"/>
          <w:szCs w:val="32"/>
          <w:highlight w:val="none"/>
        </w:rPr>
        <w:t>日常公用经费</w:t>
      </w:r>
      <w:r>
        <w:rPr>
          <w:rFonts w:hint="eastAsia" w:ascii="仿宋" w:hAnsi="仿宋" w:eastAsia="仿宋" w:cs="宋体"/>
          <w:color w:val="000000" w:themeColor="text1"/>
          <w:sz w:val="32"/>
          <w:szCs w:val="32"/>
          <w:highlight w:val="none"/>
          <w:lang w:eastAsia="zh-CN"/>
        </w:rPr>
        <w:t>增加</w:t>
      </w:r>
      <w:r>
        <w:rPr>
          <w:rFonts w:hint="eastAsia" w:ascii="仿宋" w:hAnsi="仿宋" w:eastAsia="仿宋" w:cs="宋体"/>
          <w:color w:val="000000" w:themeColor="text1"/>
          <w:sz w:val="32"/>
          <w:szCs w:val="32"/>
          <w:highlight w:val="none"/>
          <w:lang w:val="en-US" w:eastAsia="zh-CN"/>
        </w:rPr>
        <w:t>3.59万元。</w:t>
      </w:r>
    </w:p>
    <w:p>
      <w:pPr>
        <w:spacing w:line="560" w:lineRule="exact"/>
        <w:ind w:firstLine="640" w:firstLineChars="200"/>
        <w:rPr>
          <w:rFonts w:hint="eastAsia" w:ascii="仿宋" w:hAnsi="仿宋" w:eastAsia="仿宋" w:cs="宋体"/>
          <w:color w:val="000000" w:themeColor="text1"/>
          <w:sz w:val="32"/>
          <w:szCs w:val="32"/>
          <w:highlight w:val="none"/>
        </w:rPr>
      </w:pPr>
      <w:r>
        <w:rPr>
          <w:rFonts w:hint="eastAsia" w:ascii="仿宋" w:hAnsi="仿宋" w:eastAsia="仿宋" w:cs="宋体"/>
          <w:color w:val="000000" w:themeColor="text1"/>
          <w:sz w:val="32"/>
          <w:szCs w:val="32"/>
          <w:highlight w:val="none"/>
        </w:rPr>
        <w:t>项目支出</w:t>
      </w:r>
      <w:r>
        <w:rPr>
          <w:rFonts w:hint="eastAsia" w:ascii="仿宋" w:hAnsi="仿宋" w:eastAsia="仿宋" w:cs="宋体"/>
          <w:color w:val="000000" w:themeColor="text1"/>
          <w:sz w:val="32"/>
          <w:szCs w:val="32"/>
          <w:highlight w:val="none"/>
          <w:lang w:val="en-US" w:eastAsia="zh-CN"/>
        </w:rPr>
        <w:t>增加8881.27</w:t>
      </w:r>
      <w:r>
        <w:rPr>
          <w:rFonts w:hint="eastAsia" w:ascii="仿宋" w:hAnsi="仿宋" w:eastAsia="仿宋" w:cs="宋体"/>
          <w:color w:val="000000" w:themeColor="text1"/>
          <w:sz w:val="32"/>
          <w:szCs w:val="32"/>
          <w:highlight w:val="none"/>
        </w:rPr>
        <w:t>万元, 主要为:</w:t>
      </w:r>
      <w:r>
        <w:rPr>
          <w:rFonts w:hint="eastAsia" w:ascii="仿宋" w:hAnsi="仿宋" w:eastAsia="仿宋" w:cs="宋体"/>
          <w:color w:val="000000" w:themeColor="text1"/>
          <w:sz w:val="32"/>
          <w:szCs w:val="32"/>
          <w:highlight w:val="none"/>
          <w:lang w:val="en-US" w:eastAsia="zh-CN"/>
        </w:rPr>
        <w:t>节能减排项目资金2840万元；工业和信息产业补助资金1265.21万元；城乡电网改造项目资金4500万元；国有企业退休人员社会化管理补助资金134.6万元；职教幼教补助资金减少9.45万元；离休干部医保统筹126万元；离休干部及建国前老工人春节慰问</w:t>
      </w:r>
      <w:r>
        <w:rPr>
          <w:rFonts w:hint="eastAsia" w:ascii="仿宋" w:hAnsi="仿宋" w:eastAsia="仿宋" w:cs="宋体"/>
          <w:color w:val="000000" w:themeColor="text1"/>
          <w:sz w:val="32"/>
          <w:szCs w:val="32"/>
          <w:highlight w:val="none"/>
          <w:lang w:eastAsia="zh-CN"/>
        </w:rPr>
        <w:t>减少</w:t>
      </w:r>
      <w:r>
        <w:rPr>
          <w:rFonts w:hint="eastAsia" w:ascii="仿宋" w:hAnsi="仿宋" w:eastAsia="仿宋" w:cs="宋体"/>
          <w:color w:val="000000" w:themeColor="text1"/>
          <w:sz w:val="32"/>
          <w:szCs w:val="32"/>
          <w:highlight w:val="none"/>
          <w:lang w:val="en-US" w:eastAsia="zh-CN"/>
        </w:rPr>
        <w:t>0.09</w:t>
      </w:r>
      <w:r>
        <w:rPr>
          <w:rFonts w:hint="eastAsia" w:ascii="仿宋" w:hAnsi="仿宋" w:eastAsia="仿宋" w:cs="宋体"/>
          <w:color w:val="000000" w:themeColor="text1"/>
          <w:sz w:val="32"/>
          <w:szCs w:val="32"/>
          <w:highlight w:val="none"/>
          <w:lang w:eastAsia="zh-CN"/>
        </w:rPr>
        <w:t>万元；退役军人管理事务减少</w:t>
      </w:r>
      <w:r>
        <w:rPr>
          <w:rFonts w:hint="eastAsia" w:ascii="仿宋" w:hAnsi="仿宋" w:eastAsia="仿宋" w:cs="宋体"/>
          <w:color w:val="000000" w:themeColor="text1"/>
          <w:sz w:val="32"/>
          <w:szCs w:val="32"/>
          <w:highlight w:val="none"/>
          <w:lang w:val="en-US" w:eastAsia="zh-CN"/>
        </w:rPr>
        <w:t>139.25</w:t>
      </w:r>
      <w:r>
        <w:rPr>
          <w:rFonts w:hint="eastAsia" w:ascii="仿宋" w:hAnsi="仿宋" w:eastAsia="仿宋" w:cs="宋体"/>
          <w:color w:val="000000" w:themeColor="text1"/>
          <w:sz w:val="32"/>
          <w:szCs w:val="32"/>
          <w:highlight w:val="none"/>
          <w:lang w:eastAsia="zh-CN"/>
        </w:rPr>
        <w:t>万元；</w:t>
      </w:r>
      <w:r>
        <w:rPr>
          <w:rFonts w:hint="eastAsia" w:ascii="仿宋" w:hAnsi="仿宋" w:eastAsia="仿宋" w:cs="宋体"/>
          <w:color w:val="000000" w:themeColor="text1"/>
          <w:sz w:val="32"/>
          <w:szCs w:val="32"/>
          <w:highlight w:val="none"/>
          <w:lang w:val="en-US" w:eastAsia="zh-CN"/>
        </w:rPr>
        <w:t>优抚医疗减少0.96万元；离休干部医保统筹区级配套资金减少25万元。</w:t>
      </w:r>
    </w:p>
    <w:p>
      <w:pPr>
        <w:spacing w:before="10" w:after="10" w:line="360" w:lineRule="auto"/>
        <w:ind w:firstLine="640"/>
        <w:jc w:val="left"/>
        <w:outlineLvl w:val="2"/>
        <w:rPr>
          <w:rFonts w:hint="eastAsia" w:ascii="仿宋" w:hAnsi="仿宋" w:eastAsia="仿宋" w:cs="宋体"/>
          <w:color w:val="000000"/>
          <w:sz w:val="32"/>
          <w:szCs w:val="32"/>
          <w:highlight w:val="none"/>
        </w:rPr>
      </w:pPr>
      <w:r>
        <w:rPr>
          <w:rFonts w:ascii="黑体" w:hAnsi="黑体" w:eastAsia="黑体" w:cs="黑体"/>
          <w:color w:val="000000"/>
          <w:sz w:val="32"/>
        </w:rPr>
        <w:t>三、机关运行经费安排情况</w:t>
      </w:r>
    </w:p>
    <w:p>
      <w:pPr>
        <w:spacing w:before="10" w:after="10" w:line="360" w:lineRule="auto"/>
        <w:ind w:firstLine="640" w:firstLineChars="200"/>
        <w:outlineLvl w:val="2"/>
      </w:pPr>
      <w:r>
        <w:rPr>
          <w:rFonts w:hint="eastAsia" w:ascii="仿宋" w:hAnsi="仿宋" w:eastAsia="仿宋" w:cs="宋体"/>
          <w:color w:val="000000"/>
          <w:sz w:val="32"/>
          <w:szCs w:val="32"/>
          <w:highlight w:val="none"/>
        </w:rPr>
        <w:t>20</w:t>
      </w:r>
      <w:r>
        <w:rPr>
          <w:rFonts w:ascii="仿宋" w:hAnsi="仿宋" w:eastAsia="仿宋" w:cs="宋体"/>
          <w:color w:val="000000"/>
          <w:sz w:val="32"/>
          <w:szCs w:val="32"/>
          <w:highlight w:val="none"/>
        </w:rPr>
        <w:t>2</w:t>
      </w:r>
      <w:r>
        <w:rPr>
          <w:rFonts w:hint="eastAsia" w:ascii="仿宋" w:hAnsi="仿宋" w:eastAsia="仿宋" w:cs="宋体"/>
          <w:color w:val="000000"/>
          <w:sz w:val="32"/>
          <w:szCs w:val="32"/>
          <w:highlight w:val="none"/>
          <w:lang w:val="en-US" w:eastAsia="zh-CN"/>
        </w:rPr>
        <w:t>5</w:t>
      </w:r>
      <w:r>
        <w:rPr>
          <w:rFonts w:ascii="仿宋" w:hAnsi="仿宋" w:eastAsia="仿宋" w:cs="宋体"/>
          <w:color w:val="000000"/>
          <w:sz w:val="32"/>
          <w:szCs w:val="32"/>
          <w:highlight w:val="none"/>
        </w:rPr>
        <w:t>年</w:t>
      </w:r>
      <w:r>
        <w:rPr>
          <w:rFonts w:hint="eastAsia" w:ascii="仿宋" w:hAnsi="仿宋" w:eastAsia="仿宋" w:cs="宋体"/>
          <w:color w:val="000000"/>
          <w:sz w:val="32"/>
          <w:szCs w:val="32"/>
          <w:highlight w:val="none"/>
        </w:rPr>
        <w:t>我局机关运行经费为</w:t>
      </w:r>
      <w:r>
        <w:rPr>
          <w:rFonts w:hint="eastAsia" w:ascii="仿宋" w:hAnsi="仿宋" w:eastAsia="仿宋" w:cs="宋体"/>
          <w:color w:val="000000"/>
          <w:sz w:val="32"/>
          <w:szCs w:val="32"/>
          <w:highlight w:val="none"/>
          <w:lang w:val="en-US" w:eastAsia="zh-CN"/>
        </w:rPr>
        <w:t>29.01</w:t>
      </w:r>
      <w:r>
        <w:rPr>
          <w:rFonts w:hint="eastAsia" w:ascii="仿宋" w:hAnsi="仿宋" w:eastAsia="仿宋" w:cs="宋体"/>
          <w:color w:val="000000"/>
          <w:sz w:val="32"/>
          <w:szCs w:val="32"/>
          <w:highlight w:val="none"/>
        </w:rPr>
        <w:t>万元，</w:t>
      </w:r>
      <w:r>
        <w:rPr>
          <w:rFonts w:hint="eastAsia" w:ascii="仿宋_GB2312" w:hAnsi="仿宋" w:eastAsia="仿宋_GB2312"/>
          <w:color w:val="000000"/>
          <w:sz w:val="32"/>
          <w:szCs w:val="32"/>
          <w:highlight w:val="none"/>
        </w:rPr>
        <w:t>其中：办公费</w:t>
      </w:r>
      <w:r>
        <w:rPr>
          <w:rFonts w:hint="eastAsia" w:ascii="仿宋_GB2312" w:hAnsi="仿宋" w:eastAsia="仿宋_GB2312"/>
          <w:color w:val="000000"/>
          <w:sz w:val="32"/>
          <w:szCs w:val="32"/>
          <w:highlight w:val="none"/>
          <w:lang w:val="en-US" w:eastAsia="zh-CN"/>
        </w:rPr>
        <w:t>2.16</w:t>
      </w:r>
      <w:r>
        <w:rPr>
          <w:rFonts w:hint="eastAsia" w:ascii="仿宋_GB2312" w:hAnsi="仿宋" w:eastAsia="仿宋_GB2312"/>
          <w:color w:val="000000"/>
          <w:sz w:val="32"/>
          <w:szCs w:val="32"/>
          <w:highlight w:val="none"/>
        </w:rPr>
        <w:t>万元，邮电费</w:t>
      </w:r>
      <w:r>
        <w:rPr>
          <w:rFonts w:hint="eastAsia" w:ascii="仿宋_GB2312" w:hAnsi="仿宋" w:eastAsia="仿宋_GB2312"/>
          <w:color w:val="000000"/>
          <w:sz w:val="32"/>
          <w:szCs w:val="32"/>
          <w:highlight w:val="none"/>
          <w:lang w:val="en-US" w:eastAsia="zh-CN"/>
        </w:rPr>
        <w:t>6.8</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val="en-US" w:eastAsia="zh-CN"/>
        </w:rPr>
        <w:t>福利费5.41</w:t>
      </w:r>
      <w:r>
        <w:rPr>
          <w:rFonts w:hint="eastAsia" w:ascii="仿宋_GB2312" w:hAnsi="仿宋" w:eastAsia="仿宋_GB2312"/>
          <w:color w:val="000000"/>
          <w:sz w:val="32"/>
          <w:szCs w:val="32"/>
          <w:highlight w:val="none"/>
        </w:rPr>
        <w:t>万元，工会经费</w:t>
      </w:r>
      <w:r>
        <w:rPr>
          <w:rFonts w:hint="eastAsia" w:ascii="仿宋_GB2312" w:hAnsi="仿宋" w:eastAsia="仿宋_GB2312"/>
          <w:color w:val="000000"/>
          <w:sz w:val="32"/>
          <w:szCs w:val="32"/>
          <w:highlight w:val="none"/>
          <w:lang w:val="en-US" w:eastAsia="zh-CN"/>
        </w:rPr>
        <w:t>1.06</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val="en-US" w:eastAsia="zh-CN"/>
        </w:rPr>
        <w:t>其他交通费用7</w:t>
      </w:r>
      <w:r>
        <w:rPr>
          <w:rFonts w:hint="eastAsia" w:ascii="仿宋_GB2312" w:hAnsi="仿宋" w:eastAsia="仿宋_GB2312"/>
          <w:color w:val="000000"/>
          <w:sz w:val="32"/>
          <w:szCs w:val="32"/>
          <w:highlight w:val="none"/>
        </w:rPr>
        <w:t>万元，公务用车运行维护费3万元，</w:t>
      </w:r>
      <w:r>
        <w:rPr>
          <w:rFonts w:hint="eastAsia" w:ascii="仿宋_GB2312" w:hAnsi="仿宋" w:eastAsia="仿宋_GB2312"/>
          <w:color w:val="000000"/>
          <w:sz w:val="32"/>
          <w:szCs w:val="32"/>
          <w:highlight w:val="none"/>
          <w:lang w:val="en-US" w:eastAsia="zh-CN"/>
        </w:rPr>
        <w:t>其他商品和服务支出3.58</w:t>
      </w:r>
      <w:r>
        <w:rPr>
          <w:rFonts w:hint="eastAsia" w:ascii="仿宋_GB2312" w:hAnsi="仿宋" w:eastAsia="仿宋_GB2312"/>
          <w:color w:val="000000"/>
          <w:sz w:val="32"/>
          <w:szCs w:val="32"/>
          <w:highlight w:val="none"/>
        </w:rPr>
        <w:t>万元。</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spacing w:before="10" w:after="10" w:line="360" w:lineRule="auto"/>
        <w:ind w:firstLine="640" w:firstLineChars="200"/>
        <w:outlineLvl w:val="2"/>
        <w:rPr>
          <w:rFonts w:hint="eastAsia" w:ascii="仿宋" w:hAnsi="仿宋" w:eastAsia="仿宋" w:cs="宋体"/>
          <w:color w:val="000000"/>
          <w:sz w:val="32"/>
          <w:szCs w:val="32"/>
        </w:rPr>
      </w:pPr>
      <w:r>
        <w:rPr>
          <w:rFonts w:hint="eastAsia" w:ascii="仿宋" w:hAnsi="仿宋" w:eastAsia="仿宋" w:cs="宋体"/>
          <w:color w:val="000000"/>
          <w:sz w:val="32"/>
          <w:szCs w:val="32"/>
        </w:rPr>
        <w:t>20</w:t>
      </w:r>
      <w:r>
        <w:rPr>
          <w:rFonts w:ascii="仿宋" w:hAnsi="仿宋" w:eastAsia="仿宋" w:cs="宋体"/>
          <w:color w:val="000000"/>
          <w:sz w:val="32"/>
          <w:szCs w:val="32"/>
        </w:rPr>
        <w:t>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年我局“三公”经费预算为</w:t>
      </w:r>
      <w:r>
        <w:rPr>
          <w:rFonts w:hint="eastAsia" w:ascii="仿宋" w:hAnsi="仿宋" w:eastAsia="仿宋" w:cs="宋体"/>
          <w:color w:val="000000"/>
          <w:sz w:val="32"/>
          <w:szCs w:val="32"/>
          <w:lang w:eastAsia="zh-CN"/>
        </w:rPr>
        <w:t>3</w:t>
      </w:r>
      <w:r>
        <w:rPr>
          <w:rFonts w:hint="eastAsia" w:ascii="仿宋" w:hAnsi="仿宋" w:eastAsia="仿宋" w:cs="宋体"/>
          <w:color w:val="000000"/>
          <w:sz w:val="32"/>
          <w:szCs w:val="32"/>
        </w:rPr>
        <w:t>万元，其中因公出国（境）费0万元，与上年一致；公务用车运行费3万元，与上年相比减少</w:t>
      </w:r>
      <w:r>
        <w:rPr>
          <w:rFonts w:ascii="仿宋" w:hAnsi="仿宋" w:eastAsia="仿宋" w:cs="宋体"/>
          <w:color w:val="000000"/>
          <w:sz w:val="32"/>
          <w:szCs w:val="32"/>
        </w:rPr>
        <w:t>0</w:t>
      </w:r>
      <w:r>
        <w:rPr>
          <w:rFonts w:hint="eastAsia" w:ascii="仿宋" w:hAnsi="仿宋" w:eastAsia="仿宋" w:cs="宋体"/>
          <w:color w:val="000000"/>
          <w:sz w:val="32"/>
          <w:szCs w:val="32"/>
        </w:rPr>
        <w:t>万元，与上年一致；公务接待费0万元，与上年一致。</w:t>
      </w:r>
    </w:p>
    <w:tbl>
      <w:tblPr>
        <w:tblStyle w:val="6"/>
        <w:tblW w:w="0" w:type="auto"/>
        <w:jc w:val="center"/>
        <w:tblLayout w:type="fixed"/>
        <w:tblCellMar>
          <w:top w:w="0" w:type="dxa"/>
          <w:left w:w="108" w:type="dxa"/>
          <w:bottom w:w="0" w:type="dxa"/>
          <w:right w:w="108" w:type="dxa"/>
        </w:tblCellMar>
      </w:tblPr>
      <w:tblGrid>
        <w:gridCol w:w="3742"/>
        <w:gridCol w:w="2433"/>
        <w:gridCol w:w="2375"/>
        <w:gridCol w:w="1996"/>
        <w:gridCol w:w="2496"/>
      </w:tblGrid>
      <w:tr>
        <w:tblPrEx>
          <w:tblCellMar>
            <w:top w:w="0" w:type="dxa"/>
            <w:left w:w="108" w:type="dxa"/>
            <w:bottom w:w="0" w:type="dxa"/>
            <w:right w:w="108" w:type="dxa"/>
          </w:tblCellMar>
        </w:tblPrEx>
        <w:trPr>
          <w:trHeight w:val="405" w:hRule="atLeast"/>
          <w:jc w:val="center"/>
        </w:trPr>
        <w:tc>
          <w:tcPr>
            <w:tcW w:w="13042" w:type="dxa"/>
            <w:gridSpan w:val="5"/>
            <w:tcBorders>
              <w:top w:val="nil"/>
              <w:left w:val="nil"/>
              <w:bottom w:val="nil"/>
              <w:right w:val="nil"/>
            </w:tcBorders>
            <w:noWrap/>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“三公”经费预算情况</w:t>
            </w:r>
          </w:p>
        </w:tc>
      </w:tr>
      <w:tr>
        <w:tblPrEx>
          <w:tblCellMar>
            <w:top w:w="0" w:type="dxa"/>
            <w:left w:w="108" w:type="dxa"/>
            <w:bottom w:w="0" w:type="dxa"/>
            <w:right w:w="108" w:type="dxa"/>
          </w:tblCellMar>
        </w:tblPrEx>
        <w:trPr>
          <w:trHeight w:val="285" w:hRule="atLeast"/>
          <w:jc w:val="center"/>
        </w:trPr>
        <w:tc>
          <w:tcPr>
            <w:tcW w:w="3742" w:type="dxa"/>
            <w:tcBorders>
              <w:top w:val="nil"/>
              <w:left w:val="nil"/>
              <w:bottom w:val="nil"/>
              <w:right w:val="nil"/>
            </w:tcBorders>
            <w:noWrap/>
            <w:vAlign w:val="center"/>
          </w:tcPr>
          <w:p>
            <w:pPr>
              <w:spacing w:line="560" w:lineRule="exact"/>
              <w:rPr>
                <w:rFonts w:ascii="仿宋" w:hAnsi="仿宋" w:eastAsia="仿宋" w:cs="宋体"/>
              </w:rPr>
            </w:pPr>
          </w:p>
        </w:tc>
        <w:tc>
          <w:tcPr>
            <w:tcW w:w="2433" w:type="dxa"/>
            <w:tcBorders>
              <w:top w:val="nil"/>
              <w:left w:val="nil"/>
              <w:bottom w:val="nil"/>
              <w:right w:val="nil"/>
            </w:tcBorders>
            <w:noWrap/>
            <w:vAlign w:val="center"/>
          </w:tcPr>
          <w:p>
            <w:pPr>
              <w:spacing w:line="560" w:lineRule="exact"/>
              <w:rPr>
                <w:rFonts w:ascii="仿宋" w:hAnsi="仿宋" w:eastAsia="仿宋" w:cs="宋体"/>
              </w:rPr>
            </w:pPr>
          </w:p>
        </w:tc>
        <w:tc>
          <w:tcPr>
            <w:tcW w:w="2375" w:type="dxa"/>
            <w:tcBorders>
              <w:top w:val="nil"/>
              <w:left w:val="nil"/>
              <w:bottom w:val="nil"/>
              <w:right w:val="nil"/>
            </w:tcBorders>
            <w:noWrap/>
            <w:vAlign w:val="center"/>
          </w:tcPr>
          <w:p>
            <w:pPr>
              <w:spacing w:line="560" w:lineRule="exact"/>
              <w:rPr>
                <w:rFonts w:ascii="仿宋" w:hAnsi="仿宋" w:eastAsia="仿宋" w:cs="宋体"/>
              </w:rPr>
            </w:pPr>
          </w:p>
        </w:tc>
        <w:tc>
          <w:tcPr>
            <w:tcW w:w="1996" w:type="dxa"/>
            <w:tcBorders>
              <w:top w:val="nil"/>
              <w:left w:val="nil"/>
              <w:bottom w:val="nil"/>
              <w:right w:val="nil"/>
            </w:tcBorders>
            <w:noWrap/>
            <w:vAlign w:val="center"/>
          </w:tcPr>
          <w:p>
            <w:pPr>
              <w:spacing w:line="560" w:lineRule="exact"/>
              <w:rPr>
                <w:rFonts w:ascii="仿宋" w:hAnsi="仿宋" w:eastAsia="仿宋" w:cs="宋体"/>
              </w:rPr>
            </w:pPr>
          </w:p>
        </w:tc>
        <w:tc>
          <w:tcPr>
            <w:tcW w:w="2496" w:type="dxa"/>
            <w:tcBorders>
              <w:top w:val="nil"/>
              <w:left w:val="nil"/>
              <w:bottom w:val="nil"/>
              <w:right w:val="nil"/>
            </w:tcBorders>
            <w:noWrap/>
            <w:vAlign w:val="center"/>
          </w:tcPr>
          <w:p>
            <w:pPr>
              <w:spacing w:line="560" w:lineRule="exact"/>
              <w:jc w:val="right"/>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trHeight w:val="285" w:hRule="atLeast"/>
          <w:jc w:val="center"/>
        </w:trPr>
        <w:tc>
          <w:tcPr>
            <w:tcW w:w="374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项目名称</w:t>
            </w:r>
          </w:p>
        </w:tc>
        <w:tc>
          <w:tcPr>
            <w:tcW w:w="2433"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202</w:t>
            </w:r>
            <w:r>
              <w:rPr>
                <w:rFonts w:hint="eastAsia" w:ascii="仿宋" w:hAnsi="仿宋" w:eastAsia="仿宋" w:cs="宋体"/>
                <w:lang w:val="en-US" w:eastAsia="zh-CN"/>
              </w:rPr>
              <w:t>4</w:t>
            </w:r>
            <w:r>
              <w:rPr>
                <w:rFonts w:hint="eastAsia" w:ascii="仿宋" w:hAnsi="仿宋" w:eastAsia="仿宋" w:cs="宋体"/>
              </w:rPr>
              <w:t>年度预算</w:t>
            </w:r>
          </w:p>
        </w:tc>
        <w:tc>
          <w:tcPr>
            <w:tcW w:w="237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20</w:t>
            </w:r>
            <w:r>
              <w:rPr>
                <w:rFonts w:ascii="仿宋" w:hAnsi="仿宋" w:eastAsia="仿宋" w:cs="宋体"/>
              </w:rPr>
              <w:t>2</w:t>
            </w:r>
            <w:r>
              <w:rPr>
                <w:rFonts w:hint="eastAsia" w:ascii="仿宋" w:hAnsi="仿宋" w:eastAsia="仿宋" w:cs="宋体"/>
                <w:lang w:val="en-US" w:eastAsia="zh-CN"/>
              </w:rPr>
              <w:t>5</w:t>
            </w:r>
            <w:r>
              <w:rPr>
                <w:rFonts w:hint="eastAsia" w:ascii="仿宋" w:hAnsi="仿宋" w:eastAsia="仿宋" w:cs="宋体"/>
              </w:rPr>
              <w:t>年度预算</w:t>
            </w:r>
          </w:p>
        </w:tc>
        <w:tc>
          <w:tcPr>
            <w:tcW w:w="19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增减金额</w:t>
            </w:r>
          </w:p>
        </w:tc>
        <w:tc>
          <w:tcPr>
            <w:tcW w:w="24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变化原因</w:t>
            </w:r>
          </w:p>
        </w:tc>
      </w:tr>
      <w:tr>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因公出国经费</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公务用车购置经费</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570"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公务用车运行经费</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631"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公务接待费支出</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ind w:left="-12" w:leftChars="-40" w:right="-122" w:rightChars="-51" w:hanging="84" w:hangingChars="35"/>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554"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合计</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ind w:right="-122" w:rightChars="-51"/>
              <w:jc w:val="center"/>
              <w:rPr>
                <w:rFonts w:ascii="仿宋" w:hAnsi="仿宋" w:eastAsia="仿宋" w:cs="宋体"/>
              </w:rPr>
            </w:pPr>
            <w:r>
              <w:rPr>
                <w:rFonts w:hint="eastAsia" w:ascii="仿宋_GB2312" w:hAnsi="仿宋" w:eastAsia="仿宋_GB2312" w:cs="宋体"/>
                <w:color w:val="000000"/>
              </w:rPr>
              <w:t>无增减变化</w:t>
            </w:r>
          </w:p>
        </w:tc>
      </w:tr>
    </w:tbl>
    <w:p>
      <w:pPr>
        <w:spacing w:before="10" w:after="10" w:line="360" w:lineRule="auto"/>
        <w:outlineLvl w:val="2"/>
        <w:rPr>
          <w:rFonts w:hint="eastAsia" w:ascii="仿宋_GB2312" w:hAnsi="仿宋" w:eastAsia="仿宋_GB2312"/>
          <w:color w:val="000000"/>
          <w:sz w:val="32"/>
          <w:szCs w:val="32"/>
          <w:highlight w:val="none"/>
        </w:rPr>
      </w:pPr>
    </w:p>
    <w:p>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pPr>
        <w:spacing w:line="500" w:lineRule="exact"/>
        <w:ind w:firstLine="560"/>
      </w:pPr>
      <w:bookmarkStart w:id="13" w:name="_Toc_3_3_0000000015"/>
      <w:r>
        <w:rPr>
          <w:rFonts w:eastAsia="方正仿宋_GBK"/>
          <w:color w:val="000000"/>
          <w:sz w:val="28"/>
        </w:rPr>
        <w:t>（一）总体绩效目标</w:t>
      </w:r>
    </w:p>
    <w:p>
      <w:pPr>
        <w:pStyle w:val="23"/>
      </w:pPr>
      <w:r>
        <w:t>以习近平新时代中国特色社会主义思想为指导，</w:t>
      </w:r>
      <w:r>
        <w:rPr>
          <w:rFonts w:hint="eastAsia"/>
          <w:lang w:eastAsia="zh-CN"/>
        </w:rPr>
        <w:t>深入学习贯彻党的二十大精神</w:t>
      </w:r>
      <w:r>
        <w:t>，认真落实省、市、区政府安排部署，全面贯彻</w:t>
      </w:r>
      <w:r>
        <w:rPr>
          <w:rFonts w:hint="eastAsia"/>
          <w:lang w:eastAsia="zh-CN"/>
        </w:rPr>
        <w:t>党的二十大精神</w:t>
      </w:r>
      <w:r>
        <w:t>，</w:t>
      </w:r>
      <w:bookmarkStart w:id="20" w:name="_GoBack"/>
      <w:bookmarkEnd w:id="20"/>
      <w:r>
        <w:t>将党的集中统一领导落实到机构编制管理工作的各项业务中。深入学习领会习近平总书记关于深化党和国家机构改革的重要论述，准确把握新时代机构编制工作的历史方位、总体目标、根本任务、基本布局和重要原则，把握任务要求。抓好全区工业经济运行工作，力争完成市区下达各个经济指标；做好全区民营经济统计工作，为领导决策做好参谋。积极协调上级有关部门，争取政策、资金上支持，加强技术改造项目备案，促进全区经济工作；做好信访稳定工作，开展矛盾纠纷排查，做到防范在先，处置在先，确保辖区信访安全稳定；加快推进国企改革进度，充分保障职工的合法权益，妥善安置职工，保持社会稳定，确保国有资产保值增值不流失。为建设经济文化强区提供坚强的体制保障。</w:t>
      </w:r>
    </w:p>
    <w:p>
      <w:pPr>
        <w:spacing w:line="500" w:lineRule="exact"/>
        <w:ind w:firstLine="560"/>
      </w:pPr>
      <w:r>
        <w:rPr>
          <w:rFonts w:eastAsia="方正仿宋_GBK"/>
          <w:color w:val="000000"/>
          <w:sz w:val="28"/>
        </w:rPr>
        <w:t>（二）分项绩效目标</w:t>
      </w:r>
    </w:p>
    <w:p>
      <w:pPr>
        <w:pStyle w:val="24"/>
      </w:pPr>
      <w:r>
        <w:t>（一）支持新型工业化发展</w:t>
      </w:r>
    </w:p>
    <w:p>
      <w:pPr>
        <w:pStyle w:val="24"/>
      </w:pPr>
      <w:r>
        <w:t>绩效目标：1、加大我区工业转型升级步伐，提升工业发展的质量和效益。2、促进工业节能减排与资源综合利用，推进工业行业淘汰落后产能、压减过剩产能。</w:t>
      </w:r>
    </w:p>
    <w:p>
      <w:pPr>
        <w:pStyle w:val="24"/>
      </w:pPr>
      <w:r>
        <w:t>绩效指标：1、扶持企业技术创新组织制定工业和信息化发展战略、规划。组织全区工业技术改造工作，推进企业技术创新体系建设。组织协调推进企业兼并重组、淘汰落后产能和化解过剩产能、工业节能与资源综合利用工作，组织实施重大专项，推进产业结构战略性调整和优化升级，加快现代产业体系建设。组织实施全区工业行业技术基础工作，加快以企业为主体的技术创新体系建设，制定企业技术创新有关激励政策，推动技术创新和产学研相结合，组织实施国家重大专项，组织实施全区重大产业化示范工程。推动全区新兴产业发展。</w:t>
      </w:r>
    </w:p>
    <w:p>
      <w:pPr>
        <w:pStyle w:val="24"/>
      </w:pPr>
      <w:r>
        <w:t>2、拟订并组织实施全区工业能源节约和资源综合利用、清洁生产促进政策，指导企业节能管理，组织节能减排新产品、新技术、新设备、新材料的推广应用。组织实施工业“三废”资源综合利用项目管理。指导全区工业行业淘汰落后产能和化解过剩产能工作，制定下达年度淘汰落后和过剩产能计划并组织实施，开展监督检查。指导城区老工业基地搬迁改造。</w:t>
      </w:r>
    </w:p>
    <w:p>
      <w:pPr>
        <w:pStyle w:val="24"/>
      </w:pPr>
      <w:r>
        <w:t>（二）实施工业和信息化运行监测管理</w:t>
      </w:r>
    </w:p>
    <w:p>
      <w:pPr>
        <w:pStyle w:val="24"/>
      </w:pPr>
      <w:r>
        <w:t>绩效目标：1、工业经济运行监测，组织开展工业和信息化对外交流与合作；2、组织开展工业企业对标行动、实施工业行业准入、规范管理和工业标准管理；3、加强工业行业质量管理，指导工业行业安全生产、应急管理。</w:t>
      </w:r>
    </w:p>
    <w:p>
      <w:pPr>
        <w:pStyle w:val="24"/>
      </w:pPr>
      <w:r>
        <w:t>绩效指标：1、监测分析工业日常运行，分析全区工业运行态势和国内外工业形势，提出有关政策措施，统计并发布相关信息，进行预测预警和信息引导，协调解决行业运行发展中的问题。指导全区减轻企业负担工作，组织协调和监督检查。开展电子信息产业和相关服务业统计工作。开展对外经济交流与合作，指导和推动工业企业参加展洽活动，促进贸易成交和技术交流，追踪前沿动态。推进京津冀工业和信息化协同发展。常年为我区企业提供形象宣传、商贸洽谈、产品展销、产销对接等平台。</w:t>
      </w:r>
    </w:p>
    <w:p>
      <w:pPr>
        <w:pStyle w:val="24"/>
      </w:pPr>
      <w:r>
        <w:t>2、开展对标示范工程，建立政策驱动和督导考核机制，指导企业在研发、制造、经营等环节与同行业先进水平对标。开展管理提升工程，推进工业企业管理创新。推动相关行业落实国家产业政策，实施行业准入和规范管理；组织实施国家工业行业技术规范和标准，协调制定地方标准。</w:t>
      </w:r>
    </w:p>
    <w:p>
      <w:pPr>
        <w:pStyle w:val="24"/>
      </w:pPr>
      <w:r>
        <w:t>3、实施质量兴区战略，制定完善质量政策，推广应用先进质量管理方法，开展品牌培育试点工作，组织中小企业名牌认定；推进全区工业体制改革和管理创新,提高行业综合素质和核心竞争力。推进食品诚信体系建设。指导全区工业加强安全管理和重点行业排查治理隐患，负责工业安全生产信息管理和宣传教育工作，负责烟花爆竹企业的新建、扩建、改建审批等；负责应急管理、医药储备、产业安全和国防动员相关工作。</w:t>
      </w:r>
    </w:p>
    <w:p>
      <w:pPr>
        <w:pStyle w:val="24"/>
      </w:pPr>
      <w:r>
        <w:t>（三）推进全区信息化建设</w:t>
      </w:r>
    </w:p>
    <w:p>
      <w:pPr>
        <w:pStyle w:val="24"/>
      </w:pPr>
      <w:r>
        <w:t>绩效目标：1、电子政务信息化建设，推进信息化与工业化深度融合；2、促进信息消费。</w:t>
      </w:r>
    </w:p>
    <w:p>
      <w:pPr>
        <w:pStyle w:val="24"/>
      </w:pPr>
      <w:r>
        <w:t>绩效指标：1、拟定电子政务发展规划，统筹电子政务建设和管理，组织协调规划党政机关网建设，审核信息化项目，协调推动跨行业、跨部门互联互通，推动重要信息资源的开发利用、共享。拟定信息化与工业化融合战略，提出并组织实施信息化与工业化融合的总体规划、实施计划、标准规划和政策措施，组织实施有关监测和评估工作；指导推进企业、行业、区域等两化融合工作。</w:t>
      </w:r>
    </w:p>
    <w:p>
      <w:pPr>
        <w:pStyle w:val="24"/>
      </w:pPr>
      <w:r>
        <w:t>2、指导和协调信息安全管理工作负责应急和重大事件协调处理工作。指导和协调网络安全管理工作，推进信息安全等级保护等基础性工作，指导监督政府部门、重点行业重基础信息网络的安全保障.</w:t>
      </w:r>
    </w:p>
    <w:p>
      <w:pPr>
        <w:pStyle w:val="24"/>
      </w:pPr>
      <w:r>
        <w:t>（四）促进中小企业和民营经济发展</w:t>
      </w:r>
    </w:p>
    <w:p>
      <w:pPr>
        <w:pStyle w:val="24"/>
      </w:pPr>
      <w:r>
        <w:t>绩效目标：1、中小和民营企业公共服务体系建设；2、民营经济运行监测。</w:t>
      </w:r>
    </w:p>
    <w:p>
      <w:pPr>
        <w:pStyle w:val="24"/>
      </w:pPr>
      <w:r>
        <w:t>绩效指标：1、推动中小和民营企业公共服务平台网络建设，为中小企业提供融资担保（包括金融机构风险补偿）人才引进与培养、诚信评价、法律服务等公共服务。</w:t>
      </w:r>
    </w:p>
    <w:p>
      <w:pPr>
        <w:pStyle w:val="24"/>
      </w:pPr>
      <w:r>
        <w:t>2、开展中小企业、民营经济运行统计监测分析，统计并提供分析相关信息；发挥民营经济领导小组办公室作用，组织开展全区中小企业和民营经济的宏观指导、发展规划、综合协调。开展民营经济重大问题研究和评估，加强对民营经济考核。</w:t>
      </w:r>
    </w:p>
    <w:p>
      <w:pPr>
        <w:pStyle w:val="24"/>
      </w:pPr>
      <w:r>
        <w:t>（五）推动汽车事业的创新与发展</w:t>
      </w:r>
    </w:p>
    <w:p>
      <w:pPr>
        <w:pStyle w:val="24"/>
      </w:pPr>
      <w:r>
        <w:t>绩效目标：1、组织拟定全区汽车工业发展战略、规划，负责汽车工业运行态势分析预测；2、新能源汽车推广应用工作。</w:t>
      </w:r>
    </w:p>
    <w:p>
      <w:pPr>
        <w:pStyle w:val="24"/>
      </w:pPr>
      <w:r>
        <w:t>绩效指标：1、根据全区汽车工业发展现状制定发展战略和规划促进汽车产业上档升级。做好全区汽车工业运行分析，根据汽车工业运行情况及时进行调度，协调解决汽车工业运行中存在的问题。</w:t>
      </w:r>
    </w:p>
    <w:p>
      <w:pPr>
        <w:pStyle w:val="24"/>
      </w:pPr>
      <w:r>
        <w:t>2、在全区公共服务领域推动新能源汽车 的使用，倡导私人购买使用新能源汽车，及时落实新能源汽车优惠政策。</w:t>
      </w:r>
    </w:p>
    <w:p>
      <w:pPr>
        <w:pStyle w:val="24"/>
      </w:pPr>
      <w:r>
        <w:t>（六）工信政务管理</w:t>
      </w:r>
    </w:p>
    <w:p>
      <w:pPr>
        <w:pStyle w:val="24"/>
      </w:pPr>
      <w:r>
        <w:t>绩效目标：1、综合政务管理；2综合业务管理。</w:t>
      </w:r>
    </w:p>
    <w:p>
      <w:pPr>
        <w:pStyle w:val="24"/>
      </w:pPr>
      <w:r>
        <w:t>绩效指标：1、工业和信息化管理工作运转保障，包括会议组织、政务督办、档案管理、信访接待、政务信息、行政复议. 工业和信息化管理工作运转保障，对外宣传、外事工作、干部培训、课题研究、调研活动等行政事务。</w:t>
      </w:r>
    </w:p>
    <w:p>
      <w:pPr>
        <w:pStyle w:val="24"/>
      </w:pPr>
      <w:r>
        <w:t>2、开展政府信息公开，信息化建设等管理。落实国家和省市法律法规、规划、战略政策等。</w:t>
      </w:r>
    </w:p>
    <w:p>
      <w:pPr>
        <w:pStyle w:val="24"/>
      </w:pPr>
    </w:p>
    <w:p>
      <w:pPr>
        <w:spacing w:line="500" w:lineRule="exact"/>
        <w:ind w:firstLine="560"/>
      </w:pPr>
      <w:r>
        <w:rPr>
          <w:rFonts w:eastAsia="方正仿宋_GBK"/>
          <w:color w:val="000000"/>
          <w:sz w:val="28"/>
        </w:rPr>
        <w:t>（三）工作保障措施</w:t>
      </w:r>
    </w:p>
    <w:p>
      <w:pPr>
        <w:pStyle w:val="25"/>
      </w:pPr>
      <w:r>
        <w:t>以习近平新时代中国特色社会主义思想为指导，</w:t>
      </w:r>
      <w:r>
        <w:rPr>
          <w:rFonts w:hint="eastAsia"/>
          <w:lang w:eastAsia="zh-CN"/>
        </w:rPr>
        <w:t>深入学习贯彻党的二十大精神</w:t>
      </w:r>
      <w:r>
        <w:t>，认真贯彻区委经济工作会议精神，以企业转型升级为目标，以企业“两化融合”为助力，以企业服务为抓手，重点抓好工业转型升级、经济运行、两化融合、企业服务、招商引资、工信政务等工作，促使全区工业经济又好又快健康发展。其保障措施：</w:t>
      </w:r>
    </w:p>
    <w:p>
      <w:pPr>
        <w:pStyle w:val="25"/>
        <w:rPr>
          <w:lang w:eastAsia="zh-CN"/>
        </w:rPr>
      </w:pPr>
      <w:r>
        <w:t>（一）抓目标任务。信息化目标任务按照市、区下达的目标任务按时序完成。</w:t>
      </w:r>
    </w:p>
    <w:p>
      <w:pPr>
        <w:pStyle w:val="25"/>
        <w:rPr>
          <w:lang w:eastAsia="zh-CN"/>
        </w:rPr>
      </w:pPr>
    </w:p>
    <w:p>
      <w:pPr>
        <w:pStyle w:val="25"/>
        <w:rPr>
          <w:lang w:eastAsia="zh-CN"/>
        </w:rPr>
      </w:pPr>
      <w:r>
        <w:t>（二）抓工业转型升级项目建设。一是继续筛选一批科技含量高、经济效益好、资源消耗低、符合国家环保标准、有一定区域带动效应、有利于我区工业结构进一步优化工业项目添加到市工业转型升级重点项目，在数量和投资规模上实现质的突破，加快协调各部门实行联审联批机制，加快项目审批速度、提高审批效率，全力保障项目进展顺利。二是积极引导帮助企业找准转型升级的切入点和突破口，采取有针对性的措施，集中全区资源优势进行重点支持。</w:t>
      </w:r>
    </w:p>
    <w:p>
      <w:pPr>
        <w:pStyle w:val="25"/>
        <w:rPr>
          <w:lang w:eastAsia="zh-CN"/>
        </w:rPr>
      </w:pPr>
    </w:p>
    <w:p>
      <w:pPr>
        <w:pStyle w:val="25"/>
        <w:rPr>
          <w:lang w:eastAsia="zh-CN"/>
        </w:rPr>
      </w:pPr>
      <w:r>
        <w:t>（三）抓企业服务。加强企业服务工作队伍，高效解决企业在发展的过程中遇到的困难和问题。创新企业服务形式。1、加大人才的引进和培训。努力提高专业技术人才、管理人才在企业中的比重，着重为企业解决技术生产环节存在的难题，助推企业发展。2、加强工业干部队伍、企业家队伍、专业技术人才队伍和技术工人队伍的培训，全面提高我区工业经济管理干部队伍的素质和水平。3、双创双服。按照“双创双服”活动整体要求，全区规上工业企业作为省、市、区重点服务对象，进行了领导包联。落实重点企业帮扶机制，协调解决实际问题和困难。</w:t>
      </w:r>
    </w:p>
    <w:p>
      <w:pPr>
        <w:pStyle w:val="25"/>
        <w:rPr>
          <w:lang w:eastAsia="zh-CN"/>
        </w:rPr>
      </w:pPr>
    </w:p>
    <w:p>
      <w:pPr>
        <w:pStyle w:val="25"/>
      </w:pPr>
      <w:r>
        <w:t>（四）脱贫攻坚工作。按照区委扶贫工作要求，按期走访帮扶户，及时了解其现有情况、解决生活中的困难，带去了生活必需品，帮助其购买了壁挂炉、改造了天然气管道，对所住房屋进行吊顶保暖，让帮扶户感受到党的关怀和温暖。区领导及所在的乡、村委会对我局帮扶工作给予了充分的肯定，帮扶人表示非常满意。年底完成脱贫任务。</w:t>
      </w:r>
    </w:p>
    <w:p>
      <w:pPr>
        <w:pStyle w:val="25"/>
      </w:pPr>
    </w:p>
    <w:p>
      <w:pPr>
        <w:pStyle w:val="25"/>
      </w:pPr>
      <w:r>
        <w:t>（五）信访稳定工作。1、做好企业信访排查调处机制，全面掌握区属企业里影响社会稳定的重点问题、重点领域、重点群体和重点人员的基本情况，摸清底数、找准症结，建立各类台账。做好涉军群体的稳定工作。2、涉军群体的稳定是一项带有普遍性、敏感性、政策性很强的问题，工作中稍有疏漏，极易诱发进京上访。面对区属企业全部停产的实际情况，采取多种形式，与他们交朋友，积极做好涉军群体的思想工作，帮助他们解决生活中的实际困难，保证该群体的稳定</w:t>
      </w:r>
    </w:p>
    <w:p>
      <w:pPr>
        <w:pStyle w:val="25"/>
      </w:pPr>
    </w:p>
    <w:p>
      <w:pPr>
        <w:pStyle w:val="25"/>
      </w:pPr>
      <w:r>
        <w:t>（六）抓党的建设。一是按照区委“讲政治、转作风、强责任、抓落实”统一部署，制定实施方案，成立领导小组并建立自查自纠工作台账。认真落实省委巡视组整改意见，制定了进一步加强干部培训教育工作整改方案。认真开展好纪检监察和党风廉政建设工作，严格按照中央八项规定精神，以及省市区各项规章制度，把加强监督检查作为重点。</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3"/>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Theme="minorEastAsia" w:hAnsiTheme="minorEastAsia" w:eastAsiaTheme="minorEastAsia" w:cstheme="minorEastAsia"/>
          <w:color w:val="000000"/>
          <w:sz w:val="32"/>
          <w:lang w:val="en-US" w:eastAsia="zh-CN"/>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1、保财建【2024】106号保定市财政局关于提前下达2025年县域特色产业集“领跑者”企业培育等项目资金预算绩效目标表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13060625P00504310435F</w:t>
            </w:r>
          </w:p>
        </w:tc>
        <w:tc>
          <w:tcPr>
            <w:tcW w:w="2835" w:type="dxa"/>
            <w:vAlign w:val="center"/>
          </w:tcPr>
          <w:p>
            <w:pPr>
              <w:pStyle w:val="12"/>
            </w:pPr>
            <w:r>
              <w:t>项目名称</w:t>
            </w:r>
          </w:p>
        </w:tc>
        <w:tc>
          <w:tcPr>
            <w:tcW w:w="6095" w:type="dxa"/>
            <w:gridSpan w:val="3"/>
            <w:vAlign w:val="center"/>
          </w:tcPr>
          <w:p>
            <w:pPr>
              <w:pStyle w:val="14"/>
            </w:pPr>
            <w:r>
              <w:t>保财建【2024】106号保定市财政局关于提前下达2025年县域特色产业集“领跑者”企业培育等项目资金预算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1265.21</w:t>
            </w:r>
          </w:p>
        </w:tc>
        <w:tc>
          <w:tcPr>
            <w:tcW w:w="2835" w:type="dxa"/>
            <w:vAlign w:val="center"/>
          </w:tcPr>
          <w:p>
            <w:pPr>
              <w:pStyle w:val="12"/>
            </w:pPr>
            <w:r>
              <w:t>其中：财政    资金</w:t>
            </w:r>
          </w:p>
        </w:tc>
        <w:tc>
          <w:tcPr>
            <w:tcW w:w="2551" w:type="dxa"/>
            <w:vAlign w:val="center"/>
          </w:tcPr>
          <w:p>
            <w:pPr>
              <w:pStyle w:val="14"/>
            </w:pPr>
            <w:r>
              <w:t>1265.21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保财建【2024】106号提前下达2025年县域特色产业集群“领跑者”企业培育等项目资金预算，及时申请，确保专款专用。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1.为支持企业壮大规模，确保县域特色产业集群企业培育工作顺利完成，提高全区的经济指标，服务对象满意度达到90%以上。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县域特色产业集群企业培育项目数量</w:t>
            </w:r>
          </w:p>
        </w:tc>
        <w:tc>
          <w:tcPr>
            <w:tcW w:w="5386" w:type="dxa"/>
            <w:vAlign w:val="center"/>
          </w:tcPr>
          <w:p>
            <w:pPr>
              <w:pStyle w:val="14"/>
            </w:pPr>
            <w:r>
              <w:t>完成县域特色产业集群企业培育等企业项目数量</w:t>
            </w:r>
          </w:p>
        </w:tc>
        <w:tc>
          <w:tcPr>
            <w:tcW w:w="2268" w:type="dxa"/>
            <w:vAlign w:val="center"/>
          </w:tcPr>
          <w:p>
            <w:pPr>
              <w:pStyle w:val="14"/>
            </w:pPr>
            <w:r>
              <w:t>≤4个</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县域特色产业集群企业培育等资金支出准确率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支付使用资金及时发放</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发生成本不超预算</w:t>
            </w:r>
          </w:p>
        </w:tc>
        <w:tc>
          <w:tcPr>
            <w:tcW w:w="2268" w:type="dxa"/>
            <w:vAlign w:val="center"/>
          </w:tcPr>
          <w:p>
            <w:pPr>
              <w:pStyle w:val="14"/>
            </w:pPr>
            <w:r>
              <w:t>≤1265.21万元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技改奖励资金分配率</w:t>
            </w:r>
          </w:p>
        </w:tc>
        <w:tc>
          <w:tcPr>
            <w:tcW w:w="5386" w:type="dxa"/>
            <w:vAlign w:val="center"/>
          </w:tcPr>
          <w:p>
            <w:pPr>
              <w:pStyle w:val="14"/>
            </w:pPr>
            <w:r>
              <w:t>反映各个企业工业设计等资金</w:t>
            </w:r>
          </w:p>
          <w:p>
            <w:pPr>
              <w:pStyle w:val="14"/>
            </w:pPr>
            <w:r>
              <w:t>使用分配情况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提高财政资金使用效率</w:t>
            </w:r>
          </w:p>
        </w:tc>
        <w:tc>
          <w:tcPr>
            <w:tcW w:w="5386" w:type="dxa"/>
            <w:vAlign w:val="center"/>
          </w:tcPr>
          <w:p>
            <w:pPr>
              <w:pStyle w:val="14"/>
            </w:pPr>
            <w:r>
              <w:t>保障县域特色产业集群企业培育专款专用</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提高全区经济指标</w:t>
            </w:r>
          </w:p>
        </w:tc>
        <w:tc>
          <w:tcPr>
            <w:tcW w:w="5386" w:type="dxa"/>
            <w:vAlign w:val="center"/>
          </w:tcPr>
          <w:p>
            <w:pPr>
              <w:pStyle w:val="14"/>
            </w:pPr>
            <w:r>
              <w:t>创新发展，提高全区经济指标</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提高技改企业经济效益</w:t>
            </w:r>
          </w:p>
        </w:tc>
        <w:tc>
          <w:tcPr>
            <w:tcW w:w="5386" w:type="dxa"/>
            <w:vAlign w:val="center"/>
          </w:tcPr>
          <w:p>
            <w:pPr>
              <w:pStyle w:val="14"/>
            </w:pPr>
            <w:r>
              <w:t>确保申请县域特色产业集群企业培育等企业奖励资金</w:t>
            </w:r>
          </w:p>
          <w:p>
            <w:pPr>
              <w:pStyle w:val="14"/>
            </w:pPr>
            <w:r>
              <w:t>时到位，壮大企业规模。</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申请项目企业满意度</w:t>
            </w:r>
          </w:p>
        </w:tc>
        <w:tc>
          <w:tcPr>
            <w:tcW w:w="5386" w:type="dxa"/>
            <w:vAlign w:val="center"/>
          </w:tcPr>
          <w:p>
            <w:pPr>
              <w:pStyle w:val="14"/>
            </w:pPr>
            <w:r>
              <w:t>支出达到申请县域特色产业集群企业培育等企业满意度情况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2、保财建【2024】108号保定市财政局关于提前下达2025年国有企业退休人员社会化管理省级财政补助资金预算绩效目标表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13060625P000018100039</w:t>
            </w:r>
          </w:p>
        </w:tc>
        <w:tc>
          <w:tcPr>
            <w:tcW w:w="2835" w:type="dxa"/>
            <w:vAlign w:val="center"/>
          </w:tcPr>
          <w:p>
            <w:pPr>
              <w:pStyle w:val="12"/>
            </w:pPr>
            <w:r>
              <w:t>项目名称</w:t>
            </w:r>
          </w:p>
        </w:tc>
        <w:tc>
          <w:tcPr>
            <w:tcW w:w="6095" w:type="dxa"/>
            <w:gridSpan w:val="3"/>
            <w:vAlign w:val="center"/>
          </w:tcPr>
          <w:p>
            <w:pPr>
              <w:pStyle w:val="14"/>
            </w:pPr>
            <w:r>
              <w:t>保财建【2024】108号保定市财政局关于提前下达2025年国有企业退休人员社会化管理省级财政补助资金预算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保财建【2024】108号提前下达2025年国有企业退休人员社会化管理者省级财政补助预算，及时申请，确保专款专用。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1.国有企业已退休人员管理服务工作与原企业分离，移交退休人员档案于托管中心服务，确保退休人员满意度达到90%以上。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国有企业退休人员人数</w:t>
            </w:r>
          </w:p>
        </w:tc>
        <w:tc>
          <w:tcPr>
            <w:tcW w:w="5386" w:type="dxa"/>
            <w:vAlign w:val="center"/>
          </w:tcPr>
          <w:p>
            <w:pPr>
              <w:pStyle w:val="14"/>
            </w:pPr>
            <w:r>
              <w:t>国有企业已退休人员数量</w:t>
            </w:r>
          </w:p>
        </w:tc>
        <w:tc>
          <w:tcPr>
            <w:tcW w:w="2268" w:type="dxa"/>
            <w:vAlign w:val="center"/>
          </w:tcPr>
          <w:p>
            <w:pPr>
              <w:pStyle w:val="14"/>
            </w:pPr>
            <w:r>
              <w:t>≥1.8万人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分离比例</w:t>
            </w:r>
          </w:p>
        </w:tc>
        <w:tc>
          <w:tcPr>
            <w:tcW w:w="5386" w:type="dxa"/>
            <w:vAlign w:val="center"/>
          </w:tcPr>
          <w:p>
            <w:pPr>
              <w:pStyle w:val="14"/>
            </w:pPr>
            <w:r>
              <w:t>确保国有企业已退休人员管理服务工作与原</w:t>
            </w:r>
          </w:p>
          <w:p>
            <w:pPr>
              <w:pStyle w:val="14"/>
            </w:pPr>
            <w:r>
              <w:t>企业分离比例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社会化管理费用及时发放率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发生成本不超预算</w:t>
            </w:r>
          </w:p>
        </w:tc>
        <w:tc>
          <w:tcPr>
            <w:tcW w:w="2268" w:type="dxa"/>
            <w:vAlign w:val="center"/>
          </w:tcPr>
          <w:p>
            <w:pPr>
              <w:pStyle w:val="14"/>
            </w:pPr>
            <w:r>
              <w:t>≤20万元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保障企业退休人员社会化管理使用顺利</w:t>
            </w:r>
          </w:p>
        </w:tc>
        <w:tc>
          <w:tcPr>
            <w:tcW w:w="5386" w:type="dxa"/>
            <w:vAlign w:val="center"/>
          </w:tcPr>
          <w:p>
            <w:pPr>
              <w:pStyle w:val="14"/>
            </w:pPr>
            <w:r>
              <w:t>保障国有企业退休人员社会化管理使用情况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企业退休人员稳定保障</w:t>
            </w:r>
          </w:p>
        </w:tc>
        <w:tc>
          <w:tcPr>
            <w:tcW w:w="5386" w:type="dxa"/>
            <w:vAlign w:val="center"/>
          </w:tcPr>
          <w:p>
            <w:pPr>
              <w:pStyle w:val="14"/>
            </w:pPr>
            <w:r>
              <w:t>确保承担移交后的退休人员社会化管理稳定性</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国有企业退休人员满意度</w:t>
            </w:r>
          </w:p>
        </w:tc>
        <w:tc>
          <w:tcPr>
            <w:tcW w:w="5386" w:type="dxa"/>
            <w:vAlign w:val="center"/>
          </w:tcPr>
          <w:p>
            <w:pPr>
              <w:pStyle w:val="14"/>
            </w:pPr>
            <w:r>
              <w:t>反映移交企业的综合满意度情况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3、保财建【2024】82号提前下达2025年国有企业退休人员社会化管理中央财政补助资金预算绩效目标表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13060625P00001810002M</w:t>
            </w:r>
          </w:p>
        </w:tc>
        <w:tc>
          <w:tcPr>
            <w:tcW w:w="2835" w:type="dxa"/>
            <w:vAlign w:val="center"/>
          </w:tcPr>
          <w:p>
            <w:pPr>
              <w:pStyle w:val="12"/>
            </w:pPr>
            <w:r>
              <w:t>项目名称</w:t>
            </w:r>
          </w:p>
        </w:tc>
        <w:tc>
          <w:tcPr>
            <w:tcW w:w="6095" w:type="dxa"/>
            <w:gridSpan w:val="3"/>
            <w:vAlign w:val="center"/>
          </w:tcPr>
          <w:p>
            <w:pPr>
              <w:pStyle w:val="14"/>
            </w:pPr>
            <w:r>
              <w:t>保财建【2024】82号提前下达2025年国有企业退休人员社会化管理中央财政补助资金预算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114.60</w:t>
            </w:r>
          </w:p>
        </w:tc>
        <w:tc>
          <w:tcPr>
            <w:tcW w:w="2835" w:type="dxa"/>
            <w:vAlign w:val="center"/>
          </w:tcPr>
          <w:p>
            <w:pPr>
              <w:pStyle w:val="12"/>
            </w:pPr>
            <w:r>
              <w:t>其中：财政    资金</w:t>
            </w:r>
          </w:p>
        </w:tc>
        <w:tc>
          <w:tcPr>
            <w:tcW w:w="2551" w:type="dxa"/>
            <w:vAlign w:val="center"/>
          </w:tcPr>
          <w:p>
            <w:pPr>
              <w:pStyle w:val="14"/>
            </w:pPr>
            <w:r>
              <w:t>114.60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保财建【2024】82号提前下达2025年国有企业退休人员社会化管理中央财政补助资金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1.国有企业已退休人员管理服务工作与原企业分离，移交退休人员档案于托管中心服务，确保退休人员满意度达到90%以上。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国有企业退休人员人数</w:t>
            </w:r>
          </w:p>
        </w:tc>
        <w:tc>
          <w:tcPr>
            <w:tcW w:w="5386" w:type="dxa"/>
            <w:vAlign w:val="center"/>
          </w:tcPr>
          <w:p>
            <w:pPr>
              <w:pStyle w:val="14"/>
            </w:pPr>
            <w:r>
              <w:t>国有企业已退休人员数量</w:t>
            </w:r>
          </w:p>
        </w:tc>
        <w:tc>
          <w:tcPr>
            <w:tcW w:w="2268" w:type="dxa"/>
            <w:vAlign w:val="center"/>
          </w:tcPr>
          <w:p>
            <w:pPr>
              <w:pStyle w:val="14"/>
            </w:pPr>
            <w:r>
              <w:t>≥1.8万人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分离比例</w:t>
            </w:r>
          </w:p>
        </w:tc>
        <w:tc>
          <w:tcPr>
            <w:tcW w:w="5386" w:type="dxa"/>
            <w:vAlign w:val="center"/>
          </w:tcPr>
          <w:p>
            <w:pPr>
              <w:pStyle w:val="14"/>
            </w:pPr>
            <w:r>
              <w:t>确保国有企业已退休人员管理服务工作与原</w:t>
            </w:r>
          </w:p>
          <w:p>
            <w:pPr>
              <w:pStyle w:val="14"/>
            </w:pPr>
            <w:r>
              <w:t>企业分离比例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社会化管理费用及时发放率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发生成本不超预算</w:t>
            </w:r>
          </w:p>
        </w:tc>
        <w:tc>
          <w:tcPr>
            <w:tcW w:w="2268" w:type="dxa"/>
            <w:vAlign w:val="center"/>
          </w:tcPr>
          <w:p>
            <w:pPr>
              <w:pStyle w:val="14"/>
            </w:pPr>
            <w:r>
              <w:t>≤114.6万元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保障企业退休人员社会化管理使用顺利</w:t>
            </w:r>
          </w:p>
        </w:tc>
        <w:tc>
          <w:tcPr>
            <w:tcW w:w="5386" w:type="dxa"/>
            <w:vAlign w:val="center"/>
          </w:tcPr>
          <w:p>
            <w:pPr>
              <w:pStyle w:val="14"/>
            </w:pPr>
            <w:r>
              <w:t>保障国有企业退休人员社会化管理使用情况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企业退休人员稳定保障</w:t>
            </w:r>
          </w:p>
        </w:tc>
        <w:tc>
          <w:tcPr>
            <w:tcW w:w="5386" w:type="dxa"/>
            <w:vAlign w:val="center"/>
          </w:tcPr>
          <w:p>
            <w:pPr>
              <w:pStyle w:val="14"/>
            </w:pPr>
            <w:r>
              <w:t>确保承担移交后的退休人员社会化管理稳定性</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国有企业退休人员满意度</w:t>
            </w:r>
          </w:p>
        </w:tc>
        <w:tc>
          <w:tcPr>
            <w:tcW w:w="5386" w:type="dxa"/>
            <w:vAlign w:val="center"/>
          </w:tcPr>
          <w:p>
            <w:pPr>
              <w:pStyle w:val="14"/>
            </w:pPr>
            <w:r>
              <w:t>反映移交企业的综合满意度情况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4、保财建【2024】95号关于提前下达2025年节能减排补助资金预算通知绩效目标表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13060625P00504310469H</w:t>
            </w:r>
          </w:p>
        </w:tc>
        <w:tc>
          <w:tcPr>
            <w:tcW w:w="2835" w:type="dxa"/>
            <w:vAlign w:val="center"/>
          </w:tcPr>
          <w:p>
            <w:pPr>
              <w:pStyle w:val="12"/>
            </w:pPr>
            <w:r>
              <w:t>项目名称</w:t>
            </w:r>
          </w:p>
        </w:tc>
        <w:tc>
          <w:tcPr>
            <w:tcW w:w="6095" w:type="dxa"/>
            <w:gridSpan w:val="3"/>
            <w:vAlign w:val="center"/>
          </w:tcPr>
          <w:p>
            <w:pPr>
              <w:pStyle w:val="14"/>
            </w:pPr>
            <w:r>
              <w:t>保财建【2024】95号关于提前下达2025年节能减排补助资金预算通知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2840.00</w:t>
            </w:r>
          </w:p>
        </w:tc>
        <w:tc>
          <w:tcPr>
            <w:tcW w:w="2835" w:type="dxa"/>
            <w:vAlign w:val="center"/>
          </w:tcPr>
          <w:p>
            <w:pPr>
              <w:pStyle w:val="12"/>
            </w:pPr>
            <w:r>
              <w:t>其中：财政    资金</w:t>
            </w:r>
          </w:p>
        </w:tc>
        <w:tc>
          <w:tcPr>
            <w:tcW w:w="2551" w:type="dxa"/>
            <w:vAlign w:val="center"/>
          </w:tcPr>
          <w:p>
            <w:pPr>
              <w:pStyle w:val="14"/>
            </w:pPr>
            <w:r>
              <w:t>2840.00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为提高全区的经济指标，提升环境质量，及时申请，确保专款专用。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1.为提高全区的经济指标，提升环境质量，服务对象满意度达到90%以上。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补助企业数量</w:t>
            </w:r>
          </w:p>
        </w:tc>
        <w:tc>
          <w:tcPr>
            <w:tcW w:w="5386" w:type="dxa"/>
            <w:vAlign w:val="center"/>
          </w:tcPr>
          <w:p>
            <w:pPr>
              <w:pStyle w:val="14"/>
            </w:pPr>
            <w:r>
              <w:t>新能源开发企业数量</w:t>
            </w:r>
          </w:p>
        </w:tc>
        <w:tc>
          <w:tcPr>
            <w:tcW w:w="2268" w:type="dxa"/>
            <w:vAlign w:val="center"/>
          </w:tcPr>
          <w:p>
            <w:pPr>
              <w:pStyle w:val="14"/>
            </w:pPr>
            <w:r>
              <w:t>≥1家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专项资金支出准确率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按支付使用资金及时率</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反映专款资金管理成本控制</w:t>
            </w:r>
          </w:p>
        </w:tc>
        <w:tc>
          <w:tcPr>
            <w:tcW w:w="2268" w:type="dxa"/>
            <w:vAlign w:val="center"/>
          </w:tcPr>
          <w:p>
            <w:pPr>
              <w:pStyle w:val="14"/>
            </w:pPr>
            <w:r>
              <w:t>≤2840万元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新能源节能减排资金分配率</w:t>
            </w:r>
          </w:p>
        </w:tc>
        <w:tc>
          <w:tcPr>
            <w:tcW w:w="5386" w:type="dxa"/>
            <w:vAlign w:val="center"/>
          </w:tcPr>
          <w:p>
            <w:pPr>
              <w:pStyle w:val="14"/>
            </w:pPr>
            <w:r>
              <w:t>反映企业资金</w:t>
            </w:r>
          </w:p>
          <w:p>
            <w:pPr>
              <w:pStyle w:val="14"/>
            </w:pPr>
            <w:r>
              <w:t>使用分配情况</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提高财政资金使用效率</w:t>
            </w:r>
          </w:p>
        </w:tc>
        <w:tc>
          <w:tcPr>
            <w:tcW w:w="5386" w:type="dxa"/>
            <w:vAlign w:val="center"/>
          </w:tcPr>
          <w:p>
            <w:pPr>
              <w:pStyle w:val="14"/>
            </w:pPr>
            <w:r>
              <w:t>反映管理企业资金使用情况</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提高全区经济指标</w:t>
            </w:r>
          </w:p>
        </w:tc>
        <w:tc>
          <w:tcPr>
            <w:tcW w:w="5386" w:type="dxa"/>
            <w:vAlign w:val="center"/>
          </w:tcPr>
          <w:p>
            <w:pPr>
              <w:pStyle w:val="14"/>
            </w:pPr>
            <w:r>
              <w:t>提高全区经济指标</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提高企业经济效益</w:t>
            </w:r>
          </w:p>
        </w:tc>
        <w:tc>
          <w:tcPr>
            <w:tcW w:w="5386" w:type="dxa"/>
            <w:vAlign w:val="center"/>
          </w:tcPr>
          <w:p>
            <w:pPr>
              <w:pStyle w:val="14"/>
            </w:pPr>
            <w:r>
              <w:t>确保企业奖励资金及</w:t>
            </w:r>
          </w:p>
          <w:p>
            <w:pPr>
              <w:pStyle w:val="14"/>
            </w:pPr>
            <w:r>
              <w:t>时到位，壮大企业规模。</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支出达到企业满意度情况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5、保财社【2024】79号提前下达2025年原市属下划企业离休干部医药费市级统筹补助资金绩效目标表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13060625P005043103646</w:t>
            </w:r>
          </w:p>
        </w:tc>
        <w:tc>
          <w:tcPr>
            <w:tcW w:w="2835" w:type="dxa"/>
            <w:vAlign w:val="center"/>
          </w:tcPr>
          <w:p>
            <w:pPr>
              <w:pStyle w:val="12"/>
            </w:pPr>
            <w:r>
              <w:t>项目名称</w:t>
            </w:r>
          </w:p>
        </w:tc>
        <w:tc>
          <w:tcPr>
            <w:tcW w:w="6095" w:type="dxa"/>
            <w:gridSpan w:val="3"/>
            <w:vAlign w:val="center"/>
          </w:tcPr>
          <w:p>
            <w:pPr>
              <w:pStyle w:val="14"/>
            </w:pPr>
            <w:r>
              <w:t>保财社【2024】79号提前下达2025年原市属下划企业离休干部医药费市级统筹补助资金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126.00</w:t>
            </w:r>
          </w:p>
        </w:tc>
        <w:tc>
          <w:tcPr>
            <w:tcW w:w="2835" w:type="dxa"/>
            <w:vAlign w:val="center"/>
          </w:tcPr>
          <w:p>
            <w:pPr>
              <w:pStyle w:val="12"/>
            </w:pPr>
            <w:r>
              <w:t>其中：财政    资金</w:t>
            </w:r>
          </w:p>
        </w:tc>
        <w:tc>
          <w:tcPr>
            <w:tcW w:w="2551" w:type="dxa"/>
            <w:vAlign w:val="center"/>
          </w:tcPr>
          <w:p>
            <w:pPr>
              <w:pStyle w:val="14"/>
            </w:pPr>
            <w:r>
              <w:t>126.00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保财社【2024】79号提前下达2025年原市属下划企业离休干部医药费市级统筹补助资金，及时申请，确保专款专用。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1.离休干部14人，按市医保中心缴纳标准每人10万，缴纳资金140万元，确保离休干部满意度达到95%以上。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医保统筹人数</w:t>
            </w:r>
          </w:p>
        </w:tc>
        <w:tc>
          <w:tcPr>
            <w:tcW w:w="5386" w:type="dxa"/>
            <w:vAlign w:val="center"/>
          </w:tcPr>
          <w:p>
            <w:pPr>
              <w:pStyle w:val="14"/>
            </w:pPr>
            <w:r>
              <w:t>完成核实离休干部人数</w:t>
            </w:r>
          </w:p>
        </w:tc>
        <w:tc>
          <w:tcPr>
            <w:tcW w:w="2268" w:type="dxa"/>
            <w:vAlign w:val="center"/>
          </w:tcPr>
          <w:p>
            <w:pPr>
              <w:pStyle w:val="14"/>
            </w:pPr>
            <w:r>
              <w:t>≤14人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保障医保缴纳准确率</w:t>
            </w:r>
          </w:p>
        </w:tc>
        <w:tc>
          <w:tcPr>
            <w:tcW w:w="5386" w:type="dxa"/>
            <w:vAlign w:val="center"/>
          </w:tcPr>
          <w:p>
            <w:pPr>
              <w:pStyle w:val="14"/>
            </w:pPr>
            <w:r>
              <w:t>保障医保缴纳准确率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资金缴纳及时率</w:t>
            </w:r>
          </w:p>
        </w:tc>
        <w:tc>
          <w:tcPr>
            <w:tcW w:w="5386" w:type="dxa"/>
            <w:vAlign w:val="center"/>
          </w:tcPr>
          <w:p>
            <w:pPr>
              <w:pStyle w:val="14"/>
            </w:pPr>
            <w:r>
              <w:t>医药费资金及时缴纳率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反映离休干部医药费成本不超预算</w:t>
            </w:r>
          </w:p>
        </w:tc>
        <w:tc>
          <w:tcPr>
            <w:tcW w:w="2268" w:type="dxa"/>
            <w:vAlign w:val="center"/>
          </w:tcPr>
          <w:p>
            <w:pPr>
              <w:pStyle w:val="14"/>
            </w:pPr>
            <w:r>
              <w:t>≤126万元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保障离休干部生活医疗水平</w:t>
            </w:r>
          </w:p>
        </w:tc>
        <w:tc>
          <w:tcPr>
            <w:tcW w:w="5386" w:type="dxa"/>
            <w:vAlign w:val="center"/>
          </w:tcPr>
          <w:p>
            <w:pPr>
              <w:pStyle w:val="14"/>
            </w:pPr>
            <w:r>
              <w:t>有效保障离休干部生活医疗水平</w:t>
            </w:r>
          </w:p>
        </w:tc>
        <w:tc>
          <w:tcPr>
            <w:tcW w:w="2268" w:type="dxa"/>
            <w:vAlign w:val="center"/>
          </w:tcPr>
          <w:p>
            <w:pPr>
              <w:pStyle w:val="14"/>
            </w:pPr>
            <w:r>
              <w:t>效果显著</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w:t>
            </w:r>
          </w:p>
        </w:tc>
        <w:tc>
          <w:tcPr>
            <w:tcW w:w="5386" w:type="dxa"/>
            <w:vAlign w:val="center"/>
          </w:tcPr>
          <w:p>
            <w:pPr>
              <w:pStyle w:val="14"/>
            </w:pPr>
            <w:r>
              <w:t>不涉及生态效益</w:t>
            </w:r>
          </w:p>
        </w:tc>
        <w:tc>
          <w:tcPr>
            <w:tcW w:w="2268" w:type="dxa"/>
            <w:vAlign w:val="center"/>
          </w:tcPr>
          <w:p>
            <w:pPr>
              <w:pStyle w:val="14"/>
            </w:pPr>
            <w:r>
              <w:t>不涉及生态效益</w:t>
            </w:r>
          </w:p>
        </w:tc>
        <w:tc>
          <w:tcPr>
            <w:tcW w:w="1276" w:type="dxa"/>
            <w:vAlign w:val="center"/>
          </w:tcPr>
          <w:p>
            <w:pPr>
              <w:pStyle w:val="14"/>
            </w:pPr>
            <w:r>
              <w:t>不涉及生态效益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离休干部住院得到持续保障</w:t>
            </w:r>
          </w:p>
        </w:tc>
        <w:tc>
          <w:tcPr>
            <w:tcW w:w="5386" w:type="dxa"/>
            <w:vAlign w:val="center"/>
          </w:tcPr>
          <w:p>
            <w:pPr>
              <w:pStyle w:val="14"/>
            </w:pPr>
            <w:r>
              <w:t>确保辖区离休干部生活住院得到保障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离休干部满意度</w:t>
            </w:r>
          </w:p>
        </w:tc>
        <w:tc>
          <w:tcPr>
            <w:tcW w:w="5386" w:type="dxa"/>
            <w:vAlign w:val="center"/>
          </w:tcPr>
          <w:p>
            <w:pPr>
              <w:pStyle w:val="14"/>
            </w:pPr>
            <w:r>
              <w:t>支出达到离休干部满意度情况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6、保定市莲池区城乡电网改造项目绩效目标表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13060624P00003111135Q</w:t>
            </w:r>
          </w:p>
        </w:tc>
        <w:tc>
          <w:tcPr>
            <w:tcW w:w="2835" w:type="dxa"/>
            <w:vAlign w:val="center"/>
          </w:tcPr>
          <w:p>
            <w:pPr>
              <w:pStyle w:val="12"/>
            </w:pPr>
            <w:r>
              <w:t>项目名称</w:t>
            </w:r>
          </w:p>
        </w:tc>
        <w:tc>
          <w:tcPr>
            <w:tcW w:w="6095" w:type="dxa"/>
            <w:gridSpan w:val="3"/>
            <w:vAlign w:val="center"/>
          </w:tcPr>
          <w:p>
            <w:pPr>
              <w:pStyle w:val="14"/>
            </w:pPr>
            <w:r>
              <w:t>保定市莲池区城乡电网改造项目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4500.00</w:t>
            </w:r>
          </w:p>
        </w:tc>
        <w:tc>
          <w:tcPr>
            <w:tcW w:w="2835" w:type="dxa"/>
            <w:vAlign w:val="center"/>
          </w:tcPr>
          <w:p>
            <w:pPr>
              <w:pStyle w:val="12"/>
            </w:pPr>
            <w:r>
              <w:t>其中：财政    资金</w:t>
            </w:r>
          </w:p>
        </w:tc>
        <w:tc>
          <w:tcPr>
            <w:tcW w:w="2551" w:type="dxa"/>
            <w:vAlign w:val="center"/>
          </w:tcPr>
          <w:p>
            <w:pPr>
              <w:pStyle w:val="14"/>
            </w:pPr>
            <w:r>
              <w:t>4500.00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保定市莲池区城乡电网改造项目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1.及时申请保定市莲池区城乡电网改造项目资金，确保城乡电网改造项目工作顺利完成，服务对象满意度达到90%以上。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改造城乡电网项目</w:t>
            </w:r>
          </w:p>
        </w:tc>
        <w:tc>
          <w:tcPr>
            <w:tcW w:w="5386" w:type="dxa"/>
            <w:vAlign w:val="center"/>
          </w:tcPr>
          <w:p>
            <w:pPr>
              <w:pStyle w:val="14"/>
            </w:pPr>
            <w:r>
              <w:t>完成城乡电网改造项目数量</w:t>
            </w:r>
          </w:p>
        </w:tc>
        <w:tc>
          <w:tcPr>
            <w:tcW w:w="2268" w:type="dxa"/>
            <w:vAlign w:val="center"/>
          </w:tcPr>
          <w:p>
            <w:pPr>
              <w:pStyle w:val="14"/>
            </w:pPr>
            <w:r>
              <w:t>1家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城乡电网改造项目资金支出准确率</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按支付使用资金及时率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反映城乡电网改造项目资金管理成本控制</w:t>
            </w:r>
          </w:p>
        </w:tc>
        <w:tc>
          <w:tcPr>
            <w:tcW w:w="2268" w:type="dxa"/>
            <w:vAlign w:val="center"/>
          </w:tcPr>
          <w:p>
            <w:pPr>
              <w:pStyle w:val="14"/>
            </w:pPr>
            <w:r>
              <w:t>≤4500万元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城乡电网改造项目资金分配率</w:t>
            </w:r>
          </w:p>
        </w:tc>
        <w:tc>
          <w:tcPr>
            <w:tcW w:w="5386" w:type="dxa"/>
            <w:vAlign w:val="center"/>
          </w:tcPr>
          <w:p>
            <w:pPr>
              <w:pStyle w:val="14"/>
            </w:pPr>
            <w:r>
              <w:t>反映城乡电网改造项目资金</w:t>
            </w:r>
          </w:p>
          <w:p>
            <w:pPr>
              <w:pStyle w:val="14"/>
            </w:pPr>
            <w:r>
              <w:t>使用分配情况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提高财政资金使用效率</w:t>
            </w:r>
          </w:p>
        </w:tc>
        <w:tc>
          <w:tcPr>
            <w:tcW w:w="5386" w:type="dxa"/>
            <w:vAlign w:val="center"/>
          </w:tcPr>
          <w:p>
            <w:pPr>
              <w:pStyle w:val="14"/>
            </w:pPr>
            <w:r>
              <w:t>反映管理城乡电网改造项目资金使用情况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全面融入京津冀产业</w:t>
            </w:r>
          </w:p>
          <w:p>
            <w:pPr>
              <w:pStyle w:val="14"/>
            </w:pPr>
            <w:r>
              <w:t>协同发展</w:t>
            </w:r>
          </w:p>
        </w:tc>
        <w:tc>
          <w:tcPr>
            <w:tcW w:w="5386" w:type="dxa"/>
            <w:vAlign w:val="center"/>
          </w:tcPr>
          <w:p>
            <w:pPr>
              <w:pStyle w:val="14"/>
            </w:pPr>
            <w:r>
              <w:t>展现城市新颜值、新风采。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提高城乡电网改造项目</w:t>
            </w:r>
          </w:p>
          <w:p>
            <w:pPr>
              <w:pStyle w:val="14"/>
            </w:pPr>
            <w:r>
              <w:t>经济效益</w:t>
            </w:r>
          </w:p>
        </w:tc>
        <w:tc>
          <w:tcPr>
            <w:tcW w:w="5386" w:type="dxa"/>
            <w:vAlign w:val="center"/>
          </w:tcPr>
          <w:p>
            <w:pPr>
              <w:pStyle w:val="14"/>
            </w:pPr>
            <w:r>
              <w:t>确保申请城乡电网改造项目资金及</w:t>
            </w:r>
          </w:p>
          <w:p>
            <w:pPr>
              <w:pStyle w:val="14"/>
            </w:pPr>
            <w:r>
              <w:t>时到位，加快现代化品质生活之城建设。</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申请项目单位满意度</w:t>
            </w:r>
          </w:p>
        </w:tc>
        <w:tc>
          <w:tcPr>
            <w:tcW w:w="5386" w:type="dxa"/>
            <w:vAlign w:val="center"/>
          </w:tcPr>
          <w:p>
            <w:pPr>
              <w:pStyle w:val="14"/>
            </w:pPr>
            <w:r>
              <w:t>支出达到申请城乡电网改造项目满意度情况</w:t>
            </w:r>
          </w:p>
        </w:tc>
        <w:tc>
          <w:tcPr>
            <w:tcW w:w="2268" w:type="dxa"/>
            <w:vAlign w:val="center"/>
          </w:tcPr>
          <w:p>
            <w:pPr>
              <w:pStyle w:val="14"/>
            </w:pPr>
            <w:r>
              <w:t>≥95百分比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7、困难职工春节慰问绩效目标表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13060625P005043102007</w:t>
            </w:r>
          </w:p>
        </w:tc>
        <w:tc>
          <w:tcPr>
            <w:tcW w:w="2835" w:type="dxa"/>
            <w:vAlign w:val="center"/>
          </w:tcPr>
          <w:p>
            <w:pPr>
              <w:pStyle w:val="12"/>
            </w:pPr>
            <w:r>
              <w:t>项目名称</w:t>
            </w:r>
          </w:p>
        </w:tc>
        <w:tc>
          <w:tcPr>
            <w:tcW w:w="6095" w:type="dxa"/>
            <w:gridSpan w:val="3"/>
            <w:vAlign w:val="center"/>
          </w:tcPr>
          <w:p>
            <w:pPr>
              <w:pStyle w:val="14"/>
            </w:pPr>
            <w:r>
              <w:t>困难职工春节慰问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困难职工春节慰问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1.目标内容1春节慰问困难职工300人，每人200元慰问标准，确保困难职工满意度95%以上。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困难职工人数</w:t>
            </w:r>
          </w:p>
        </w:tc>
        <w:tc>
          <w:tcPr>
            <w:tcW w:w="5386" w:type="dxa"/>
            <w:vAlign w:val="center"/>
          </w:tcPr>
          <w:p>
            <w:pPr>
              <w:pStyle w:val="14"/>
            </w:pPr>
            <w:r>
              <w:t>领取春节慰问款特困人数</w:t>
            </w:r>
          </w:p>
        </w:tc>
        <w:tc>
          <w:tcPr>
            <w:tcW w:w="2268" w:type="dxa"/>
            <w:vAlign w:val="center"/>
          </w:tcPr>
          <w:p>
            <w:pPr>
              <w:pStyle w:val="14"/>
            </w:pPr>
            <w:r>
              <w:t>≥300人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春节慰问款发放准确率</w:t>
            </w:r>
          </w:p>
        </w:tc>
        <w:tc>
          <w:tcPr>
            <w:tcW w:w="5386" w:type="dxa"/>
            <w:vAlign w:val="center"/>
          </w:tcPr>
          <w:p>
            <w:pPr>
              <w:pStyle w:val="14"/>
            </w:pPr>
            <w:r>
              <w:t>春节慰问款发放准确到每个人</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春节慰问款及时发放率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实际发生成本不超预算</w:t>
            </w:r>
          </w:p>
        </w:tc>
        <w:tc>
          <w:tcPr>
            <w:tcW w:w="2268" w:type="dxa"/>
            <w:vAlign w:val="center"/>
          </w:tcPr>
          <w:p>
            <w:pPr>
              <w:pStyle w:val="14"/>
            </w:pPr>
            <w:r>
              <w:t>≤6万元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提高困难职工生活水平</w:t>
            </w:r>
          </w:p>
        </w:tc>
        <w:tc>
          <w:tcPr>
            <w:tcW w:w="5386" w:type="dxa"/>
            <w:vAlign w:val="center"/>
          </w:tcPr>
          <w:p>
            <w:pPr>
              <w:pStyle w:val="14"/>
            </w:pPr>
            <w:r>
              <w:t>慰问困难职工补贴，提高生活</w:t>
            </w:r>
          </w:p>
          <w:p>
            <w:pPr>
              <w:pStyle w:val="14"/>
            </w:pPr>
            <w:r>
              <w:t>水准</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困难职工生活保障</w:t>
            </w:r>
          </w:p>
        </w:tc>
        <w:tc>
          <w:tcPr>
            <w:tcW w:w="5386" w:type="dxa"/>
            <w:vAlign w:val="center"/>
          </w:tcPr>
          <w:p>
            <w:pPr>
              <w:pStyle w:val="14"/>
            </w:pPr>
            <w:r>
              <w:t>确保辖区企业困难职工生活得到保障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困难职工满意度</w:t>
            </w:r>
          </w:p>
        </w:tc>
        <w:tc>
          <w:tcPr>
            <w:tcW w:w="5386" w:type="dxa"/>
            <w:vAlign w:val="center"/>
          </w:tcPr>
          <w:p>
            <w:pPr>
              <w:pStyle w:val="14"/>
            </w:pPr>
            <w:r>
              <w:t>反映困难职工满意度情况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8、离休干部及建国前老工人春节慰问绩效目标表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13060625P00504310198M</w:t>
            </w:r>
          </w:p>
        </w:tc>
        <w:tc>
          <w:tcPr>
            <w:tcW w:w="2835" w:type="dxa"/>
            <w:vAlign w:val="center"/>
          </w:tcPr>
          <w:p>
            <w:pPr>
              <w:pStyle w:val="12"/>
            </w:pPr>
            <w:r>
              <w:t>项目名称</w:t>
            </w:r>
          </w:p>
        </w:tc>
        <w:tc>
          <w:tcPr>
            <w:tcW w:w="6095" w:type="dxa"/>
            <w:gridSpan w:val="3"/>
            <w:vAlign w:val="center"/>
          </w:tcPr>
          <w:p>
            <w:pPr>
              <w:pStyle w:val="14"/>
            </w:pPr>
            <w:r>
              <w:t>离休干部及建国前老工人春节慰问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0.24</w:t>
            </w:r>
          </w:p>
        </w:tc>
        <w:tc>
          <w:tcPr>
            <w:tcW w:w="2835" w:type="dxa"/>
            <w:vAlign w:val="center"/>
          </w:tcPr>
          <w:p>
            <w:pPr>
              <w:pStyle w:val="12"/>
            </w:pPr>
            <w:r>
              <w:t>其中：财政    资金</w:t>
            </w:r>
          </w:p>
        </w:tc>
        <w:tc>
          <w:tcPr>
            <w:tcW w:w="2551" w:type="dxa"/>
            <w:vAlign w:val="center"/>
          </w:tcPr>
          <w:p>
            <w:pPr>
              <w:pStyle w:val="14"/>
            </w:pPr>
            <w:r>
              <w:t>0.24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离休干部及建国前老工人春节慰问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1.目标内容1春节慰问离休干部5人、建国前老工人3人，每人300元标准，确保离休干部及建国前老工人满意度95%以上。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离休干部及建国前老工人</w:t>
            </w:r>
          </w:p>
          <w:p>
            <w:pPr>
              <w:pStyle w:val="14"/>
            </w:pPr>
            <w:r>
              <w:t>人数</w:t>
            </w:r>
          </w:p>
        </w:tc>
        <w:tc>
          <w:tcPr>
            <w:tcW w:w="5386" w:type="dxa"/>
            <w:vAlign w:val="center"/>
          </w:tcPr>
          <w:p>
            <w:pPr>
              <w:pStyle w:val="14"/>
            </w:pPr>
            <w:r>
              <w:t>领取慰问款人数</w:t>
            </w:r>
          </w:p>
        </w:tc>
        <w:tc>
          <w:tcPr>
            <w:tcW w:w="2268" w:type="dxa"/>
            <w:vAlign w:val="center"/>
          </w:tcPr>
          <w:p>
            <w:pPr>
              <w:pStyle w:val="14"/>
            </w:pPr>
            <w:r>
              <w:t>≤8人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慰问款发放准确率</w:t>
            </w:r>
          </w:p>
        </w:tc>
        <w:tc>
          <w:tcPr>
            <w:tcW w:w="5386" w:type="dxa"/>
            <w:vAlign w:val="center"/>
          </w:tcPr>
          <w:p>
            <w:pPr>
              <w:pStyle w:val="14"/>
            </w:pPr>
            <w:r>
              <w:t>慰问款发放准确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慰问款及时发放率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发生成本不超预算</w:t>
            </w:r>
          </w:p>
        </w:tc>
        <w:tc>
          <w:tcPr>
            <w:tcW w:w="2268" w:type="dxa"/>
            <w:vAlign w:val="center"/>
          </w:tcPr>
          <w:p>
            <w:pPr>
              <w:pStyle w:val="14"/>
            </w:pPr>
            <w:r>
              <w:t>≤0.24万元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提高离休干部和建国前老工人生活水平</w:t>
            </w:r>
          </w:p>
        </w:tc>
        <w:tc>
          <w:tcPr>
            <w:tcW w:w="5386" w:type="dxa"/>
            <w:vAlign w:val="center"/>
          </w:tcPr>
          <w:p>
            <w:pPr>
              <w:pStyle w:val="14"/>
            </w:pPr>
            <w:r>
              <w:t>提高离休干部和建国前老工人生活水平</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w:t>
            </w:r>
          </w:p>
        </w:tc>
        <w:tc>
          <w:tcPr>
            <w:tcW w:w="5386" w:type="dxa"/>
            <w:vAlign w:val="center"/>
          </w:tcPr>
          <w:p>
            <w:pPr>
              <w:pStyle w:val="14"/>
            </w:pPr>
            <w:r>
              <w:t>不涉及生态效益</w:t>
            </w:r>
          </w:p>
        </w:tc>
        <w:tc>
          <w:tcPr>
            <w:tcW w:w="2268" w:type="dxa"/>
            <w:vAlign w:val="center"/>
          </w:tcPr>
          <w:p>
            <w:pPr>
              <w:pStyle w:val="14"/>
            </w:pPr>
            <w:r>
              <w:t>不涉及生态效益</w:t>
            </w:r>
          </w:p>
        </w:tc>
        <w:tc>
          <w:tcPr>
            <w:tcW w:w="1276" w:type="dxa"/>
            <w:vAlign w:val="center"/>
          </w:tcPr>
          <w:p>
            <w:pPr>
              <w:pStyle w:val="14"/>
            </w:pPr>
            <w:r>
              <w:t>不涉及生态效益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离休干部和建国前老工人生活得到持续改善</w:t>
            </w:r>
          </w:p>
        </w:tc>
        <w:tc>
          <w:tcPr>
            <w:tcW w:w="5386" w:type="dxa"/>
            <w:vAlign w:val="center"/>
          </w:tcPr>
          <w:p>
            <w:pPr>
              <w:pStyle w:val="14"/>
            </w:pPr>
            <w:r>
              <w:t>离休干部和建国前老工人生活得到持续改善</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离休干部及建国前老工人</w:t>
            </w:r>
          </w:p>
          <w:p>
            <w:pPr>
              <w:pStyle w:val="14"/>
            </w:pPr>
            <w:r>
              <w:t>满意度</w:t>
            </w:r>
          </w:p>
        </w:tc>
        <w:tc>
          <w:tcPr>
            <w:tcW w:w="5386" w:type="dxa"/>
            <w:vAlign w:val="center"/>
          </w:tcPr>
          <w:p>
            <w:pPr>
              <w:pStyle w:val="14"/>
            </w:pPr>
            <w:r>
              <w:t>支出达到离休干部、建国前老工人满意</w:t>
            </w:r>
          </w:p>
          <w:p>
            <w:pPr>
              <w:pStyle w:val="14"/>
            </w:pPr>
            <w:r>
              <w:t>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9、离休干部医保统筹绩效目标表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13060625P00504310202E</w:t>
            </w:r>
          </w:p>
        </w:tc>
        <w:tc>
          <w:tcPr>
            <w:tcW w:w="2835" w:type="dxa"/>
            <w:vAlign w:val="center"/>
          </w:tcPr>
          <w:p>
            <w:pPr>
              <w:pStyle w:val="12"/>
            </w:pPr>
            <w:r>
              <w:t>项目名称</w:t>
            </w:r>
          </w:p>
        </w:tc>
        <w:tc>
          <w:tcPr>
            <w:tcW w:w="6095" w:type="dxa"/>
            <w:gridSpan w:val="3"/>
            <w:vAlign w:val="center"/>
          </w:tcPr>
          <w:p>
            <w:pPr>
              <w:pStyle w:val="14"/>
            </w:pPr>
            <w:r>
              <w:t>离休干部医保统筹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140.00</w:t>
            </w:r>
          </w:p>
        </w:tc>
        <w:tc>
          <w:tcPr>
            <w:tcW w:w="2835" w:type="dxa"/>
            <w:vAlign w:val="center"/>
          </w:tcPr>
          <w:p>
            <w:pPr>
              <w:pStyle w:val="12"/>
            </w:pPr>
            <w:r>
              <w:t>其中：财政    资金</w:t>
            </w:r>
          </w:p>
        </w:tc>
        <w:tc>
          <w:tcPr>
            <w:tcW w:w="2551" w:type="dxa"/>
            <w:vAlign w:val="center"/>
          </w:tcPr>
          <w:p>
            <w:pPr>
              <w:pStyle w:val="14"/>
            </w:pPr>
            <w:r>
              <w:t>140.00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离休干部医保统筹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1.目标内容1离休干部14人，按市医保中心缴纳标准每人10万，缴纳资金140万元，确保离休干部满意度达到95%以上。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医保统筹人数</w:t>
            </w:r>
          </w:p>
        </w:tc>
        <w:tc>
          <w:tcPr>
            <w:tcW w:w="5386" w:type="dxa"/>
            <w:vAlign w:val="center"/>
          </w:tcPr>
          <w:p>
            <w:pPr>
              <w:pStyle w:val="14"/>
            </w:pPr>
            <w:r>
              <w:t>完成核实离休干部人数</w:t>
            </w:r>
          </w:p>
        </w:tc>
        <w:tc>
          <w:tcPr>
            <w:tcW w:w="2268" w:type="dxa"/>
            <w:vAlign w:val="center"/>
          </w:tcPr>
          <w:p>
            <w:pPr>
              <w:pStyle w:val="14"/>
            </w:pPr>
            <w:r>
              <w:t>≤14人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保障医保缴纳准确率</w:t>
            </w:r>
          </w:p>
        </w:tc>
        <w:tc>
          <w:tcPr>
            <w:tcW w:w="5386" w:type="dxa"/>
            <w:vAlign w:val="center"/>
          </w:tcPr>
          <w:p>
            <w:pPr>
              <w:pStyle w:val="14"/>
            </w:pPr>
            <w:r>
              <w:t>保障医保缴纳准确率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资金缴纳及时率</w:t>
            </w:r>
          </w:p>
        </w:tc>
        <w:tc>
          <w:tcPr>
            <w:tcW w:w="5386" w:type="dxa"/>
            <w:vAlign w:val="center"/>
          </w:tcPr>
          <w:p>
            <w:pPr>
              <w:pStyle w:val="14"/>
            </w:pPr>
            <w:r>
              <w:t>医药费资金及时缴纳率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反映离休干部医药费成本不超预算</w:t>
            </w:r>
          </w:p>
        </w:tc>
        <w:tc>
          <w:tcPr>
            <w:tcW w:w="2268" w:type="dxa"/>
            <w:vAlign w:val="center"/>
          </w:tcPr>
          <w:p>
            <w:pPr>
              <w:pStyle w:val="14"/>
            </w:pPr>
            <w:r>
              <w:t>≤140万元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保障离休干部生活医疗水平</w:t>
            </w:r>
          </w:p>
        </w:tc>
        <w:tc>
          <w:tcPr>
            <w:tcW w:w="5386" w:type="dxa"/>
            <w:vAlign w:val="center"/>
          </w:tcPr>
          <w:p>
            <w:pPr>
              <w:pStyle w:val="14"/>
            </w:pPr>
            <w:r>
              <w:t>有效保障离休干部生活医疗水平</w:t>
            </w:r>
          </w:p>
        </w:tc>
        <w:tc>
          <w:tcPr>
            <w:tcW w:w="2268" w:type="dxa"/>
            <w:vAlign w:val="center"/>
          </w:tcPr>
          <w:p>
            <w:pPr>
              <w:pStyle w:val="14"/>
            </w:pPr>
            <w:r>
              <w:t>效果显著</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w:t>
            </w:r>
          </w:p>
        </w:tc>
        <w:tc>
          <w:tcPr>
            <w:tcW w:w="5386" w:type="dxa"/>
            <w:vAlign w:val="center"/>
          </w:tcPr>
          <w:p>
            <w:pPr>
              <w:pStyle w:val="14"/>
            </w:pPr>
            <w:r>
              <w:t>不涉及生态效益</w:t>
            </w:r>
          </w:p>
        </w:tc>
        <w:tc>
          <w:tcPr>
            <w:tcW w:w="2268" w:type="dxa"/>
            <w:vAlign w:val="center"/>
          </w:tcPr>
          <w:p>
            <w:pPr>
              <w:pStyle w:val="14"/>
            </w:pPr>
            <w:r>
              <w:t>不涉及生态效益</w:t>
            </w:r>
          </w:p>
        </w:tc>
        <w:tc>
          <w:tcPr>
            <w:tcW w:w="1276" w:type="dxa"/>
            <w:vAlign w:val="center"/>
          </w:tcPr>
          <w:p>
            <w:pPr>
              <w:pStyle w:val="14"/>
            </w:pPr>
            <w:r>
              <w:t>不涉及生态效益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离休干部住院得到持续保障</w:t>
            </w:r>
          </w:p>
        </w:tc>
        <w:tc>
          <w:tcPr>
            <w:tcW w:w="5386" w:type="dxa"/>
            <w:vAlign w:val="center"/>
          </w:tcPr>
          <w:p>
            <w:pPr>
              <w:pStyle w:val="14"/>
            </w:pPr>
            <w:r>
              <w:t>确保辖区离休干部生活住院得到保障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离休干部满意度</w:t>
            </w:r>
          </w:p>
        </w:tc>
        <w:tc>
          <w:tcPr>
            <w:tcW w:w="5386" w:type="dxa"/>
            <w:vAlign w:val="center"/>
          </w:tcPr>
          <w:p>
            <w:pPr>
              <w:pStyle w:val="14"/>
            </w:pPr>
            <w:r>
              <w:t>支出达到离休干部满意度情况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10、职教幼教补助绩效目标表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13060625P00504310188R</w:t>
            </w:r>
          </w:p>
        </w:tc>
        <w:tc>
          <w:tcPr>
            <w:tcW w:w="2835" w:type="dxa"/>
            <w:vAlign w:val="center"/>
          </w:tcPr>
          <w:p>
            <w:pPr>
              <w:pStyle w:val="12"/>
            </w:pPr>
            <w:r>
              <w:t>项目名称</w:t>
            </w:r>
          </w:p>
        </w:tc>
        <w:tc>
          <w:tcPr>
            <w:tcW w:w="6095" w:type="dxa"/>
            <w:gridSpan w:val="3"/>
            <w:vAlign w:val="center"/>
          </w:tcPr>
          <w:p>
            <w:pPr>
              <w:pStyle w:val="14"/>
            </w:pPr>
            <w:r>
              <w:t>职教幼教补助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215.45</w:t>
            </w:r>
          </w:p>
        </w:tc>
        <w:tc>
          <w:tcPr>
            <w:tcW w:w="2835" w:type="dxa"/>
            <w:vAlign w:val="center"/>
          </w:tcPr>
          <w:p>
            <w:pPr>
              <w:pStyle w:val="12"/>
            </w:pPr>
            <w:r>
              <w:t>其中：财政    资金</w:t>
            </w:r>
          </w:p>
        </w:tc>
        <w:tc>
          <w:tcPr>
            <w:tcW w:w="2551" w:type="dxa"/>
            <w:vAlign w:val="center"/>
          </w:tcPr>
          <w:p>
            <w:pPr>
              <w:pStyle w:val="14"/>
            </w:pPr>
            <w:r>
              <w:t>215.45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职教幼教补助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1.目标内容1确保职教幼教补助资金发放顺利开展，职教幼教退休教师50人，按区人社局测算标准，确保退休教师满意度达到95%以上。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职教幼教退休教师人数</w:t>
            </w:r>
          </w:p>
        </w:tc>
        <w:tc>
          <w:tcPr>
            <w:tcW w:w="5386" w:type="dxa"/>
            <w:vAlign w:val="center"/>
          </w:tcPr>
          <w:p>
            <w:pPr>
              <w:pStyle w:val="14"/>
            </w:pPr>
            <w:r>
              <w:t>职教幼教退休教师人数</w:t>
            </w:r>
          </w:p>
        </w:tc>
        <w:tc>
          <w:tcPr>
            <w:tcW w:w="2268" w:type="dxa"/>
            <w:vAlign w:val="center"/>
          </w:tcPr>
          <w:p>
            <w:pPr>
              <w:pStyle w:val="14"/>
            </w:pPr>
            <w:r>
              <w:t>≤50人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资金发放准确率</w:t>
            </w:r>
          </w:p>
        </w:tc>
        <w:tc>
          <w:tcPr>
            <w:tcW w:w="5386" w:type="dxa"/>
            <w:vAlign w:val="center"/>
          </w:tcPr>
          <w:p>
            <w:pPr>
              <w:pStyle w:val="14"/>
            </w:pPr>
            <w:r>
              <w:t>职教幼教退休教师补助资金发放准确率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职教幼教退休教师补助资金发放及时率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职教幼教退休教师补助预算控制数</w:t>
            </w:r>
          </w:p>
        </w:tc>
        <w:tc>
          <w:tcPr>
            <w:tcW w:w="2268" w:type="dxa"/>
            <w:vAlign w:val="center"/>
          </w:tcPr>
          <w:p>
            <w:pPr>
              <w:pStyle w:val="14"/>
            </w:pPr>
            <w:r>
              <w:t>≤215.45万元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保障职教幼教退休教师人员生活</w:t>
            </w:r>
          </w:p>
        </w:tc>
        <w:tc>
          <w:tcPr>
            <w:tcW w:w="5386" w:type="dxa"/>
            <w:vAlign w:val="center"/>
          </w:tcPr>
          <w:p>
            <w:pPr>
              <w:pStyle w:val="14"/>
            </w:pPr>
            <w:r>
              <w:t>保障国有企业教师人员</w:t>
            </w:r>
          </w:p>
          <w:p>
            <w:pPr>
              <w:pStyle w:val="14"/>
            </w:pPr>
            <w:r>
              <w:t>生活情况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职教幼教生活得到持续保障</w:t>
            </w:r>
          </w:p>
        </w:tc>
        <w:tc>
          <w:tcPr>
            <w:tcW w:w="5386" w:type="dxa"/>
            <w:vAlign w:val="center"/>
          </w:tcPr>
          <w:p>
            <w:pPr>
              <w:pStyle w:val="14"/>
            </w:pPr>
            <w:r>
              <w:t>确保职教幼教退休教师生活保障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国有企业退休教师满意度</w:t>
            </w:r>
          </w:p>
        </w:tc>
        <w:tc>
          <w:tcPr>
            <w:tcW w:w="5386" w:type="dxa"/>
            <w:vAlign w:val="center"/>
          </w:tcPr>
          <w:p>
            <w:pPr>
              <w:pStyle w:val="14"/>
            </w:pPr>
            <w:r>
              <w:t>反映支出达到退休教师满意度情况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13060625P00504310191C</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1.目标内容1负责机关财务、资产管理等工作；承担信息、安全信息、督察督办、信访、后勤保障等工作,服务对象满意度达到90%以上。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经费支出准确率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按时间进度要求支付使用资金</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反映工信事务管理成本控制</w:t>
            </w:r>
          </w:p>
        </w:tc>
        <w:tc>
          <w:tcPr>
            <w:tcW w:w="2268" w:type="dxa"/>
            <w:vAlign w:val="center"/>
          </w:tcPr>
          <w:p>
            <w:pPr>
              <w:pStyle w:val="14"/>
            </w:pPr>
            <w:r>
              <w:t>≤7万元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有效发挥财政资金使用效率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保障单位正常运转</w:t>
            </w:r>
          </w:p>
        </w:tc>
        <w:tc>
          <w:tcPr>
            <w:tcW w:w="5386" w:type="dxa"/>
            <w:vAlign w:val="center"/>
          </w:tcPr>
          <w:p>
            <w:pPr>
              <w:pStyle w:val="14"/>
            </w:pPr>
            <w:r>
              <w:t>维护信息安全</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使用节能环保产品</w:t>
            </w:r>
          </w:p>
        </w:tc>
        <w:tc>
          <w:tcPr>
            <w:tcW w:w="5386" w:type="dxa"/>
            <w:vAlign w:val="center"/>
          </w:tcPr>
          <w:p>
            <w:pPr>
              <w:pStyle w:val="14"/>
            </w:pPr>
            <w:r>
              <w:t>响应节能号召，使用节能环</w:t>
            </w:r>
          </w:p>
          <w:p>
            <w:pPr>
              <w:pStyle w:val="14"/>
            </w:pPr>
            <w:r>
              <w:t>保产品</w:t>
            </w:r>
          </w:p>
        </w:tc>
        <w:tc>
          <w:tcPr>
            <w:tcW w:w="2268" w:type="dxa"/>
            <w:vAlign w:val="center"/>
          </w:tcPr>
          <w:p>
            <w:pPr>
              <w:pStyle w:val="14"/>
            </w:pPr>
            <w:r>
              <w:t>持续使用</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综合业务工作的可持续</w:t>
            </w:r>
          </w:p>
          <w:p>
            <w:pPr>
              <w:pStyle w:val="14"/>
            </w:pPr>
            <w:r>
              <w:t>性保障</w:t>
            </w:r>
          </w:p>
        </w:tc>
        <w:tc>
          <w:tcPr>
            <w:tcW w:w="5386" w:type="dxa"/>
            <w:vAlign w:val="center"/>
          </w:tcPr>
          <w:p>
            <w:pPr>
              <w:pStyle w:val="14"/>
            </w:pPr>
            <w:r>
              <w:t>确保局机关各个科室工作得到</w:t>
            </w:r>
          </w:p>
          <w:p>
            <w:pPr>
              <w:pStyle w:val="14"/>
            </w:pPr>
            <w:r>
              <w:t>保障</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5386" w:type="dxa"/>
            <w:vAlign w:val="center"/>
          </w:tcPr>
          <w:p>
            <w:pPr>
              <w:pStyle w:val="14"/>
            </w:pPr>
            <w:r>
              <w:t>支出达到单位工作人员满意</w:t>
            </w:r>
          </w:p>
          <w:p>
            <w:pPr>
              <w:pStyle w:val="14"/>
            </w:pPr>
            <w:r>
              <w:t>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保定市莲池区工业和信息化局（含所属单位）上年末固定资产金额为</w:t>
      </w:r>
      <w:r>
        <w:rPr>
          <w:rFonts w:hint="eastAsia" w:eastAsia="方正仿宋_GBK" w:cs="Times New Roman"/>
          <w:b w:val="0"/>
          <w:color w:val="000000"/>
          <w:sz w:val="28"/>
          <w:lang w:val="en-US" w:eastAsia="zh-CN"/>
        </w:rPr>
        <w:t>51.67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jc w:val="center"/>
              <w:rPr>
                <w:rFonts w:ascii="仿宋_GB2312" w:hAnsi="仿宋" w:eastAsia="仿宋_GB2312" w:cs="宋体"/>
                <w:b/>
                <w:bCs/>
                <w:color w:val="000000"/>
                <w:sz w:val="24"/>
                <w:szCs w:val="24"/>
                <w:highlight w:val="none"/>
                <w:lang w:val="en-US" w:eastAsia="uk-UA" w:bidi="ar-SA"/>
              </w:rPr>
            </w:pPr>
            <w:r>
              <w:rPr>
                <w:rFonts w:hint="eastAsia" w:ascii="仿宋_GB2312" w:hAnsi="仿宋" w:eastAsia="仿宋_GB2312" w:cs="宋体"/>
                <w:b/>
                <w:bCs/>
                <w:color w:val="000000"/>
                <w:highlight w:val="none"/>
              </w:rPr>
              <w:t>固定资产总额</w:t>
            </w:r>
          </w:p>
        </w:tc>
        <w:tc>
          <w:tcPr>
            <w:tcW w:w="2835" w:type="dxa"/>
            <w:shd w:val="clear" w:color="auto" w:fill="auto"/>
            <w:vAlign w:val="center"/>
          </w:tcPr>
          <w:p>
            <w:pPr>
              <w:ind w:firstLine="1205" w:firstLineChars="500"/>
              <w:jc w:val="both"/>
              <w:rPr>
                <w:rFonts w:hint="default" w:ascii="仿宋_GB2312" w:hAnsi="仿宋" w:eastAsia="仿宋_GB2312" w:cs="宋体"/>
                <w:b/>
                <w:color w:val="000000"/>
                <w:sz w:val="24"/>
                <w:szCs w:val="24"/>
                <w:highlight w:val="none"/>
                <w:lang w:val="en-US" w:eastAsia="zh-CN" w:bidi="ar-SA"/>
              </w:rPr>
            </w:pPr>
            <w:r>
              <w:rPr>
                <w:rFonts w:hint="eastAsia" w:ascii="仿宋_GB2312" w:hAnsi="仿宋" w:eastAsia="仿宋_GB2312" w:cs="宋体"/>
                <w:b/>
                <w:color w:val="000000"/>
                <w:sz w:val="24"/>
                <w:szCs w:val="24"/>
                <w:highlight w:val="none"/>
                <w:lang w:val="en-US" w:eastAsia="zh-CN" w:bidi="ar-SA"/>
              </w:rPr>
              <w:t>183</w:t>
            </w:r>
          </w:p>
        </w:tc>
        <w:tc>
          <w:tcPr>
            <w:tcW w:w="2835" w:type="dxa"/>
            <w:shd w:val="clear" w:color="auto" w:fill="auto"/>
            <w:vAlign w:val="center"/>
          </w:tcPr>
          <w:p>
            <w:pPr>
              <w:jc w:val="center"/>
              <w:rPr>
                <w:rFonts w:hint="default" w:ascii="仿宋_GB2312" w:hAnsi="仿宋" w:eastAsia="仿宋_GB2312" w:cs="宋体"/>
                <w:b/>
                <w:color w:val="000000"/>
                <w:sz w:val="24"/>
                <w:szCs w:val="24"/>
                <w:highlight w:val="none"/>
                <w:lang w:val="en-US" w:eastAsia="zh-CN" w:bidi="ar-SA"/>
              </w:rPr>
            </w:pPr>
            <w:r>
              <w:rPr>
                <w:rFonts w:hint="eastAsia" w:ascii="仿宋_GB2312" w:hAnsi="仿宋" w:eastAsia="仿宋_GB2312" w:cs="宋体"/>
                <w:b/>
                <w:color w:val="000000"/>
                <w:sz w:val="24"/>
                <w:szCs w:val="24"/>
                <w:highlight w:val="none"/>
                <w:lang w:val="en-US" w:eastAsia="zh-CN" w:bidi="ar-SA"/>
              </w:rPr>
              <w:t>51.67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1、房屋（平方米）</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其中：办公用房（平方米）</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2、车辆（台、辆）</w:t>
            </w:r>
          </w:p>
        </w:tc>
        <w:tc>
          <w:tcPr>
            <w:tcW w:w="2835" w:type="dxa"/>
            <w:shd w:val="clear" w:color="auto" w:fill="auto"/>
            <w:vAlign w:val="center"/>
          </w:tcPr>
          <w:p>
            <w:pPr>
              <w:jc w:val="center"/>
              <w:rPr>
                <w:rFonts w:hint="eastAsia"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2</w:t>
            </w:r>
          </w:p>
        </w:tc>
        <w:tc>
          <w:tcPr>
            <w:tcW w:w="2835" w:type="dxa"/>
            <w:shd w:val="clear" w:color="auto" w:fill="auto"/>
            <w:vAlign w:val="center"/>
          </w:tcPr>
          <w:p>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27.56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3、单价在50万元以上的设备(台、套)</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其中：单价50万元（含）以上的通用设备</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单价100万元（含）以上的通专用设备</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4、其他固定资产</w:t>
            </w:r>
          </w:p>
        </w:tc>
        <w:tc>
          <w:tcPr>
            <w:tcW w:w="2835" w:type="dxa"/>
            <w:shd w:val="clear" w:color="auto" w:fill="auto"/>
            <w:vAlign w:val="center"/>
          </w:tcPr>
          <w:p>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183</w:t>
            </w:r>
          </w:p>
        </w:tc>
        <w:tc>
          <w:tcPr>
            <w:tcW w:w="2835" w:type="dxa"/>
            <w:shd w:val="clear" w:color="auto" w:fill="auto"/>
            <w:vAlign w:val="center"/>
          </w:tcPr>
          <w:p>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sz w:val="24"/>
                <w:szCs w:val="24"/>
                <w:highlight w:val="none"/>
                <w:lang w:val="en-US" w:eastAsia="zh-CN" w:bidi="ar-SA"/>
              </w:rPr>
              <w:t>24.11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hint="eastAsia" w:ascii="仿宋_GB2312" w:hAnsi="仿宋" w:eastAsia="仿宋_GB2312" w:cs="宋体"/>
                <w:color w:val="000000"/>
                <w:highlight w:val="none"/>
              </w:rPr>
            </w:pPr>
            <w:bookmarkStart w:id="17" w:name="_Toc_3_3_0000000019"/>
          </w:p>
        </w:tc>
        <w:tc>
          <w:tcPr>
            <w:tcW w:w="2835" w:type="dxa"/>
            <w:shd w:val="clear" w:color="auto" w:fill="auto"/>
            <w:vAlign w:val="center"/>
          </w:tcPr>
          <w:p>
            <w:pPr>
              <w:jc w:val="center"/>
              <w:rPr>
                <w:rFonts w:hint="eastAsia" w:ascii="仿宋_GB2312" w:hAnsi="仿宋" w:eastAsia="仿宋_GB2312" w:cs="宋体"/>
                <w:color w:val="000000"/>
                <w:highlight w:val="none"/>
                <w:lang w:val="en-US" w:eastAsia="zh-CN"/>
              </w:rPr>
            </w:pPr>
          </w:p>
        </w:tc>
        <w:tc>
          <w:tcPr>
            <w:tcW w:w="2835" w:type="dxa"/>
            <w:shd w:val="clear" w:color="auto" w:fill="auto"/>
            <w:vAlign w:val="center"/>
          </w:tcPr>
          <w:p>
            <w:pPr>
              <w:jc w:val="center"/>
              <w:rPr>
                <w:rFonts w:hint="eastAsia" w:eastAsia="方正仿宋_GBK" w:cs="Times New Roman"/>
                <w:b w:val="0"/>
                <w:color w:val="000000"/>
                <w:sz w:val="28"/>
                <w:lang w:val="en-US" w:eastAsia="zh-CN"/>
              </w:rPr>
            </w:pPr>
          </w:p>
        </w:tc>
      </w:tr>
    </w:tbl>
    <w:p>
      <w:pPr>
        <w:numPr>
          <w:ilvl w:val="0"/>
          <w:numId w:val="1"/>
        </w:numPr>
        <w:spacing w:before="10" w:after="10" w:line="240" w:lineRule="auto"/>
        <w:ind w:firstLine="640"/>
        <w:jc w:val="left"/>
        <w:outlineLvl w:val="2"/>
        <w:rPr>
          <w:rFonts w:ascii="黑体" w:hAnsi="黑体" w:eastAsia="黑体" w:cs="黑体"/>
          <w:color w:val="000000"/>
          <w:sz w:val="32"/>
        </w:rPr>
      </w:pP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21"/>
      <w:r>
        <w:rPr>
          <w:rFonts w:ascii="方正小标宋_GBK" w:hAnsi="方正小标宋_GBK" w:eastAsia="方正小标宋_GBK" w:cs="方正小标宋_GBK"/>
          <w:b w:val="0"/>
          <w:color w:val="000000"/>
          <w:sz w:val="44"/>
        </w:rPr>
        <w:t>一、保定市莲池区工业和信息化局本级收支预算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4960.25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134.60</w:t>
            </w: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1445.24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5094.85</w:t>
            </w:r>
          </w:p>
        </w:tc>
        <w:tc>
          <w:tcPr>
            <w:tcW w:w="4535" w:type="dxa"/>
            <w:vAlign w:val="center"/>
          </w:tcPr>
          <w:p>
            <w:pPr>
              <w:pStyle w:val="16"/>
            </w:pPr>
            <w:r>
              <w:t>本年支出合计</w:t>
            </w:r>
          </w:p>
        </w:tc>
        <w:tc>
          <w:tcPr>
            <w:tcW w:w="2126" w:type="dxa"/>
            <w:vAlign w:val="center"/>
          </w:tcPr>
          <w:p>
            <w:pPr>
              <w:pStyle w:val="17"/>
            </w:pPr>
            <w:r>
              <w:t>9594.85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4500.00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9594.85</w:t>
            </w:r>
          </w:p>
        </w:tc>
        <w:tc>
          <w:tcPr>
            <w:tcW w:w="4535" w:type="dxa"/>
            <w:vAlign w:val="center"/>
          </w:tcPr>
          <w:p>
            <w:pPr>
              <w:pStyle w:val="16"/>
            </w:pPr>
            <w:r>
              <w:t>支出总计</w:t>
            </w:r>
          </w:p>
        </w:tc>
        <w:tc>
          <w:tcPr>
            <w:tcW w:w="2126" w:type="dxa"/>
            <w:vAlign w:val="center"/>
          </w:tcPr>
          <w:p>
            <w:pPr>
              <w:pStyle w:val="17"/>
            </w:pPr>
            <w:r>
              <w:t>9594.85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9594.85</w:t>
            </w:r>
          </w:p>
        </w:tc>
        <w:tc>
          <w:tcPr>
            <w:tcW w:w="1134" w:type="dxa"/>
            <w:vAlign w:val="center"/>
          </w:tcPr>
          <w:p>
            <w:pPr>
              <w:pStyle w:val="17"/>
            </w:pPr>
            <w:r>
              <w:t>5094.85</w:t>
            </w:r>
          </w:p>
        </w:tc>
        <w:tc>
          <w:tcPr>
            <w:tcW w:w="1134" w:type="dxa"/>
            <w:vAlign w:val="center"/>
          </w:tcPr>
          <w:p>
            <w:pPr>
              <w:pStyle w:val="17"/>
            </w:pPr>
            <w:r>
              <w:t>5094.85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2050399</w:t>
            </w:r>
          </w:p>
        </w:tc>
        <w:tc>
          <w:tcPr>
            <w:tcW w:w="1559" w:type="dxa"/>
            <w:vAlign w:val="center"/>
          </w:tcPr>
          <w:p>
            <w:pPr>
              <w:pStyle w:val="14"/>
            </w:pPr>
            <w:r>
              <w:t>其他职业教育支出</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r>
              <w:t>215.45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302.24</w:t>
            </w:r>
          </w:p>
        </w:tc>
        <w:tc>
          <w:tcPr>
            <w:tcW w:w="1134" w:type="dxa"/>
            <w:vAlign w:val="center"/>
          </w:tcPr>
          <w:p>
            <w:pPr>
              <w:pStyle w:val="13"/>
            </w:pPr>
            <w:r>
              <w:t>302.24</w:t>
            </w:r>
          </w:p>
        </w:tc>
        <w:tc>
          <w:tcPr>
            <w:tcW w:w="1134" w:type="dxa"/>
            <w:vAlign w:val="center"/>
          </w:tcPr>
          <w:p>
            <w:pPr>
              <w:pStyle w:val="13"/>
            </w:pPr>
            <w:r>
              <w:t>302.24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152.00</w:t>
            </w:r>
          </w:p>
        </w:tc>
        <w:tc>
          <w:tcPr>
            <w:tcW w:w="1134" w:type="dxa"/>
            <w:vAlign w:val="center"/>
          </w:tcPr>
          <w:p>
            <w:pPr>
              <w:pStyle w:val="13"/>
            </w:pPr>
            <w:r>
              <w:t>152.00</w:t>
            </w:r>
          </w:p>
        </w:tc>
        <w:tc>
          <w:tcPr>
            <w:tcW w:w="1134" w:type="dxa"/>
            <w:vAlign w:val="center"/>
          </w:tcPr>
          <w:p>
            <w:pPr>
              <w:pStyle w:val="13"/>
            </w:pPr>
            <w:r>
              <w:t>152.00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133.00</w:t>
            </w:r>
          </w:p>
        </w:tc>
        <w:tc>
          <w:tcPr>
            <w:tcW w:w="1134" w:type="dxa"/>
            <w:vAlign w:val="center"/>
          </w:tcPr>
          <w:p>
            <w:pPr>
              <w:pStyle w:val="13"/>
            </w:pPr>
            <w:r>
              <w:t>133.00</w:t>
            </w:r>
          </w:p>
        </w:tc>
        <w:tc>
          <w:tcPr>
            <w:tcW w:w="1134" w:type="dxa"/>
            <w:vAlign w:val="center"/>
          </w:tcPr>
          <w:p>
            <w:pPr>
              <w:pStyle w:val="13"/>
            </w:pPr>
            <w:r>
              <w:t>133.00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r>
              <w:t>146.24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142.32</w:t>
            </w:r>
          </w:p>
        </w:tc>
        <w:tc>
          <w:tcPr>
            <w:tcW w:w="1134" w:type="dxa"/>
            <w:vAlign w:val="center"/>
          </w:tcPr>
          <w:p>
            <w:pPr>
              <w:pStyle w:val="13"/>
            </w:pPr>
            <w:r>
              <w:t>142.32</w:t>
            </w:r>
          </w:p>
        </w:tc>
        <w:tc>
          <w:tcPr>
            <w:tcW w:w="1134" w:type="dxa"/>
            <w:vAlign w:val="center"/>
          </w:tcPr>
          <w:p>
            <w:pPr>
              <w:pStyle w:val="13"/>
            </w:pPr>
            <w:r>
              <w:t>142.32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16.32</w:t>
            </w:r>
          </w:p>
        </w:tc>
        <w:tc>
          <w:tcPr>
            <w:tcW w:w="1134" w:type="dxa"/>
            <w:vAlign w:val="center"/>
          </w:tcPr>
          <w:p>
            <w:pPr>
              <w:pStyle w:val="13"/>
            </w:pPr>
            <w:r>
              <w:t>16.32</w:t>
            </w:r>
          </w:p>
        </w:tc>
        <w:tc>
          <w:tcPr>
            <w:tcW w:w="1134" w:type="dxa"/>
            <w:vAlign w:val="center"/>
          </w:tcPr>
          <w:p>
            <w:pPr>
              <w:pStyle w:val="13"/>
            </w:pPr>
            <w:r>
              <w:t>16.32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r>
              <w:t>126.00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21111</w:t>
            </w:r>
          </w:p>
        </w:tc>
        <w:tc>
          <w:tcPr>
            <w:tcW w:w="1559" w:type="dxa"/>
            <w:vAlign w:val="center"/>
          </w:tcPr>
          <w:p>
            <w:pPr>
              <w:pStyle w:val="14"/>
            </w:pPr>
            <w:r>
              <w:t>污染减排</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2111103</w:t>
            </w:r>
          </w:p>
        </w:tc>
        <w:tc>
          <w:tcPr>
            <w:tcW w:w="1559" w:type="dxa"/>
            <w:vAlign w:val="center"/>
          </w:tcPr>
          <w:p>
            <w:pPr>
              <w:pStyle w:val="14"/>
            </w:pPr>
            <w:r>
              <w:t>减排专项支出</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r>
              <w:t>2840.00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21505</w:t>
            </w:r>
          </w:p>
        </w:tc>
        <w:tc>
          <w:tcPr>
            <w:tcW w:w="1559" w:type="dxa"/>
            <w:vAlign w:val="center"/>
          </w:tcPr>
          <w:p>
            <w:pPr>
              <w:pStyle w:val="14"/>
            </w:pPr>
            <w:r>
              <w:t>工业和信息产业</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r>
              <w:t>1445.24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2150501</w:t>
            </w:r>
          </w:p>
        </w:tc>
        <w:tc>
          <w:tcPr>
            <w:tcW w:w="1559" w:type="dxa"/>
            <w:vAlign w:val="center"/>
          </w:tcPr>
          <w:p>
            <w:pPr>
              <w:pStyle w:val="14"/>
            </w:pPr>
            <w:r>
              <w:t>行政运行</w:t>
            </w:r>
          </w:p>
        </w:tc>
        <w:tc>
          <w:tcPr>
            <w:tcW w:w="1134" w:type="dxa"/>
            <w:vAlign w:val="center"/>
          </w:tcPr>
          <w:p>
            <w:pPr>
              <w:pStyle w:val="13"/>
            </w:pPr>
            <w:r>
              <w:t>173.03</w:t>
            </w:r>
          </w:p>
        </w:tc>
        <w:tc>
          <w:tcPr>
            <w:tcW w:w="1134" w:type="dxa"/>
            <w:vAlign w:val="center"/>
          </w:tcPr>
          <w:p>
            <w:pPr>
              <w:pStyle w:val="13"/>
            </w:pPr>
            <w:r>
              <w:t>173.03</w:t>
            </w:r>
          </w:p>
        </w:tc>
        <w:tc>
          <w:tcPr>
            <w:tcW w:w="1134" w:type="dxa"/>
            <w:vAlign w:val="center"/>
          </w:tcPr>
          <w:p>
            <w:pPr>
              <w:pStyle w:val="13"/>
            </w:pPr>
            <w:r>
              <w:t>173.03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2150502</w:t>
            </w:r>
          </w:p>
        </w:tc>
        <w:tc>
          <w:tcPr>
            <w:tcW w:w="1559" w:type="dxa"/>
            <w:vAlign w:val="center"/>
          </w:tcPr>
          <w:p>
            <w:pPr>
              <w:pStyle w:val="14"/>
            </w:pPr>
            <w:r>
              <w:t>一般行政管理事务</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2150517</w:t>
            </w:r>
          </w:p>
        </w:tc>
        <w:tc>
          <w:tcPr>
            <w:tcW w:w="1559" w:type="dxa"/>
            <w:vAlign w:val="center"/>
          </w:tcPr>
          <w:p>
            <w:pPr>
              <w:pStyle w:val="14"/>
            </w:pPr>
            <w:r>
              <w:t>产业发展</w:t>
            </w:r>
          </w:p>
        </w:tc>
        <w:tc>
          <w:tcPr>
            <w:tcW w:w="1134" w:type="dxa"/>
            <w:vAlign w:val="center"/>
          </w:tcPr>
          <w:p>
            <w:pPr>
              <w:pStyle w:val="13"/>
            </w:pPr>
            <w:r>
              <w:t>1265.21</w:t>
            </w:r>
          </w:p>
        </w:tc>
        <w:tc>
          <w:tcPr>
            <w:tcW w:w="1134" w:type="dxa"/>
            <w:vAlign w:val="center"/>
          </w:tcPr>
          <w:p>
            <w:pPr>
              <w:pStyle w:val="13"/>
            </w:pPr>
            <w:r>
              <w:t>1265.21</w:t>
            </w:r>
          </w:p>
        </w:tc>
        <w:tc>
          <w:tcPr>
            <w:tcW w:w="1134" w:type="dxa"/>
            <w:vAlign w:val="center"/>
          </w:tcPr>
          <w:p>
            <w:pPr>
              <w:pStyle w:val="13"/>
            </w:pPr>
            <w:r>
              <w:t>1265.21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r>
              <w:t>134.60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9594.85</w:t>
            </w:r>
          </w:p>
        </w:tc>
        <w:tc>
          <w:tcPr>
            <w:tcW w:w="1361" w:type="dxa"/>
            <w:vAlign w:val="center"/>
          </w:tcPr>
          <w:p>
            <w:pPr>
              <w:pStyle w:val="17"/>
            </w:pPr>
            <w:r>
              <w:t>360.35</w:t>
            </w:r>
          </w:p>
        </w:tc>
        <w:tc>
          <w:tcPr>
            <w:tcW w:w="1361" w:type="dxa"/>
            <w:vAlign w:val="center"/>
          </w:tcPr>
          <w:p>
            <w:pPr>
              <w:pStyle w:val="17"/>
            </w:pPr>
            <w:r>
              <w:t>9234.50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2050399</w:t>
            </w:r>
          </w:p>
        </w:tc>
        <w:tc>
          <w:tcPr>
            <w:tcW w:w="4535" w:type="dxa"/>
            <w:vAlign w:val="center"/>
          </w:tcPr>
          <w:p>
            <w:pPr>
              <w:pStyle w:val="14"/>
            </w:pPr>
            <w:r>
              <w:t>其他职业教育支出</w:t>
            </w: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r>
              <w:t>215.45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302.24</w:t>
            </w:r>
          </w:p>
        </w:tc>
        <w:tc>
          <w:tcPr>
            <w:tcW w:w="1361" w:type="dxa"/>
            <w:vAlign w:val="center"/>
          </w:tcPr>
          <w:p>
            <w:pPr>
              <w:pStyle w:val="13"/>
            </w:pPr>
            <w:r>
              <w:t>156.00</w:t>
            </w: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152.00</w:t>
            </w:r>
          </w:p>
        </w:tc>
        <w:tc>
          <w:tcPr>
            <w:tcW w:w="1361" w:type="dxa"/>
            <w:vAlign w:val="center"/>
          </w:tcPr>
          <w:p>
            <w:pPr>
              <w:pStyle w:val="13"/>
            </w:pPr>
            <w:r>
              <w:t>152.00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133.00</w:t>
            </w:r>
          </w:p>
        </w:tc>
        <w:tc>
          <w:tcPr>
            <w:tcW w:w="1361" w:type="dxa"/>
            <w:vAlign w:val="center"/>
          </w:tcPr>
          <w:p>
            <w:pPr>
              <w:pStyle w:val="13"/>
            </w:pPr>
            <w:r>
              <w:t>133.00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4.00</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4.00</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r>
              <w:t>146.24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142.32</w:t>
            </w:r>
          </w:p>
        </w:tc>
        <w:tc>
          <w:tcPr>
            <w:tcW w:w="1361" w:type="dxa"/>
            <w:vAlign w:val="center"/>
          </w:tcPr>
          <w:p>
            <w:pPr>
              <w:pStyle w:val="13"/>
            </w:pPr>
            <w:r>
              <w:t>16.32</w:t>
            </w: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16.32</w:t>
            </w:r>
          </w:p>
        </w:tc>
        <w:tc>
          <w:tcPr>
            <w:tcW w:w="1361" w:type="dxa"/>
            <w:vAlign w:val="center"/>
          </w:tcPr>
          <w:p>
            <w:pPr>
              <w:pStyle w:val="13"/>
            </w:pPr>
            <w:r>
              <w:t>16.32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9.00</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r>
              <w:t>126.00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2111103</w:t>
            </w:r>
          </w:p>
        </w:tc>
        <w:tc>
          <w:tcPr>
            <w:tcW w:w="4535" w:type="dxa"/>
            <w:vAlign w:val="center"/>
          </w:tcPr>
          <w:p>
            <w:pPr>
              <w:pStyle w:val="14"/>
            </w:pPr>
            <w:r>
              <w:t>减排专项支出</w:t>
            </w: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r>
              <w:t>2840.00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1445.24</w:t>
            </w:r>
          </w:p>
        </w:tc>
        <w:tc>
          <w:tcPr>
            <w:tcW w:w="1361" w:type="dxa"/>
            <w:vAlign w:val="center"/>
          </w:tcPr>
          <w:p>
            <w:pPr>
              <w:pStyle w:val="13"/>
            </w:pPr>
            <w:r>
              <w:t>173.03</w:t>
            </w:r>
          </w:p>
        </w:tc>
        <w:tc>
          <w:tcPr>
            <w:tcW w:w="1361" w:type="dxa"/>
            <w:vAlign w:val="center"/>
          </w:tcPr>
          <w:p>
            <w:pPr>
              <w:pStyle w:val="13"/>
            </w:pPr>
            <w:r>
              <w:t>1272.21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21505</w:t>
            </w:r>
          </w:p>
        </w:tc>
        <w:tc>
          <w:tcPr>
            <w:tcW w:w="4535" w:type="dxa"/>
            <w:vAlign w:val="center"/>
          </w:tcPr>
          <w:p>
            <w:pPr>
              <w:pStyle w:val="14"/>
            </w:pPr>
            <w:r>
              <w:t>工业和信息产业</w:t>
            </w:r>
          </w:p>
        </w:tc>
        <w:tc>
          <w:tcPr>
            <w:tcW w:w="1361" w:type="dxa"/>
            <w:vAlign w:val="center"/>
          </w:tcPr>
          <w:p>
            <w:pPr>
              <w:pStyle w:val="13"/>
            </w:pPr>
            <w:r>
              <w:t>1445.24</w:t>
            </w:r>
          </w:p>
        </w:tc>
        <w:tc>
          <w:tcPr>
            <w:tcW w:w="1361" w:type="dxa"/>
            <w:vAlign w:val="center"/>
          </w:tcPr>
          <w:p>
            <w:pPr>
              <w:pStyle w:val="13"/>
            </w:pPr>
            <w:r>
              <w:t>173.03</w:t>
            </w:r>
          </w:p>
        </w:tc>
        <w:tc>
          <w:tcPr>
            <w:tcW w:w="1361" w:type="dxa"/>
            <w:vAlign w:val="center"/>
          </w:tcPr>
          <w:p>
            <w:pPr>
              <w:pStyle w:val="13"/>
            </w:pPr>
            <w:r>
              <w:t>1272.21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2150501</w:t>
            </w:r>
          </w:p>
        </w:tc>
        <w:tc>
          <w:tcPr>
            <w:tcW w:w="4535" w:type="dxa"/>
            <w:vAlign w:val="center"/>
          </w:tcPr>
          <w:p>
            <w:pPr>
              <w:pStyle w:val="14"/>
            </w:pPr>
            <w:r>
              <w:t>行政运行</w:t>
            </w:r>
          </w:p>
        </w:tc>
        <w:tc>
          <w:tcPr>
            <w:tcW w:w="1361" w:type="dxa"/>
            <w:vAlign w:val="center"/>
          </w:tcPr>
          <w:p>
            <w:pPr>
              <w:pStyle w:val="13"/>
            </w:pPr>
            <w:r>
              <w:t>173.03</w:t>
            </w:r>
          </w:p>
        </w:tc>
        <w:tc>
          <w:tcPr>
            <w:tcW w:w="1361" w:type="dxa"/>
            <w:vAlign w:val="center"/>
          </w:tcPr>
          <w:p>
            <w:pPr>
              <w:pStyle w:val="13"/>
            </w:pPr>
            <w:r>
              <w:t>173.03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2150502</w:t>
            </w:r>
          </w:p>
        </w:tc>
        <w:tc>
          <w:tcPr>
            <w:tcW w:w="4535" w:type="dxa"/>
            <w:vAlign w:val="center"/>
          </w:tcPr>
          <w:p>
            <w:pPr>
              <w:pStyle w:val="14"/>
            </w:pPr>
            <w:r>
              <w:t>一般行政管理事务</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2150517</w:t>
            </w:r>
          </w:p>
        </w:tc>
        <w:tc>
          <w:tcPr>
            <w:tcW w:w="4535" w:type="dxa"/>
            <w:vAlign w:val="center"/>
          </w:tcPr>
          <w:p>
            <w:pPr>
              <w:pStyle w:val="14"/>
            </w:pPr>
            <w:r>
              <w:t>产业发展</w:t>
            </w:r>
          </w:p>
        </w:tc>
        <w:tc>
          <w:tcPr>
            <w:tcW w:w="1361" w:type="dxa"/>
            <w:vAlign w:val="center"/>
          </w:tcPr>
          <w:p>
            <w:pPr>
              <w:pStyle w:val="13"/>
            </w:pPr>
            <w:r>
              <w:t>1265.21</w:t>
            </w:r>
          </w:p>
        </w:tc>
        <w:tc>
          <w:tcPr>
            <w:tcW w:w="1361" w:type="dxa"/>
            <w:vAlign w:val="center"/>
          </w:tcPr>
          <w:p>
            <w:pPr>
              <w:pStyle w:val="13"/>
            </w:pPr>
          </w:p>
        </w:tc>
        <w:tc>
          <w:tcPr>
            <w:tcW w:w="1361" w:type="dxa"/>
            <w:vAlign w:val="center"/>
          </w:tcPr>
          <w:p>
            <w:pPr>
              <w:pStyle w:val="13"/>
            </w:pPr>
            <w:r>
              <w:t>1265.21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15.00</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r>
              <w:t>134.60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r>
              <w:t>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4960.25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134.60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215.45</w:t>
            </w:r>
          </w:p>
        </w:tc>
        <w:tc>
          <w:tcPr>
            <w:tcW w:w="1474" w:type="dxa"/>
            <w:vAlign w:val="center"/>
          </w:tcPr>
          <w:p>
            <w:pPr>
              <w:pStyle w:val="13"/>
            </w:pPr>
            <w:r>
              <w:t>215.45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302.24</w:t>
            </w:r>
          </w:p>
        </w:tc>
        <w:tc>
          <w:tcPr>
            <w:tcW w:w="1474" w:type="dxa"/>
            <w:vAlign w:val="center"/>
          </w:tcPr>
          <w:p>
            <w:pPr>
              <w:pStyle w:val="13"/>
            </w:pPr>
            <w:r>
              <w:t>302.24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142.32</w:t>
            </w:r>
          </w:p>
        </w:tc>
        <w:tc>
          <w:tcPr>
            <w:tcW w:w="1474" w:type="dxa"/>
            <w:vAlign w:val="center"/>
          </w:tcPr>
          <w:p>
            <w:pPr>
              <w:pStyle w:val="13"/>
            </w:pPr>
            <w:r>
              <w:t>142.32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2840.00</w:t>
            </w:r>
          </w:p>
        </w:tc>
        <w:tc>
          <w:tcPr>
            <w:tcW w:w="1474" w:type="dxa"/>
            <w:vAlign w:val="center"/>
          </w:tcPr>
          <w:p>
            <w:pPr>
              <w:pStyle w:val="13"/>
            </w:pPr>
            <w:r>
              <w:t>2840.00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1445.24</w:t>
            </w:r>
          </w:p>
        </w:tc>
        <w:tc>
          <w:tcPr>
            <w:tcW w:w="1474" w:type="dxa"/>
            <w:vAlign w:val="center"/>
          </w:tcPr>
          <w:p>
            <w:pPr>
              <w:pStyle w:val="13"/>
            </w:pPr>
            <w:r>
              <w:t>1445.24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15.00</w:t>
            </w:r>
          </w:p>
        </w:tc>
        <w:tc>
          <w:tcPr>
            <w:tcW w:w="1474" w:type="dxa"/>
            <w:vAlign w:val="center"/>
          </w:tcPr>
          <w:p>
            <w:pPr>
              <w:pStyle w:val="13"/>
            </w:pPr>
            <w:r>
              <w:t>15.00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134.60</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4500.00</w:t>
            </w:r>
          </w:p>
        </w:tc>
        <w:tc>
          <w:tcPr>
            <w:tcW w:w="1474" w:type="dxa"/>
            <w:vAlign w:val="center"/>
          </w:tcPr>
          <w:p>
            <w:pPr>
              <w:pStyle w:val="13"/>
            </w:pPr>
          </w:p>
        </w:tc>
        <w:tc>
          <w:tcPr>
            <w:tcW w:w="1474" w:type="dxa"/>
            <w:vAlign w:val="center"/>
          </w:tcPr>
          <w:p>
            <w:pPr>
              <w:pStyle w:val="13"/>
            </w:pPr>
            <w:r>
              <w:t>4500.00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5094.85</w:t>
            </w:r>
          </w:p>
        </w:tc>
        <w:tc>
          <w:tcPr>
            <w:tcW w:w="3402" w:type="dxa"/>
            <w:vAlign w:val="center"/>
          </w:tcPr>
          <w:p>
            <w:pPr>
              <w:pStyle w:val="16"/>
            </w:pPr>
            <w:r>
              <w:t>本年支出合计</w:t>
            </w:r>
          </w:p>
        </w:tc>
        <w:tc>
          <w:tcPr>
            <w:tcW w:w="1474" w:type="dxa"/>
            <w:vAlign w:val="center"/>
          </w:tcPr>
          <w:p>
            <w:pPr>
              <w:pStyle w:val="17"/>
            </w:pPr>
            <w:r>
              <w:t>9594.85</w:t>
            </w:r>
          </w:p>
        </w:tc>
        <w:tc>
          <w:tcPr>
            <w:tcW w:w="1474" w:type="dxa"/>
            <w:vAlign w:val="center"/>
          </w:tcPr>
          <w:p>
            <w:pPr>
              <w:pStyle w:val="17"/>
            </w:pPr>
            <w:r>
              <w:t>4960.25</w:t>
            </w:r>
          </w:p>
        </w:tc>
        <w:tc>
          <w:tcPr>
            <w:tcW w:w="1474" w:type="dxa"/>
            <w:vAlign w:val="center"/>
          </w:tcPr>
          <w:p>
            <w:pPr>
              <w:pStyle w:val="17"/>
            </w:pPr>
            <w:r>
              <w:t>4500.00</w:t>
            </w:r>
          </w:p>
        </w:tc>
        <w:tc>
          <w:tcPr>
            <w:tcW w:w="1474" w:type="dxa"/>
            <w:vAlign w:val="center"/>
          </w:tcPr>
          <w:p>
            <w:pPr>
              <w:pStyle w:val="17"/>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4500.00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4500.00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9594.85</w:t>
            </w:r>
          </w:p>
        </w:tc>
        <w:tc>
          <w:tcPr>
            <w:tcW w:w="3402" w:type="dxa"/>
            <w:vAlign w:val="center"/>
          </w:tcPr>
          <w:p>
            <w:pPr>
              <w:pStyle w:val="16"/>
            </w:pPr>
            <w:r>
              <w:t>支出总计</w:t>
            </w:r>
          </w:p>
        </w:tc>
        <w:tc>
          <w:tcPr>
            <w:tcW w:w="1474" w:type="dxa"/>
            <w:vAlign w:val="center"/>
          </w:tcPr>
          <w:p>
            <w:pPr>
              <w:pStyle w:val="17"/>
            </w:pPr>
            <w:r>
              <w:t>9594.85</w:t>
            </w:r>
          </w:p>
        </w:tc>
        <w:tc>
          <w:tcPr>
            <w:tcW w:w="1474" w:type="dxa"/>
            <w:vAlign w:val="center"/>
          </w:tcPr>
          <w:p>
            <w:pPr>
              <w:pStyle w:val="17"/>
            </w:pPr>
            <w:r>
              <w:t>4960.25</w:t>
            </w:r>
          </w:p>
        </w:tc>
        <w:tc>
          <w:tcPr>
            <w:tcW w:w="1474" w:type="dxa"/>
            <w:vAlign w:val="center"/>
          </w:tcPr>
          <w:p>
            <w:pPr>
              <w:pStyle w:val="17"/>
            </w:pPr>
            <w:r>
              <w:t>4500.00</w:t>
            </w:r>
          </w:p>
        </w:tc>
        <w:tc>
          <w:tcPr>
            <w:tcW w:w="1474" w:type="dxa"/>
            <w:vAlign w:val="center"/>
          </w:tcPr>
          <w:p>
            <w:pPr>
              <w:pStyle w:val="17"/>
            </w:pPr>
            <w:r>
              <w:t>134.60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4960.25</w:t>
            </w:r>
          </w:p>
        </w:tc>
        <w:tc>
          <w:tcPr>
            <w:tcW w:w="2551" w:type="dxa"/>
            <w:vAlign w:val="center"/>
          </w:tcPr>
          <w:p>
            <w:pPr>
              <w:pStyle w:val="17"/>
            </w:pPr>
            <w:r>
              <w:t>360.35</w:t>
            </w:r>
          </w:p>
        </w:tc>
        <w:tc>
          <w:tcPr>
            <w:tcW w:w="2551" w:type="dxa"/>
            <w:vAlign w:val="center"/>
          </w:tcPr>
          <w:p>
            <w:pPr>
              <w:pStyle w:val="17"/>
            </w:pPr>
            <w:r>
              <w:t>4599.90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215.45</w:t>
            </w:r>
          </w:p>
        </w:tc>
        <w:tc>
          <w:tcPr>
            <w:tcW w:w="2551" w:type="dxa"/>
            <w:vAlign w:val="center"/>
          </w:tcPr>
          <w:p>
            <w:pPr>
              <w:pStyle w:val="13"/>
            </w:pPr>
          </w:p>
        </w:tc>
        <w:tc>
          <w:tcPr>
            <w:tcW w:w="2551"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215.45</w:t>
            </w:r>
          </w:p>
        </w:tc>
        <w:tc>
          <w:tcPr>
            <w:tcW w:w="2551" w:type="dxa"/>
            <w:vAlign w:val="center"/>
          </w:tcPr>
          <w:p>
            <w:pPr>
              <w:pStyle w:val="13"/>
            </w:pPr>
          </w:p>
        </w:tc>
        <w:tc>
          <w:tcPr>
            <w:tcW w:w="2551"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2050399</w:t>
            </w:r>
          </w:p>
        </w:tc>
        <w:tc>
          <w:tcPr>
            <w:tcW w:w="4535" w:type="dxa"/>
            <w:vAlign w:val="center"/>
          </w:tcPr>
          <w:p>
            <w:pPr>
              <w:pStyle w:val="14"/>
            </w:pPr>
            <w:r>
              <w:t>其他职业教育支出</w:t>
            </w:r>
          </w:p>
        </w:tc>
        <w:tc>
          <w:tcPr>
            <w:tcW w:w="2551" w:type="dxa"/>
            <w:vAlign w:val="center"/>
          </w:tcPr>
          <w:p>
            <w:pPr>
              <w:pStyle w:val="13"/>
            </w:pPr>
            <w:r>
              <w:t>215.45</w:t>
            </w:r>
          </w:p>
        </w:tc>
        <w:tc>
          <w:tcPr>
            <w:tcW w:w="2551" w:type="dxa"/>
            <w:vAlign w:val="center"/>
          </w:tcPr>
          <w:p>
            <w:pPr>
              <w:pStyle w:val="13"/>
            </w:pPr>
          </w:p>
        </w:tc>
        <w:tc>
          <w:tcPr>
            <w:tcW w:w="2551" w:type="dxa"/>
            <w:vAlign w:val="center"/>
          </w:tcPr>
          <w:p>
            <w:pPr>
              <w:pStyle w:val="13"/>
            </w:pPr>
            <w:r>
              <w:t>215.45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302.24</w:t>
            </w:r>
          </w:p>
        </w:tc>
        <w:tc>
          <w:tcPr>
            <w:tcW w:w="2551" w:type="dxa"/>
            <w:vAlign w:val="center"/>
          </w:tcPr>
          <w:p>
            <w:pPr>
              <w:pStyle w:val="13"/>
            </w:pPr>
            <w:r>
              <w:t>156.00</w:t>
            </w:r>
          </w:p>
        </w:tc>
        <w:tc>
          <w:tcPr>
            <w:tcW w:w="2551" w:type="dxa"/>
            <w:vAlign w:val="center"/>
          </w:tcPr>
          <w:p>
            <w:pPr>
              <w:pStyle w:val="13"/>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152.00</w:t>
            </w:r>
          </w:p>
        </w:tc>
        <w:tc>
          <w:tcPr>
            <w:tcW w:w="2551" w:type="dxa"/>
            <w:vAlign w:val="center"/>
          </w:tcPr>
          <w:p>
            <w:pPr>
              <w:pStyle w:val="13"/>
            </w:pPr>
            <w:r>
              <w:t>152.00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133.00</w:t>
            </w:r>
          </w:p>
        </w:tc>
        <w:tc>
          <w:tcPr>
            <w:tcW w:w="2551" w:type="dxa"/>
            <w:vAlign w:val="center"/>
          </w:tcPr>
          <w:p>
            <w:pPr>
              <w:pStyle w:val="13"/>
            </w:pPr>
            <w:r>
              <w:t>133.00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146.24</w:t>
            </w:r>
          </w:p>
        </w:tc>
        <w:tc>
          <w:tcPr>
            <w:tcW w:w="2551" w:type="dxa"/>
            <w:vAlign w:val="center"/>
          </w:tcPr>
          <w:p>
            <w:pPr>
              <w:pStyle w:val="13"/>
            </w:pPr>
          </w:p>
        </w:tc>
        <w:tc>
          <w:tcPr>
            <w:tcW w:w="2551" w:type="dxa"/>
            <w:vAlign w:val="center"/>
          </w:tcPr>
          <w:p>
            <w:pPr>
              <w:pStyle w:val="13"/>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146.24</w:t>
            </w:r>
          </w:p>
        </w:tc>
        <w:tc>
          <w:tcPr>
            <w:tcW w:w="2551" w:type="dxa"/>
            <w:vAlign w:val="center"/>
          </w:tcPr>
          <w:p>
            <w:pPr>
              <w:pStyle w:val="13"/>
            </w:pPr>
          </w:p>
        </w:tc>
        <w:tc>
          <w:tcPr>
            <w:tcW w:w="2551" w:type="dxa"/>
            <w:vAlign w:val="center"/>
          </w:tcPr>
          <w:p>
            <w:pPr>
              <w:pStyle w:val="13"/>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142.32</w:t>
            </w:r>
          </w:p>
        </w:tc>
        <w:tc>
          <w:tcPr>
            <w:tcW w:w="2551" w:type="dxa"/>
            <w:vAlign w:val="center"/>
          </w:tcPr>
          <w:p>
            <w:pPr>
              <w:pStyle w:val="13"/>
            </w:pPr>
            <w:r>
              <w:t>16.32</w:t>
            </w:r>
          </w:p>
        </w:tc>
        <w:tc>
          <w:tcPr>
            <w:tcW w:w="2551" w:type="dxa"/>
            <w:vAlign w:val="center"/>
          </w:tcPr>
          <w:p>
            <w:pPr>
              <w:pStyle w:val="13"/>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16.32</w:t>
            </w:r>
          </w:p>
        </w:tc>
        <w:tc>
          <w:tcPr>
            <w:tcW w:w="2551" w:type="dxa"/>
            <w:vAlign w:val="center"/>
          </w:tcPr>
          <w:p>
            <w:pPr>
              <w:pStyle w:val="13"/>
            </w:pPr>
            <w:r>
              <w:t>16.32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126.00</w:t>
            </w:r>
          </w:p>
        </w:tc>
        <w:tc>
          <w:tcPr>
            <w:tcW w:w="2551" w:type="dxa"/>
            <w:vAlign w:val="center"/>
          </w:tcPr>
          <w:p>
            <w:pPr>
              <w:pStyle w:val="13"/>
            </w:pPr>
          </w:p>
        </w:tc>
        <w:tc>
          <w:tcPr>
            <w:tcW w:w="2551" w:type="dxa"/>
            <w:vAlign w:val="center"/>
          </w:tcPr>
          <w:p>
            <w:pPr>
              <w:pStyle w:val="13"/>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126.00</w:t>
            </w:r>
          </w:p>
        </w:tc>
        <w:tc>
          <w:tcPr>
            <w:tcW w:w="2551" w:type="dxa"/>
            <w:vAlign w:val="center"/>
          </w:tcPr>
          <w:p>
            <w:pPr>
              <w:pStyle w:val="13"/>
            </w:pPr>
          </w:p>
        </w:tc>
        <w:tc>
          <w:tcPr>
            <w:tcW w:w="2551" w:type="dxa"/>
            <w:vAlign w:val="center"/>
          </w:tcPr>
          <w:p>
            <w:pPr>
              <w:pStyle w:val="13"/>
            </w:pPr>
            <w:r>
              <w:t>126.00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2840.00</w:t>
            </w:r>
          </w:p>
        </w:tc>
        <w:tc>
          <w:tcPr>
            <w:tcW w:w="2551" w:type="dxa"/>
            <w:vAlign w:val="center"/>
          </w:tcPr>
          <w:p>
            <w:pPr>
              <w:pStyle w:val="13"/>
            </w:pPr>
          </w:p>
        </w:tc>
        <w:tc>
          <w:tcPr>
            <w:tcW w:w="2551"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21111</w:t>
            </w:r>
          </w:p>
        </w:tc>
        <w:tc>
          <w:tcPr>
            <w:tcW w:w="4535" w:type="dxa"/>
            <w:vAlign w:val="center"/>
          </w:tcPr>
          <w:p>
            <w:pPr>
              <w:pStyle w:val="14"/>
            </w:pPr>
            <w:r>
              <w:t>污染减排</w:t>
            </w:r>
          </w:p>
        </w:tc>
        <w:tc>
          <w:tcPr>
            <w:tcW w:w="2551" w:type="dxa"/>
            <w:vAlign w:val="center"/>
          </w:tcPr>
          <w:p>
            <w:pPr>
              <w:pStyle w:val="13"/>
            </w:pPr>
            <w:r>
              <w:t>2840.00</w:t>
            </w:r>
          </w:p>
        </w:tc>
        <w:tc>
          <w:tcPr>
            <w:tcW w:w="2551" w:type="dxa"/>
            <w:vAlign w:val="center"/>
          </w:tcPr>
          <w:p>
            <w:pPr>
              <w:pStyle w:val="13"/>
            </w:pPr>
          </w:p>
        </w:tc>
        <w:tc>
          <w:tcPr>
            <w:tcW w:w="2551"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2111103</w:t>
            </w:r>
          </w:p>
        </w:tc>
        <w:tc>
          <w:tcPr>
            <w:tcW w:w="4535" w:type="dxa"/>
            <w:vAlign w:val="center"/>
          </w:tcPr>
          <w:p>
            <w:pPr>
              <w:pStyle w:val="14"/>
            </w:pPr>
            <w:r>
              <w:t>减排专项支出</w:t>
            </w:r>
          </w:p>
        </w:tc>
        <w:tc>
          <w:tcPr>
            <w:tcW w:w="2551" w:type="dxa"/>
            <w:vAlign w:val="center"/>
          </w:tcPr>
          <w:p>
            <w:pPr>
              <w:pStyle w:val="13"/>
            </w:pPr>
            <w:r>
              <w:t>2840.00</w:t>
            </w:r>
          </w:p>
        </w:tc>
        <w:tc>
          <w:tcPr>
            <w:tcW w:w="2551" w:type="dxa"/>
            <w:vAlign w:val="center"/>
          </w:tcPr>
          <w:p>
            <w:pPr>
              <w:pStyle w:val="13"/>
            </w:pPr>
          </w:p>
        </w:tc>
        <w:tc>
          <w:tcPr>
            <w:tcW w:w="2551" w:type="dxa"/>
            <w:vAlign w:val="center"/>
          </w:tcPr>
          <w:p>
            <w:pPr>
              <w:pStyle w:val="13"/>
            </w:pPr>
            <w:r>
              <w:t>2840.00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1445.24</w:t>
            </w:r>
          </w:p>
        </w:tc>
        <w:tc>
          <w:tcPr>
            <w:tcW w:w="2551" w:type="dxa"/>
            <w:vAlign w:val="center"/>
          </w:tcPr>
          <w:p>
            <w:pPr>
              <w:pStyle w:val="13"/>
            </w:pPr>
            <w:r>
              <w:t>173.03</w:t>
            </w:r>
          </w:p>
        </w:tc>
        <w:tc>
          <w:tcPr>
            <w:tcW w:w="2551" w:type="dxa"/>
            <w:vAlign w:val="center"/>
          </w:tcPr>
          <w:p>
            <w:pPr>
              <w:pStyle w:val="13"/>
            </w:pPr>
            <w:r>
              <w:t>1272.21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21505</w:t>
            </w:r>
          </w:p>
        </w:tc>
        <w:tc>
          <w:tcPr>
            <w:tcW w:w="4535" w:type="dxa"/>
            <w:vAlign w:val="center"/>
          </w:tcPr>
          <w:p>
            <w:pPr>
              <w:pStyle w:val="14"/>
            </w:pPr>
            <w:r>
              <w:t>工业和信息产业</w:t>
            </w:r>
          </w:p>
        </w:tc>
        <w:tc>
          <w:tcPr>
            <w:tcW w:w="2551" w:type="dxa"/>
            <w:vAlign w:val="center"/>
          </w:tcPr>
          <w:p>
            <w:pPr>
              <w:pStyle w:val="13"/>
            </w:pPr>
            <w:r>
              <w:t>1445.24</w:t>
            </w:r>
          </w:p>
        </w:tc>
        <w:tc>
          <w:tcPr>
            <w:tcW w:w="2551" w:type="dxa"/>
            <w:vAlign w:val="center"/>
          </w:tcPr>
          <w:p>
            <w:pPr>
              <w:pStyle w:val="13"/>
            </w:pPr>
            <w:r>
              <w:t>173.03</w:t>
            </w:r>
          </w:p>
        </w:tc>
        <w:tc>
          <w:tcPr>
            <w:tcW w:w="2551" w:type="dxa"/>
            <w:vAlign w:val="center"/>
          </w:tcPr>
          <w:p>
            <w:pPr>
              <w:pStyle w:val="13"/>
            </w:pPr>
            <w:r>
              <w:t>1272.21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pPr>
            <w:r>
              <w:t>173.03</w:t>
            </w:r>
          </w:p>
        </w:tc>
        <w:tc>
          <w:tcPr>
            <w:tcW w:w="2551" w:type="dxa"/>
            <w:vAlign w:val="center"/>
          </w:tcPr>
          <w:p>
            <w:pPr>
              <w:pStyle w:val="13"/>
            </w:pPr>
            <w:r>
              <w:t>173.03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2150502</w:t>
            </w:r>
          </w:p>
        </w:tc>
        <w:tc>
          <w:tcPr>
            <w:tcW w:w="4535" w:type="dxa"/>
            <w:vAlign w:val="center"/>
          </w:tcPr>
          <w:p>
            <w:pPr>
              <w:pStyle w:val="14"/>
            </w:pPr>
            <w:r>
              <w:t>一般行政管理事务</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2150517</w:t>
            </w:r>
          </w:p>
        </w:tc>
        <w:tc>
          <w:tcPr>
            <w:tcW w:w="4535" w:type="dxa"/>
            <w:vAlign w:val="center"/>
          </w:tcPr>
          <w:p>
            <w:pPr>
              <w:pStyle w:val="14"/>
            </w:pPr>
            <w:r>
              <w:t>产业发展</w:t>
            </w:r>
          </w:p>
        </w:tc>
        <w:tc>
          <w:tcPr>
            <w:tcW w:w="2551" w:type="dxa"/>
            <w:vAlign w:val="center"/>
          </w:tcPr>
          <w:p>
            <w:pPr>
              <w:pStyle w:val="13"/>
            </w:pPr>
            <w:r>
              <w:t>1265.21</w:t>
            </w:r>
          </w:p>
        </w:tc>
        <w:tc>
          <w:tcPr>
            <w:tcW w:w="2551" w:type="dxa"/>
            <w:vAlign w:val="center"/>
          </w:tcPr>
          <w:p>
            <w:pPr>
              <w:pStyle w:val="13"/>
            </w:pPr>
          </w:p>
        </w:tc>
        <w:tc>
          <w:tcPr>
            <w:tcW w:w="2551" w:type="dxa"/>
            <w:vAlign w:val="center"/>
          </w:tcPr>
          <w:p>
            <w:pPr>
              <w:pStyle w:val="13"/>
            </w:pPr>
            <w:r>
              <w:t>1265.21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360.35</w:t>
            </w:r>
          </w:p>
        </w:tc>
        <w:tc>
          <w:tcPr>
            <w:tcW w:w="2551" w:type="dxa"/>
            <w:vAlign w:val="center"/>
          </w:tcPr>
          <w:p>
            <w:pPr>
              <w:pStyle w:val="17"/>
            </w:pPr>
            <w:r>
              <w:t>331.34</w:t>
            </w:r>
          </w:p>
        </w:tc>
        <w:tc>
          <w:tcPr>
            <w:tcW w:w="2551" w:type="dxa"/>
            <w:vAlign w:val="center"/>
          </w:tcPr>
          <w:p>
            <w:pPr>
              <w:pStyle w:val="17"/>
            </w:pPr>
            <w:r>
              <w:t>29.01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192.34</w:t>
            </w:r>
          </w:p>
        </w:tc>
        <w:tc>
          <w:tcPr>
            <w:tcW w:w="2551" w:type="dxa"/>
            <w:vAlign w:val="center"/>
          </w:tcPr>
          <w:p>
            <w:pPr>
              <w:pStyle w:val="13"/>
            </w:pPr>
            <w:r>
              <w:t>192.34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46.02</w:t>
            </w:r>
          </w:p>
        </w:tc>
        <w:tc>
          <w:tcPr>
            <w:tcW w:w="2551" w:type="dxa"/>
            <w:vAlign w:val="center"/>
          </w:tcPr>
          <w:p>
            <w:pPr>
              <w:pStyle w:val="13"/>
            </w:pPr>
            <w:r>
              <w:t>46.02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34.00</w:t>
            </w:r>
          </w:p>
        </w:tc>
        <w:tc>
          <w:tcPr>
            <w:tcW w:w="2551" w:type="dxa"/>
            <w:vAlign w:val="center"/>
          </w:tcPr>
          <w:p>
            <w:pPr>
              <w:pStyle w:val="13"/>
            </w:pPr>
            <w:r>
              <w:t>34.00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6.32</w:t>
            </w:r>
          </w:p>
        </w:tc>
        <w:tc>
          <w:tcPr>
            <w:tcW w:w="2551" w:type="dxa"/>
            <w:vAlign w:val="center"/>
          </w:tcPr>
          <w:p>
            <w:pPr>
              <w:pStyle w:val="13"/>
            </w:pPr>
            <w:r>
              <w:t>6.32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29.01</w:t>
            </w:r>
          </w:p>
        </w:tc>
        <w:tc>
          <w:tcPr>
            <w:tcW w:w="2551" w:type="dxa"/>
            <w:vAlign w:val="center"/>
          </w:tcPr>
          <w:p>
            <w:pPr>
              <w:pStyle w:val="13"/>
            </w:pPr>
          </w:p>
        </w:tc>
        <w:tc>
          <w:tcPr>
            <w:tcW w:w="2551" w:type="dxa"/>
            <w:vAlign w:val="center"/>
          </w:tcPr>
          <w:p>
            <w:pPr>
              <w:pStyle w:val="13"/>
            </w:pPr>
            <w:r>
              <w:t>29.01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6.80</w:t>
            </w:r>
          </w:p>
        </w:tc>
        <w:tc>
          <w:tcPr>
            <w:tcW w:w="2551" w:type="dxa"/>
            <w:vAlign w:val="center"/>
          </w:tcPr>
          <w:p>
            <w:pPr>
              <w:pStyle w:val="13"/>
            </w:pPr>
          </w:p>
        </w:tc>
        <w:tc>
          <w:tcPr>
            <w:tcW w:w="2551" w:type="dxa"/>
            <w:vAlign w:val="center"/>
          </w:tcPr>
          <w:p>
            <w:pPr>
              <w:pStyle w:val="13"/>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1.06</w:t>
            </w:r>
          </w:p>
        </w:tc>
        <w:tc>
          <w:tcPr>
            <w:tcW w:w="2551" w:type="dxa"/>
            <w:vAlign w:val="center"/>
          </w:tcPr>
          <w:p>
            <w:pPr>
              <w:pStyle w:val="13"/>
            </w:pPr>
          </w:p>
        </w:tc>
        <w:tc>
          <w:tcPr>
            <w:tcW w:w="2551" w:type="dxa"/>
            <w:vAlign w:val="center"/>
          </w:tcPr>
          <w:p>
            <w:pPr>
              <w:pStyle w:val="13"/>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5.41</w:t>
            </w:r>
          </w:p>
        </w:tc>
        <w:tc>
          <w:tcPr>
            <w:tcW w:w="2551" w:type="dxa"/>
            <w:vAlign w:val="center"/>
          </w:tcPr>
          <w:p>
            <w:pPr>
              <w:pStyle w:val="13"/>
            </w:pPr>
          </w:p>
        </w:tc>
        <w:tc>
          <w:tcPr>
            <w:tcW w:w="2551" w:type="dxa"/>
            <w:vAlign w:val="center"/>
          </w:tcPr>
          <w:p>
            <w:pPr>
              <w:pStyle w:val="13"/>
            </w:pPr>
            <w:r>
              <w:t>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3.58</w:t>
            </w:r>
          </w:p>
        </w:tc>
        <w:tc>
          <w:tcPr>
            <w:tcW w:w="2551" w:type="dxa"/>
            <w:vAlign w:val="center"/>
          </w:tcPr>
          <w:p>
            <w:pPr>
              <w:pStyle w:val="13"/>
            </w:pPr>
          </w:p>
        </w:tc>
        <w:tc>
          <w:tcPr>
            <w:tcW w:w="2551" w:type="dxa"/>
            <w:vAlign w:val="center"/>
          </w:tcPr>
          <w:p>
            <w:pPr>
              <w:pStyle w:val="13"/>
            </w:pPr>
            <w:r>
              <w:t>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139.00</w:t>
            </w:r>
          </w:p>
        </w:tc>
        <w:tc>
          <w:tcPr>
            <w:tcW w:w="2551" w:type="dxa"/>
            <w:vAlign w:val="center"/>
          </w:tcPr>
          <w:p>
            <w:pPr>
              <w:pStyle w:val="13"/>
            </w:pPr>
            <w:r>
              <w:t>139.00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133.00</w:t>
            </w:r>
          </w:p>
        </w:tc>
        <w:tc>
          <w:tcPr>
            <w:tcW w:w="2551" w:type="dxa"/>
            <w:vAlign w:val="center"/>
          </w:tcPr>
          <w:p>
            <w:pPr>
              <w:pStyle w:val="13"/>
            </w:pPr>
            <w:r>
              <w:t>133.00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4500.00</w:t>
            </w:r>
          </w:p>
        </w:tc>
        <w:tc>
          <w:tcPr>
            <w:tcW w:w="2551" w:type="dxa"/>
            <w:vAlign w:val="center"/>
          </w:tcPr>
          <w:p>
            <w:pPr>
              <w:pStyle w:val="17"/>
            </w:pPr>
          </w:p>
        </w:tc>
        <w:tc>
          <w:tcPr>
            <w:tcW w:w="2551" w:type="dxa"/>
            <w:vAlign w:val="center"/>
          </w:tcPr>
          <w:p>
            <w:pPr>
              <w:pStyle w:val="17"/>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4500.00</w:t>
            </w:r>
          </w:p>
        </w:tc>
        <w:tc>
          <w:tcPr>
            <w:tcW w:w="2551" w:type="dxa"/>
            <w:vAlign w:val="center"/>
          </w:tcPr>
          <w:p>
            <w:pPr>
              <w:pStyle w:val="13"/>
            </w:pPr>
          </w:p>
        </w:tc>
        <w:tc>
          <w:tcPr>
            <w:tcW w:w="2551" w:type="dxa"/>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134.60</w:t>
            </w:r>
          </w:p>
        </w:tc>
        <w:tc>
          <w:tcPr>
            <w:tcW w:w="2551" w:type="dxa"/>
            <w:vAlign w:val="center"/>
          </w:tcPr>
          <w:p>
            <w:pPr>
              <w:pStyle w:val="17"/>
            </w:pPr>
          </w:p>
        </w:tc>
        <w:tc>
          <w:tcPr>
            <w:tcW w:w="2551" w:type="dxa"/>
            <w:vAlign w:val="center"/>
          </w:tcPr>
          <w:p>
            <w:pPr>
              <w:pStyle w:val="17"/>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134.60</w:t>
            </w:r>
          </w:p>
        </w:tc>
        <w:tc>
          <w:tcPr>
            <w:tcW w:w="2551" w:type="dxa"/>
            <w:vAlign w:val="center"/>
          </w:tcPr>
          <w:p>
            <w:pPr>
              <w:pStyle w:val="13"/>
            </w:pPr>
          </w:p>
        </w:tc>
        <w:tc>
          <w:tcPr>
            <w:tcW w:w="2551"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134.60</w:t>
            </w:r>
          </w:p>
        </w:tc>
        <w:tc>
          <w:tcPr>
            <w:tcW w:w="2551" w:type="dxa"/>
            <w:vAlign w:val="center"/>
          </w:tcPr>
          <w:p>
            <w:pPr>
              <w:pStyle w:val="13"/>
            </w:pPr>
          </w:p>
        </w:tc>
        <w:tc>
          <w:tcPr>
            <w:tcW w:w="2551" w:type="dxa"/>
            <w:vAlign w:val="center"/>
          </w:tcPr>
          <w:p>
            <w:pPr>
              <w:pStyle w:val="13"/>
            </w:pPr>
            <w:r>
              <w:t>134.60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134.60</w:t>
            </w:r>
          </w:p>
        </w:tc>
        <w:tc>
          <w:tcPr>
            <w:tcW w:w="2551" w:type="dxa"/>
            <w:vAlign w:val="center"/>
          </w:tcPr>
          <w:p>
            <w:pPr>
              <w:pStyle w:val="13"/>
            </w:pPr>
          </w:p>
        </w:tc>
        <w:tc>
          <w:tcPr>
            <w:tcW w:w="2551" w:type="dxa"/>
            <w:vAlign w:val="center"/>
          </w:tcPr>
          <w:p>
            <w:pPr>
              <w:pStyle w:val="13"/>
            </w:pPr>
            <w:r>
              <w:t>134.60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保定市莲池区工业和信息化局本级2025年单位预算信息公开情况说明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按照《中华人民共和国预算法》、《地方预决算公开操作规程》和《关于进一步推进预算公开工作的实施意见》规定，现将保定市莲池区工业和信息化局本级2025年单位预算公开如下：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（一）贯彻执行国家有关工业、信息化发展的方针政策、法律规章，指导工业发展，积极推进全区工业化和工业企业的信息化。</w:t>
      </w:r>
    </w:p>
    <w:p>
      <w:pPr>
        <w:pStyle w:val="31"/>
      </w:pPr>
      <w:r>
        <w:t>（二）对工业企业，特别是规上企业实施具体服务指导，按照全市计划要求，提出年度工业生产指导性目标。</w:t>
      </w:r>
    </w:p>
    <w:p>
      <w:pPr>
        <w:pStyle w:val="31"/>
      </w:pPr>
      <w:r>
        <w:t>（三）指导引进的重大技术和重大成套装备的消化创新；指导工业企业技术改造工作；具体负责新建工业项目及技改工业项目的备案工作，协助企业争取上级各类专项扶持资金，落实各方面扶持政策。</w:t>
      </w:r>
    </w:p>
    <w:p>
      <w:pPr>
        <w:pStyle w:val="31"/>
      </w:pPr>
      <w:r>
        <w:t>（四）负责检测分析全区工业经济运行态势，对工业经济运行进行分析、跟踪、汇总，组织解决工业经济运行的有关重大问题；研究提出工业经济运行方面的建议。</w:t>
      </w:r>
    </w:p>
    <w:p>
      <w:pPr>
        <w:pStyle w:val="31"/>
      </w:pPr>
      <w:r>
        <w:t>（五）负责指导和协调中小企业的发展改革，推动优势主导产业快速发展。</w:t>
      </w:r>
    </w:p>
    <w:p>
      <w:pPr>
        <w:pStyle w:val="31"/>
      </w:pPr>
      <w:r>
        <w:t>（六）统筹推进工业信息化工作，按市局要求落实全区工业信息化建设重大事项，审议全区信息产业的发展并报上级信息产业部门批复。</w:t>
      </w:r>
    </w:p>
    <w:p>
      <w:pPr>
        <w:pStyle w:val="31"/>
      </w:pPr>
      <w:r>
        <w:t>（七）开展工业企业信息化的对外合作与交流。</w:t>
      </w:r>
    </w:p>
    <w:p>
      <w:pPr>
        <w:pStyle w:val="31"/>
      </w:pPr>
      <w:r>
        <w:t>（八）负责区属工业企业的党建、工会、妇联、共青团等日常工作。</w:t>
      </w:r>
    </w:p>
    <w:p>
      <w:pPr>
        <w:pStyle w:val="31"/>
      </w:pPr>
      <w:r>
        <w:t>（九）负责对区属国有企业监督管理，履行政府出资人义务。</w:t>
      </w:r>
    </w:p>
    <w:p>
      <w:pPr>
        <w:pStyle w:val="31"/>
      </w:pPr>
      <w:r>
        <w:t>（十）负责推进全区国有企业改革、改制工作；协调处理企业改革、改制工作中的重大问题；负责协助区国资办对国有资产保值、增值进行监督。</w:t>
      </w:r>
    </w:p>
    <w:p>
      <w:pPr>
        <w:pStyle w:val="31"/>
        <w:rPr>
          <w:rFonts w:eastAsiaTheme="minorEastAsia"/>
          <w:lang w:val="uk-UA" w:eastAsia="zh-CN"/>
        </w:rPr>
      </w:pPr>
      <w:r>
        <w:t>（十一）承办区政府交办的其他事项。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保定市莲池区工业和信息化局本级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60" w:lineRule="exact"/>
        <w:ind w:firstLine="640" w:firstLineChars="200"/>
        <w:rPr>
          <w:rFonts w:ascii="黑体" w:hAnsi="黑体" w:eastAsia="黑体" w:cs="黑体"/>
          <w:color w:val="000000"/>
          <w:sz w:val="32"/>
        </w:rPr>
      </w:pPr>
      <w:r>
        <w:rPr>
          <w:rFonts w:hint="eastAsia" w:ascii="仿宋" w:hAnsi="仿宋" w:eastAsia="仿宋" w:cs="宋体"/>
          <w:color w:val="000000" w:themeColor="text1"/>
          <w:sz w:val="32"/>
          <w:szCs w:val="32"/>
          <w:highlight w:val="none"/>
          <w:lang w:eastAsia="zh-CN"/>
        </w:rPr>
        <w:t>按照预算管理有关规定，目前单位预算的编制实行综合预算管理，即全部收入和支出都反映在预算中。莲池区</w:t>
      </w:r>
      <w:r>
        <w:rPr>
          <w:rFonts w:hint="eastAsia" w:ascii="仿宋" w:hAnsi="仿宋" w:eastAsia="仿宋" w:cs="宋体"/>
          <w:color w:val="000000" w:themeColor="text1"/>
          <w:sz w:val="32"/>
          <w:szCs w:val="32"/>
          <w:highlight w:val="none"/>
          <w:lang w:val="en-US" w:eastAsia="zh-CN"/>
        </w:rPr>
        <w:t>工业和信息化局</w:t>
      </w:r>
      <w:r>
        <w:rPr>
          <w:rFonts w:hint="eastAsia" w:ascii="仿宋" w:hAnsi="仿宋" w:eastAsia="仿宋" w:cs="宋体"/>
          <w:color w:val="000000" w:themeColor="text1"/>
          <w:sz w:val="32"/>
          <w:szCs w:val="32"/>
          <w:highlight w:val="none"/>
          <w:lang w:eastAsia="zh-CN"/>
        </w:rPr>
        <w:t>机关及所属事业单位的收支包含在单位预算中。</w:t>
      </w:r>
    </w:p>
    <w:p>
      <w:pPr>
        <w:spacing w:line="560" w:lineRule="exact"/>
        <w:ind w:firstLine="640" w:firstLineChars="200"/>
        <w:rPr>
          <w:rFonts w:ascii="仿宋" w:hAnsi="仿宋" w:eastAsia="仿宋" w:cs="宋体"/>
          <w:color w:val="0000FF"/>
          <w:sz w:val="32"/>
          <w:szCs w:val="32"/>
          <w:highlight w:val="none"/>
        </w:rPr>
      </w:pPr>
      <w:r>
        <w:rPr>
          <w:rFonts w:hint="eastAsia" w:ascii="仿宋" w:hAnsi="仿宋" w:eastAsia="仿宋" w:cs="宋体"/>
          <w:color w:val="000000" w:themeColor="text1"/>
          <w:sz w:val="32"/>
          <w:szCs w:val="32"/>
          <w:highlight w:val="none"/>
          <w:lang w:val="en-US" w:eastAsia="zh-CN"/>
        </w:rPr>
        <w:t>1</w:t>
      </w:r>
      <w:r>
        <w:rPr>
          <w:rFonts w:hint="eastAsia" w:ascii="仿宋" w:hAnsi="仿宋" w:eastAsia="仿宋" w:cs="宋体"/>
          <w:color w:val="000000" w:themeColor="text1"/>
          <w:sz w:val="32"/>
          <w:szCs w:val="32"/>
          <w:highlight w:val="none"/>
          <w:lang w:eastAsia="zh-CN"/>
        </w:rPr>
        <w:t>、</w:t>
      </w:r>
      <w:r>
        <w:rPr>
          <w:rFonts w:hint="eastAsia" w:ascii="仿宋" w:hAnsi="仿宋" w:eastAsia="仿宋" w:cs="宋体"/>
          <w:color w:val="000000" w:themeColor="text1"/>
          <w:sz w:val="32"/>
          <w:szCs w:val="32"/>
          <w:highlight w:val="none"/>
        </w:rPr>
        <w:t>收入说明</w:t>
      </w:r>
    </w:p>
    <w:p>
      <w:pPr>
        <w:spacing w:line="560" w:lineRule="exact"/>
        <w:ind w:firstLine="960" w:firstLineChars="300"/>
        <w:rPr>
          <w:rFonts w:hint="eastAsia" w:ascii="仿宋" w:hAnsi="仿宋" w:eastAsia="仿宋" w:cs="宋体"/>
          <w:color w:val="000000" w:themeColor="text1"/>
          <w:sz w:val="32"/>
          <w:szCs w:val="32"/>
          <w:highlight w:val="none"/>
          <w:lang w:eastAsia="zh-CN"/>
        </w:rPr>
      </w:pPr>
      <w:r>
        <w:rPr>
          <w:rFonts w:hint="eastAsia" w:ascii="仿宋" w:hAnsi="仿宋" w:eastAsia="仿宋" w:cs="宋体"/>
          <w:color w:val="000000" w:themeColor="text1"/>
          <w:sz w:val="32"/>
          <w:szCs w:val="32"/>
          <w:highlight w:val="none"/>
        </w:rPr>
        <w:t>反映本部门当年全部收入. 2025年预算收入</w:t>
      </w:r>
      <w:r>
        <w:rPr>
          <w:rFonts w:hint="eastAsia" w:ascii="仿宋" w:hAnsi="仿宋" w:eastAsia="仿宋" w:cs="宋体"/>
          <w:color w:val="000000" w:themeColor="text1"/>
          <w:sz w:val="32"/>
          <w:szCs w:val="32"/>
          <w:highlight w:val="none"/>
          <w:lang w:val="en-US" w:eastAsia="zh-CN"/>
        </w:rPr>
        <w:t>9594.85</w:t>
      </w:r>
      <w:r>
        <w:rPr>
          <w:rFonts w:hint="eastAsia" w:ascii="仿宋" w:hAnsi="仿宋" w:eastAsia="仿宋" w:cs="宋体"/>
          <w:color w:val="000000" w:themeColor="text1"/>
          <w:sz w:val="32"/>
          <w:szCs w:val="32"/>
          <w:highlight w:val="none"/>
        </w:rPr>
        <w:t>万元,其中:一般公共预算收入</w:t>
      </w:r>
      <w:r>
        <w:rPr>
          <w:rFonts w:hint="eastAsia" w:ascii="仿宋" w:hAnsi="仿宋" w:eastAsia="仿宋" w:cs="宋体"/>
          <w:color w:val="000000" w:themeColor="text1"/>
          <w:sz w:val="32"/>
          <w:szCs w:val="32"/>
          <w:highlight w:val="none"/>
          <w:lang w:val="en-US" w:eastAsia="zh-CN"/>
        </w:rPr>
        <w:t>4960.25</w:t>
      </w:r>
      <w:r>
        <w:rPr>
          <w:rFonts w:hint="eastAsia" w:ascii="仿宋" w:hAnsi="仿宋" w:eastAsia="仿宋" w:cs="宋体"/>
          <w:color w:val="000000" w:themeColor="text1"/>
          <w:sz w:val="32"/>
          <w:szCs w:val="32"/>
          <w:highlight w:val="none"/>
        </w:rPr>
        <w:t>万元,</w:t>
      </w:r>
      <w:r>
        <w:rPr>
          <w:rFonts w:hint="eastAsia" w:ascii="仿宋" w:hAnsi="仿宋" w:eastAsia="仿宋" w:cs="宋体"/>
          <w:color w:val="000000" w:themeColor="text1"/>
          <w:sz w:val="32"/>
          <w:szCs w:val="32"/>
          <w:highlight w:val="none"/>
          <w:lang w:val="en-US" w:eastAsia="zh-CN"/>
        </w:rPr>
        <w:t>政府性</w:t>
      </w:r>
      <w:r>
        <w:rPr>
          <w:rFonts w:hint="eastAsia" w:ascii="仿宋" w:hAnsi="仿宋" w:eastAsia="仿宋" w:cs="宋体"/>
          <w:color w:val="000000" w:themeColor="text1"/>
          <w:sz w:val="32"/>
          <w:szCs w:val="32"/>
          <w:highlight w:val="none"/>
        </w:rPr>
        <w:t>基金预算收入</w:t>
      </w:r>
      <w:r>
        <w:rPr>
          <w:rFonts w:hint="eastAsia" w:ascii="仿宋" w:hAnsi="仿宋" w:eastAsia="仿宋" w:cs="宋体"/>
          <w:color w:val="000000" w:themeColor="text1"/>
          <w:sz w:val="32"/>
          <w:szCs w:val="32"/>
          <w:highlight w:val="none"/>
          <w:lang w:val="en-US" w:eastAsia="zh-CN"/>
        </w:rPr>
        <w:t>0</w:t>
      </w:r>
      <w:r>
        <w:rPr>
          <w:rFonts w:hint="eastAsia" w:ascii="仿宋" w:hAnsi="仿宋" w:eastAsia="仿宋" w:cs="宋体"/>
          <w:color w:val="000000" w:themeColor="text1"/>
          <w:sz w:val="32"/>
          <w:szCs w:val="32"/>
          <w:highlight w:val="none"/>
        </w:rPr>
        <w:t>万元, 国有资本经营预算收入</w:t>
      </w:r>
      <w:r>
        <w:rPr>
          <w:rFonts w:hint="eastAsia" w:ascii="仿宋" w:hAnsi="仿宋" w:eastAsia="仿宋" w:cs="宋体"/>
          <w:color w:val="000000" w:themeColor="text1"/>
          <w:sz w:val="32"/>
          <w:szCs w:val="32"/>
          <w:highlight w:val="none"/>
          <w:lang w:val="en-US" w:eastAsia="zh-CN"/>
        </w:rPr>
        <w:t>134.6</w:t>
      </w:r>
      <w:r>
        <w:rPr>
          <w:rFonts w:hint="eastAsia" w:ascii="仿宋" w:hAnsi="仿宋" w:eastAsia="仿宋" w:cs="宋体"/>
          <w:color w:val="000000" w:themeColor="text1"/>
          <w:sz w:val="32"/>
          <w:szCs w:val="32"/>
          <w:highlight w:val="none"/>
        </w:rPr>
        <w:t>万元, 财政专户核拔收入0.00万元, 单位资金收入0.00万元, 上年结转结余</w:t>
      </w:r>
      <w:r>
        <w:rPr>
          <w:rFonts w:hint="eastAsia" w:ascii="仿宋" w:hAnsi="仿宋" w:eastAsia="仿宋" w:cs="宋体"/>
          <w:color w:val="000000" w:themeColor="text1"/>
          <w:sz w:val="32"/>
          <w:szCs w:val="32"/>
          <w:highlight w:val="none"/>
          <w:lang w:val="en-US" w:eastAsia="zh-CN"/>
        </w:rPr>
        <w:t>4500</w:t>
      </w:r>
      <w:r>
        <w:rPr>
          <w:rFonts w:hint="eastAsia" w:ascii="仿宋" w:hAnsi="仿宋" w:eastAsia="仿宋" w:cs="宋体"/>
          <w:color w:val="000000" w:themeColor="text1"/>
          <w:sz w:val="32"/>
          <w:szCs w:val="32"/>
          <w:highlight w:val="none"/>
        </w:rPr>
        <w:t>万元</w:t>
      </w:r>
      <w:r>
        <w:rPr>
          <w:rFonts w:hint="eastAsia" w:ascii="仿宋" w:hAnsi="仿宋" w:eastAsia="仿宋" w:cs="宋体"/>
          <w:color w:val="000000" w:themeColor="text1"/>
          <w:sz w:val="32"/>
          <w:szCs w:val="32"/>
          <w:highlight w:val="none"/>
          <w:lang w:eastAsia="zh-CN"/>
        </w:rPr>
        <w:t>。</w:t>
      </w:r>
    </w:p>
    <w:p>
      <w:pPr>
        <w:spacing w:line="560" w:lineRule="exact"/>
        <w:ind w:firstLine="640" w:firstLineChars="200"/>
        <w:rPr>
          <w:rFonts w:ascii="仿宋" w:hAnsi="仿宋" w:eastAsia="仿宋" w:cs="宋体"/>
          <w:color w:val="000000" w:themeColor="text1"/>
          <w:sz w:val="32"/>
          <w:szCs w:val="32"/>
          <w:highlight w:val="none"/>
        </w:rPr>
      </w:pPr>
      <w:r>
        <w:rPr>
          <w:rFonts w:hint="eastAsia" w:ascii="仿宋" w:hAnsi="仿宋" w:eastAsia="仿宋" w:cs="宋体"/>
          <w:color w:val="000000" w:themeColor="text1"/>
          <w:sz w:val="32"/>
          <w:szCs w:val="32"/>
          <w:highlight w:val="none"/>
          <w:lang w:val="en-US" w:eastAsia="zh-CN"/>
        </w:rPr>
        <w:t>2</w:t>
      </w:r>
      <w:r>
        <w:rPr>
          <w:rFonts w:hint="eastAsia" w:ascii="仿宋" w:hAnsi="仿宋" w:eastAsia="仿宋" w:cs="宋体"/>
          <w:color w:val="000000" w:themeColor="text1"/>
          <w:sz w:val="32"/>
          <w:szCs w:val="32"/>
          <w:highlight w:val="none"/>
          <w:lang w:eastAsia="zh-CN"/>
        </w:rPr>
        <w:t>、</w:t>
      </w:r>
      <w:r>
        <w:rPr>
          <w:rFonts w:hint="eastAsia" w:ascii="仿宋" w:hAnsi="仿宋" w:eastAsia="仿宋" w:cs="宋体"/>
          <w:color w:val="000000" w:themeColor="text1"/>
          <w:sz w:val="32"/>
          <w:szCs w:val="32"/>
          <w:highlight w:val="none"/>
        </w:rPr>
        <w:t>支出说明</w:t>
      </w:r>
    </w:p>
    <w:p>
      <w:pPr>
        <w:spacing w:line="560" w:lineRule="exact"/>
        <w:ind w:firstLine="640" w:firstLineChars="200"/>
        <w:rPr>
          <w:rFonts w:hint="default" w:ascii="仿宋" w:hAnsi="仿宋" w:eastAsia="仿宋" w:cs="宋体"/>
          <w:color w:val="000000" w:themeColor="text1"/>
          <w:sz w:val="32"/>
          <w:szCs w:val="32"/>
          <w:highlight w:val="none"/>
          <w:lang w:val="en-US" w:eastAsia="zh-CN"/>
        </w:rPr>
      </w:pPr>
      <w:r>
        <w:rPr>
          <w:rFonts w:hint="eastAsia" w:ascii="仿宋" w:hAnsi="仿宋" w:eastAsia="仿宋" w:cs="宋体"/>
          <w:color w:val="000000" w:themeColor="text1"/>
          <w:sz w:val="32"/>
          <w:szCs w:val="32"/>
          <w:highlight w:val="none"/>
        </w:rPr>
        <w:t>收支预算总表支出栏、基本支出表、项目支出表按经济分类和支出功能分类科目编制, 反映莲池区</w:t>
      </w:r>
      <w:r>
        <w:rPr>
          <w:rFonts w:hint="eastAsia" w:ascii="仿宋" w:hAnsi="仿宋" w:eastAsia="仿宋" w:cs="宋体"/>
          <w:color w:val="000000" w:themeColor="text1"/>
          <w:sz w:val="32"/>
          <w:szCs w:val="32"/>
          <w:highlight w:val="none"/>
          <w:lang w:val="en-US" w:eastAsia="zh-CN"/>
        </w:rPr>
        <w:t>工业和信息化局</w:t>
      </w:r>
      <w:r>
        <w:rPr>
          <w:rFonts w:hint="eastAsia" w:ascii="仿宋" w:hAnsi="仿宋" w:eastAsia="仿宋" w:cs="宋体"/>
          <w:color w:val="000000" w:themeColor="text1"/>
          <w:sz w:val="32"/>
          <w:szCs w:val="32"/>
          <w:highlight w:val="none"/>
        </w:rPr>
        <w:t>年度部门预算中支出预算的总体情况。2025年支出预算</w:t>
      </w:r>
      <w:r>
        <w:rPr>
          <w:rFonts w:hint="eastAsia" w:ascii="仿宋" w:hAnsi="仿宋" w:eastAsia="仿宋" w:cs="宋体"/>
          <w:color w:val="000000" w:themeColor="text1"/>
          <w:sz w:val="32"/>
          <w:szCs w:val="32"/>
          <w:highlight w:val="none"/>
          <w:lang w:val="en-US" w:eastAsia="zh-CN"/>
        </w:rPr>
        <w:t>9594.85</w:t>
      </w:r>
      <w:r>
        <w:rPr>
          <w:rFonts w:hint="eastAsia" w:ascii="仿宋" w:hAnsi="仿宋" w:eastAsia="仿宋" w:cs="宋体"/>
          <w:color w:val="000000" w:themeColor="text1"/>
          <w:sz w:val="32"/>
          <w:szCs w:val="32"/>
          <w:highlight w:val="none"/>
        </w:rPr>
        <w:t>万元,其中基本支出</w:t>
      </w:r>
      <w:r>
        <w:rPr>
          <w:rFonts w:hint="eastAsia" w:ascii="仿宋" w:hAnsi="仿宋" w:eastAsia="仿宋" w:cs="宋体"/>
          <w:color w:val="000000" w:themeColor="text1"/>
          <w:sz w:val="32"/>
          <w:szCs w:val="32"/>
          <w:highlight w:val="none"/>
          <w:lang w:val="en-US" w:eastAsia="zh-CN"/>
        </w:rPr>
        <w:t>360.35</w:t>
      </w:r>
      <w:r>
        <w:rPr>
          <w:rFonts w:hint="eastAsia" w:ascii="仿宋" w:hAnsi="仿宋" w:eastAsia="仿宋" w:cs="宋体"/>
          <w:color w:val="000000" w:themeColor="text1"/>
          <w:sz w:val="32"/>
          <w:szCs w:val="32"/>
          <w:highlight w:val="none"/>
        </w:rPr>
        <w:t>万元, 包括人员经费</w:t>
      </w:r>
      <w:r>
        <w:rPr>
          <w:rFonts w:hint="eastAsia" w:ascii="仿宋" w:hAnsi="仿宋" w:eastAsia="仿宋" w:cs="宋体"/>
          <w:color w:val="000000" w:themeColor="text1"/>
          <w:sz w:val="32"/>
          <w:szCs w:val="32"/>
          <w:highlight w:val="none"/>
          <w:lang w:val="en-US" w:eastAsia="zh-CN"/>
        </w:rPr>
        <w:t>331.34</w:t>
      </w:r>
      <w:r>
        <w:rPr>
          <w:rFonts w:hint="eastAsia" w:ascii="仿宋" w:hAnsi="仿宋" w:eastAsia="仿宋" w:cs="宋体"/>
          <w:color w:val="000000" w:themeColor="text1"/>
          <w:sz w:val="32"/>
          <w:szCs w:val="32"/>
          <w:highlight w:val="none"/>
        </w:rPr>
        <w:t>万元和日常公用经费</w:t>
      </w:r>
      <w:r>
        <w:rPr>
          <w:rFonts w:hint="eastAsia" w:ascii="仿宋" w:hAnsi="仿宋" w:eastAsia="仿宋" w:cs="宋体"/>
          <w:color w:val="000000" w:themeColor="text1"/>
          <w:sz w:val="32"/>
          <w:szCs w:val="32"/>
          <w:highlight w:val="none"/>
          <w:lang w:val="en-US" w:eastAsia="zh-CN"/>
        </w:rPr>
        <w:t>29.01</w:t>
      </w:r>
      <w:r>
        <w:rPr>
          <w:rFonts w:hint="eastAsia" w:ascii="仿宋" w:hAnsi="仿宋" w:eastAsia="仿宋" w:cs="宋体"/>
          <w:color w:val="000000" w:themeColor="text1"/>
          <w:sz w:val="32"/>
          <w:szCs w:val="32"/>
          <w:highlight w:val="none"/>
        </w:rPr>
        <w:t>万元; 项目支出</w:t>
      </w:r>
      <w:r>
        <w:rPr>
          <w:rFonts w:hint="eastAsia" w:ascii="仿宋" w:hAnsi="仿宋" w:eastAsia="仿宋" w:cs="宋体"/>
          <w:color w:val="000000" w:themeColor="text1"/>
          <w:sz w:val="32"/>
          <w:szCs w:val="32"/>
          <w:highlight w:val="none"/>
          <w:lang w:val="en-US" w:eastAsia="zh-CN"/>
        </w:rPr>
        <w:t>9234.5</w:t>
      </w:r>
      <w:r>
        <w:rPr>
          <w:rFonts w:hint="eastAsia" w:ascii="仿宋" w:hAnsi="仿宋" w:eastAsia="仿宋" w:cs="宋体"/>
          <w:color w:val="000000" w:themeColor="text1"/>
          <w:sz w:val="32"/>
          <w:szCs w:val="32"/>
          <w:highlight w:val="none"/>
        </w:rPr>
        <w:t>万元,主要为</w:t>
      </w:r>
      <w:r>
        <w:rPr>
          <w:rFonts w:hint="eastAsia" w:ascii="仿宋" w:hAnsi="仿宋" w:eastAsia="仿宋" w:cs="宋体"/>
          <w:color w:val="000000" w:themeColor="text1"/>
          <w:sz w:val="32"/>
          <w:szCs w:val="32"/>
          <w:highlight w:val="none"/>
          <w:lang w:eastAsia="zh-CN"/>
        </w:rPr>
        <w:t>：</w:t>
      </w:r>
      <w:r>
        <w:rPr>
          <w:rFonts w:hint="eastAsia" w:ascii="仿宋" w:hAnsi="仿宋" w:eastAsia="仿宋" w:cs="宋体"/>
          <w:color w:val="000000" w:themeColor="text1"/>
          <w:sz w:val="32"/>
          <w:szCs w:val="32"/>
          <w:highlight w:val="none"/>
          <w:lang w:val="en-US" w:eastAsia="zh-CN"/>
        </w:rPr>
        <w:t>节能减排项目资金2840万元；工业和信息产业补助资金1265.21万元；城乡电网改造项目资金4500万元；国有企业退休人员社会化管理补助资金134.6万元；职教幼教补助资金215.45万元；离休干部医保统筹126万元；离休干部医保统筹区级配套资金140万元；离休干部及建国前老工人春节慰问0.24万元；困难职工春节慰问6万元；综合业务费7万元。</w:t>
      </w:r>
    </w:p>
    <w:p>
      <w:pPr>
        <w:spacing w:line="560" w:lineRule="exact"/>
        <w:ind w:firstLine="640" w:firstLineChars="200"/>
        <w:rPr>
          <w:rFonts w:ascii="仿宋" w:hAnsi="仿宋" w:eastAsia="仿宋" w:cs="宋体"/>
          <w:color w:val="000000" w:themeColor="text1"/>
          <w:sz w:val="32"/>
          <w:szCs w:val="32"/>
          <w:highlight w:val="none"/>
        </w:rPr>
      </w:pPr>
      <w:r>
        <w:rPr>
          <w:rFonts w:hint="eastAsia" w:ascii="仿宋" w:hAnsi="仿宋" w:eastAsia="仿宋" w:cs="宋体"/>
          <w:color w:val="000000" w:themeColor="text1"/>
          <w:sz w:val="32"/>
          <w:szCs w:val="32"/>
          <w:highlight w:val="none"/>
          <w:lang w:val="en-US" w:eastAsia="zh-CN"/>
        </w:rPr>
        <w:t>3</w:t>
      </w:r>
      <w:r>
        <w:rPr>
          <w:rFonts w:hint="eastAsia" w:ascii="仿宋" w:hAnsi="仿宋" w:eastAsia="仿宋" w:cs="宋体"/>
          <w:color w:val="000000" w:themeColor="text1"/>
          <w:sz w:val="32"/>
          <w:szCs w:val="32"/>
          <w:highlight w:val="none"/>
        </w:rPr>
        <w:t>、比上年增减情况</w:t>
      </w:r>
    </w:p>
    <w:p>
      <w:pPr>
        <w:spacing w:line="560" w:lineRule="exact"/>
        <w:ind w:firstLine="640" w:firstLineChars="200"/>
        <w:rPr>
          <w:rFonts w:hint="default" w:ascii="仿宋" w:hAnsi="仿宋" w:eastAsia="仿宋" w:cs="宋体"/>
          <w:color w:val="000000" w:themeColor="text1"/>
          <w:sz w:val="32"/>
          <w:szCs w:val="32"/>
          <w:highlight w:val="none"/>
          <w:lang w:val="en-US" w:eastAsia="zh-CN"/>
        </w:rPr>
      </w:pPr>
      <w:r>
        <w:rPr>
          <w:rFonts w:hint="eastAsia" w:ascii="仿宋" w:hAnsi="仿宋" w:eastAsia="仿宋" w:cs="宋体"/>
          <w:color w:val="000000" w:themeColor="text1"/>
          <w:sz w:val="32"/>
          <w:szCs w:val="32"/>
          <w:highlight w:val="none"/>
        </w:rPr>
        <w:t>2025年预算收支安排</w:t>
      </w:r>
      <w:r>
        <w:rPr>
          <w:rFonts w:hint="eastAsia" w:ascii="仿宋" w:hAnsi="仿宋" w:eastAsia="仿宋" w:cs="宋体"/>
          <w:color w:val="000000" w:themeColor="text1"/>
          <w:sz w:val="32"/>
          <w:szCs w:val="32"/>
          <w:highlight w:val="none"/>
          <w:lang w:val="en-US" w:eastAsia="zh-CN"/>
        </w:rPr>
        <w:t>9594.85</w:t>
      </w:r>
      <w:r>
        <w:rPr>
          <w:rFonts w:hint="eastAsia" w:ascii="仿宋" w:hAnsi="仿宋" w:eastAsia="仿宋" w:cs="宋体"/>
          <w:color w:val="000000" w:themeColor="text1"/>
          <w:sz w:val="32"/>
          <w:szCs w:val="32"/>
          <w:highlight w:val="none"/>
        </w:rPr>
        <w:t>万元, 较2024年预算</w:t>
      </w:r>
      <w:r>
        <w:rPr>
          <w:rFonts w:hint="eastAsia" w:ascii="仿宋" w:hAnsi="仿宋" w:eastAsia="仿宋" w:cs="宋体"/>
          <w:color w:val="000000" w:themeColor="text1"/>
          <w:sz w:val="32"/>
          <w:szCs w:val="32"/>
          <w:highlight w:val="none"/>
          <w:lang w:val="en-US" w:eastAsia="zh-CN"/>
        </w:rPr>
        <w:t>增加8883.85</w:t>
      </w:r>
      <w:r>
        <w:rPr>
          <w:rFonts w:hint="eastAsia" w:ascii="仿宋" w:hAnsi="仿宋" w:eastAsia="仿宋" w:cs="宋体"/>
          <w:color w:val="000000" w:themeColor="text1"/>
          <w:sz w:val="32"/>
          <w:szCs w:val="32"/>
          <w:highlight w:val="none"/>
        </w:rPr>
        <w:t>万元, 其中: 基本支出</w:t>
      </w:r>
      <w:r>
        <w:rPr>
          <w:rFonts w:hint="eastAsia" w:ascii="仿宋" w:hAnsi="仿宋" w:eastAsia="仿宋" w:cs="宋体"/>
          <w:color w:val="000000" w:themeColor="text1"/>
          <w:sz w:val="32"/>
          <w:szCs w:val="32"/>
          <w:highlight w:val="none"/>
          <w:lang w:val="en-US" w:eastAsia="zh-CN"/>
        </w:rPr>
        <w:t>增加2.58</w:t>
      </w:r>
      <w:r>
        <w:rPr>
          <w:rFonts w:hint="eastAsia" w:ascii="仿宋" w:hAnsi="仿宋" w:eastAsia="仿宋" w:cs="宋体"/>
          <w:color w:val="000000" w:themeColor="text1"/>
          <w:sz w:val="32"/>
          <w:szCs w:val="32"/>
          <w:highlight w:val="none"/>
        </w:rPr>
        <w:t>万元,主要为:人员经费</w:t>
      </w:r>
      <w:r>
        <w:rPr>
          <w:rFonts w:hint="eastAsia" w:ascii="仿宋" w:hAnsi="仿宋" w:eastAsia="仿宋" w:cs="宋体"/>
          <w:color w:val="000000" w:themeColor="text1"/>
          <w:sz w:val="32"/>
          <w:szCs w:val="32"/>
          <w:highlight w:val="none"/>
          <w:lang w:val="en-US" w:eastAsia="zh-CN"/>
        </w:rPr>
        <w:t>减少1.01万元，</w:t>
      </w:r>
      <w:r>
        <w:rPr>
          <w:rFonts w:hint="eastAsia" w:ascii="仿宋" w:hAnsi="仿宋" w:eastAsia="仿宋" w:cs="宋体"/>
          <w:color w:val="000000" w:themeColor="text1"/>
          <w:sz w:val="32"/>
          <w:szCs w:val="32"/>
          <w:highlight w:val="none"/>
        </w:rPr>
        <w:t>日常公用经费</w:t>
      </w:r>
      <w:r>
        <w:rPr>
          <w:rFonts w:hint="eastAsia" w:ascii="仿宋" w:hAnsi="仿宋" w:eastAsia="仿宋" w:cs="宋体"/>
          <w:color w:val="000000" w:themeColor="text1"/>
          <w:sz w:val="32"/>
          <w:szCs w:val="32"/>
          <w:highlight w:val="none"/>
          <w:lang w:eastAsia="zh-CN"/>
        </w:rPr>
        <w:t>增加</w:t>
      </w:r>
      <w:r>
        <w:rPr>
          <w:rFonts w:hint="eastAsia" w:ascii="仿宋" w:hAnsi="仿宋" w:eastAsia="仿宋" w:cs="宋体"/>
          <w:color w:val="000000" w:themeColor="text1"/>
          <w:sz w:val="32"/>
          <w:szCs w:val="32"/>
          <w:highlight w:val="none"/>
          <w:lang w:val="en-US" w:eastAsia="zh-CN"/>
        </w:rPr>
        <w:t>3.59万元。</w:t>
      </w:r>
    </w:p>
    <w:p>
      <w:pPr>
        <w:spacing w:line="560" w:lineRule="exact"/>
        <w:ind w:firstLine="640" w:firstLineChars="200"/>
        <w:rPr>
          <w:rFonts w:hint="eastAsia" w:ascii="仿宋" w:hAnsi="仿宋" w:eastAsia="仿宋" w:cs="宋体"/>
          <w:color w:val="000000" w:themeColor="text1"/>
          <w:sz w:val="32"/>
          <w:szCs w:val="32"/>
          <w:highlight w:val="none"/>
        </w:rPr>
      </w:pPr>
      <w:r>
        <w:rPr>
          <w:rFonts w:hint="eastAsia" w:ascii="仿宋" w:hAnsi="仿宋" w:eastAsia="仿宋" w:cs="宋体"/>
          <w:color w:val="000000" w:themeColor="text1"/>
          <w:sz w:val="32"/>
          <w:szCs w:val="32"/>
          <w:highlight w:val="none"/>
        </w:rPr>
        <w:t>项目支出</w:t>
      </w:r>
      <w:r>
        <w:rPr>
          <w:rFonts w:hint="eastAsia" w:ascii="仿宋" w:hAnsi="仿宋" w:eastAsia="仿宋" w:cs="宋体"/>
          <w:color w:val="000000" w:themeColor="text1"/>
          <w:sz w:val="32"/>
          <w:szCs w:val="32"/>
          <w:highlight w:val="none"/>
          <w:lang w:val="en-US" w:eastAsia="zh-CN"/>
        </w:rPr>
        <w:t>增加8881.27</w:t>
      </w:r>
      <w:r>
        <w:rPr>
          <w:rFonts w:hint="eastAsia" w:ascii="仿宋" w:hAnsi="仿宋" w:eastAsia="仿宋" w:cs="宋体"/>
          <w:color w:val="000000" w:themeColor="text1"/>
          <w:sz w:val="32"/>
          <w:szCs w:val="32"/>
          <w:highlight w:val="none"/>
        </w:rPr>
        <w:t>万元, 主要为:</w:t>
      </w:r>
      <w:r>
        <w:rPr>
          <w:rFonts w:hint="eastAsia" w:ascii="仿宋" w:hAnsi="仿宋" w:eastAsia="仿宋" w:cs="宋体"/>
          <w:color w:val="000000" w:themeColor="text1"/>
          <w:sz w:val="32"/>
          <w:szCs w:val="32"/>
          <w:highlight w:val="none"/>
          <w:lang w:val="en-US" w:eastAsia="zh-CN"/>
        </w:rPr>
        <w:t>节能减排项目资金2840万元；工业和信息产业补助资金1265.21万元；城乡电网改造项目资金4500万元；国有企业退休人员社会化管理补助资金134.6万元；职教幼教补助资金减少9.45万元；离休干部医保统筹126万元；离休干部及建国前老工人春节慰问</w:t>
      </w:r>
      <w:r>
        <w:rPr>
          <w:rFonts w:hint="eastAsia" w:ascii="仿宋" w:hAnsi="仿宋" w:eastAsia="仿宋" w:cs="宋体"/>
          <w:color w:val="000000" w:themeColor="text1"/>
          <w:sz w:val="32"/>
          <w:szCs w:val="32"/>
          <w:highlight w:val="none"/>
          <w:lang w:eastAsia="zh-CN"/>
        </w:rPr>
        <w:t>减少</w:t>
      </w:r>
      <w:r>
        <w:rPr>
          <w:rFonts w:hint="eastAsia" w:ascii="仿宋" w:hAnsi="仿宋" w:eastAsia="仿宋" w:cs="宋体"/>
          <w:color w:val="000000" w:themeColor="text1"/>
          <w:sz w:val="32"/>
          <w:szCs w:val="32"/>
          <w:highlight w:val="none"/>
          <w:lang w:val="en-US" w:eastAsia="zh-CN"/>
        </w:rPr>
        <w:t>0.09</w:t>
      </w:r>
      <w:r>
        <w:rPr>
          <w:rFonts w:hint="eastAsia" w:ascii="仿宋" w:hAnsi="仿宋" w:eastAsia="仿宋" w:cs="宋体"/>
          <w:color w:val="000000" w:themeColor="text1"/>
          <w:sz w:val="32"/>
          <w:szCs w:val="32"/>
          <w:highlight w:val="none"/>
          <w:lang w:eastAsia="zh-CN"/>
        </w:rPr>
        <w:t>万元；退役军人管理事务减少</w:t>
      </w:r>
      <w:r>
        <w:rPr>
          <w:rFonts w:hint="eastAsia" w:ascii="仿宋" w:hAnsi="仿宋" w:eastAsia="仿宋" w:cs="宋体"/>
          <w:color w:val="000000" w:themeColor="text1"/>
          <w:sz w:val="32"/>
          <w:szCs w:val="32"/>
          <w:highlight w:val="none"/>
          <w:lang w:val="en-US" w:eastAsia="zh-CN"/>
        </w:rPr>
        <w:t>139.25</w:t>
      </w:r>
      <w:r>
        <w:rPr>
          <w:rFonts w:hint="eastAsia" w:ascii="仿宋" w:hAnsi="仿宋" w:eastAsia="仿宋" w:cs="宋体"/>
          <w:color w:val="000000" w:themeColor="text1"/>
          <w:sz w:val="32"/>
          <w:szCs w:val="32"/>
          <w:highlight w:val="none"/>
          <w:lang w:eastAsia="zh-CN"/>
        </w:rPr>
        <w:t>万元；</w:t>
      </w:r>
      <w:r>
        <w:rPr>
          <w:rFonts w:hint="eastAsia" w:ascii="仿宋" w:hAnsi="仿宋" w:eastAsia="仿宋" w:cs="宋体"/>
          <w:color w:val="000000" w:themeColor="text1"/>
          <w:sz w:val="32"/>
          <w:szCs w:val="32"/>
          <w:highlight w:val="none"/>
          <w:lang w:val="en-US" w:eastAsia="zh-CN"/>
        </w:rPr>
        <w:t>优抚医疗减少0.96万元；离休干部医保统筹区级配套资金减少25万元。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360" w:lineRule="auto"/>
        <w:ind w:firstLine="640" w:firstLineChars="200"/>
        <w:outlineLvl w:val="2"/>
      </w:pPr>
      <w:r>
        <w:rPr>
          <w:rFonts w:hint="eastAsia" w:ascii="仿宋" w:hAnsi="仿宋" w:eastAsia="仿宋" w:cs="宋体"/>
          <w:color w:val="000000"/>
          <w:sz w:val="32"/>
          <w:szCs w:val="32"/>
          <w:highlight w:val="none"/>
        </w:rPr>
        <w:t>20</w:t>
      </w:r>
      <w:r>
        <w:rPr>
          <w:rFonts w:ascii="仿宋" w:hAnsi="仿宋" w:eastAsia="仿宋" w:cs="宋体"/>
          <w:color w:val="000000"/>
          <w:sz w:val="32"/>
          <w:szCs w:val="32"/>
          <w:highlight w:val="none"/>
        </w:rPr>
        <w:t>2</w:t>
      </w:r>
      <w:r>
        <w:rPr>
          <w:rFonts w:hint="eastAsia" w:ascii="仿宋" w:hAnsi="仿宋" w:eastAsia="仿宋" w:cs="宋体"/>
          <w:color w:val="000000"/>
          <w:sz w:val="32"/>
          <w:szCs w:val="32"/>
          <w:highlight w:val="none"/>
          <w:lang w:val="en-US" w:eastAsia="zh-CN"/>
        </w:rPr>
        <w:t>5</w:t>
      </w:r>
      <w:r>
        <w:rPr>
          <w:rFonts w:ascii="仿宋" w:hAnsi="仿宋" w:eastAsia="仿宋" w:cs="宋体"/>
          <w:color w:val="000000"/>
          <w:sz w:val="32"/>
          <w:szCs w:val="32"/>
          <w:highlight w:val="none"/>
        </w:rPr>
        <w:t>年</w:t>
      </w:r>
      <w:r>
        <w:rPr>
          <w:rFonts w:hint="eastAsia" w:ascii="仿宋" w:hAnsi="仿宋" w:eastAsia="仿宋" w:cs="宋体"/>
          <w:color w:val="000000"/>
          <w:sz w:val="32"/>
          <w:szCs w:val="32"/>
          <w:highlight w:val="none"/>
        </w:rPr>
        <w:t>我局机关运行经费为</w:t>
      </w:r>
      <w:r>
        <w:rPr>
          <w:rFonts w:hint="eastAsia" w:ascii="仿宋" w:hAnsi="仿宋" w:eastAsia="仿宋" w:cs="宋体"/>
          <w:color w:val="000000"/>
          <w:sz w:val="32"/>
          <w:szCs w:val="32"/>
          <w:highlight w:val="none"/>
          <w:lang w:val="en-US" w:eastAsia="zh-CN"/>
        </w:rPr>
        <w:t>29.01</w:t>
      </w:r>
      <w:r>
        <w:rPr>
          <w:rFonts w:hint="eastAsia" w:ascii="仿宋" w:hAnsi="仿宋" w:eastAsia="仿宋" w:cs="宋体"/>
          <w:color w:val="000000"/>
          <w:sz w:val="32"/>
          <w:szCs w:val="32"/>
          <w:highlight w:val="none"/>
        </w:rPr>
        <w:t>万元，</w:t>
      </w:r>
      <w:r>
        <w:rPr>
          <w:rFonts w:hint="eastAsia" w:ascii="仿宋_GB2312" w:hAnsi="仿宋" w:eastAsia="仿宋_GB2312"/>
          <w:color w:val="000000"/>
          <w:sz w:val="32"/>
          <w:szCs w:val="32"/>
          <w:highlight w:val="none"/>
        </w:rPr>
        <w:t>其中：办公费</w:t>
      </w:r>
      <w:r>
        <w:rPr>
          <w:rFonts w:hint="eastAsia" w:ascii="仿宋_GB2312" w:hAnsi="仿宋" w:eastAsia="仿宋_GB2312"/>
          <w:color w:val="000000"/>
          <w:sz w:val="32"/>
          <w:szCs w:val="32"/>
          <w:highlight w:val="none"/>
          <w:lang w:val="en-US" w:eastAsia="zh-CN"/>
        </w:rPr>
        <w:t>2.16</w:t>
      </w:r>
      <w:r>
        <w:rPr>
          <w:rFonts w:hint="eastAsia" w:ascii="仿宋_GB2312" w:hAnsi="仿宋" w:eastAsia="仿宋_GB2312"/>
          <w:color w:val="000000"/>
          <w:sz w:val="32"/>
          <w:szCs w:val="32"/>
          <w:highlight w:val="none"/>
        </w:rPr>
        <w:t>万元，邮电费</w:t>
      </w:r>
      <w:r>
        <w:rPr>
          <w:rFonts w:hint="eastAsia" w:ascii="仿宋_GB2312" w:hAnsi="仿宋" w:eastAsia="仿宋_GB2312"/>
          <w:color w:val="000000"/>
          <w:sz w:val="32"/>
          <w:szCs w:val="32"/>
          <w:highlight w:val="none"/>
          <w:lang w:val="en-US" w:eastAsia="zh-CN"/>
        </w:rPr>
        <w:t>6.8</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val="en-US" w:eastAsia="zh-CN"/>
        </w:rPr>
        <w:t>福利费5.41</w:t>
      </w:r>
      <w:r>
        <w:rPr>
          <w:rFonts w:hint="eastAsia" w:ascii="仿宋_GB2312" w:hAnsi="仿宋" w:eastAsia="仿宋_GB2312"/>
          <w:color w:val="000000"/>
          <w:sz w:val="32"/>
          <w:szCs w:val="32"/>
          <w:highlight w:val="none"/>
        </w:rPr>
        <w:t>万元，工会经费</w:t>
      </w:r>
      <w:r>
        <w:rPr>
          <w:rFonts w:hint="eastAsia" w:ascii="仿宋_GB2312" w:hAnsi="仿宋" w:eastAsia="仿宋_GB2312"/>
          <w:color w:val="000000"/>
          <w:sz w:val="32"/>
          <w:szCs w:val="32"/>
          <w:highlight w:val="none"/>
          <w:lang w:val="en-US" w:eastAsia="zh-CN"/>
        </w:rPr>
        <w:t>1.06</w:t>
      </w:r>
      <w:r>
        <w:rPr>
          <w:rFonts w:hint="eastAsia" w:ascii="仿宋_GB2312" w:hAnsi="仿宋" w:eastAsia="仿宋_GB2312"/>
          <w:color w:val="000000"/>
          <w:sz w:val="32"/>
          <w:szCs w:val="32"/>
          <w:highlight w:val="none"/>
        </w:rPr>
        <w:t>万元，</w:t>
      </w:r>
      <w:r>
        <w:rPr>
          <w:rFonts w:hint="eastAsia" w:ascii="仿宋_GB2312" w:hAnsi="仿宋" w:eastAsia="仿宋_GB2312"/>
          <w:color w:val="000000"/>
          <w:sz w:val="32"/>
          <w:szCs w:val="32"/>
          <w:highlight w:val="none"/>
          <w:lang w:val="en-US" w:eastAsia="zh-CN"/>
        </w:rPr>
        <w:t>其他交通费用7</w:t>
      </w:r>
      <w:r>
        <w:rPr>
          <w:rFonts w:hint="eastAsia" w:ascii="仿宋_GB2312" w:hAnsi="仿宋" w:eastAsia="仿宋_GB2312"/>
          <w:color w:val="000000"/>
          <w:sz w:val="32"/>
          <w:szCs w:val="32"/>
          <w:highlight w:val="none"/>
        </w:rPr>
        <w:t>万元，公务用车运行维护费3万元，</w:t>
      </w:r>
      <w:r>
        <w:rPr>
          <w:rFonts w:hint="eastAsia" w:ascii="仿宋_GB2312" w:hAnsi="仿宋" w:eastAsia="仿宋_GB2312"/>
          <w:color w:val="000000"/>
          <w:sz w:val="32"/>
          <w:szCs w:val="32"/>
          <w:highlight w:val="none"/>
          <w:lang w:val="en-US" w:eastAsia="zh-CN"/>
        </w:rPr>
        <w:t>其他商品和服务支出3.58</w:t>
      </w:r>
      <w:r>
        <w:rPr>
          <w:rFonts w:hint="eastAsia" w:ascii="仿宋_GB2312" w:hAnsi="仿宋" w:eastAsia="仿宋_GB2312"/>
          <w:color w:val="000000"/>
          <w:sz w:val="32"/>
          <w:szCs w:val="32"/>
          <w:highlight w:val="none"/>
        </w:rPr>
        <w:t>万元。</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360" w:lineRule="auto"/>
        <w:ind w:firstLine="640" w:firstLineChars="200"/>
        <w:outlineLvl w:val="2"/>
        <w:rPr>
          <w:rFonts w:hint="eastAsia" w:ascii="仿宋" w:hAnsi="仿宋" w:eastAsia="仿宋" w:cs="宋体"/>
          <w:color w:val="000000"/>
          <w:sz w:val="32"/>
          <w:szCs w:val="32"/>
        </w:rPr>
      </w:pPr>
      <w:r>
        <w:rPr>
          <w:rFonts w:hint="eastAsia" w:ascii="仿宋" w:hAnsi="仿宋" w:eastAsia="仿宋" w:cs="宋体"/>
          <w:color w:val="000000"/>
          <w:sz w:val="32"/>
          <w:szCs w:val="32"/>
        </w:rPr>
        <w:t>20</w:t>
      </w:r>
      <w:r>
        <w:rPr>
          <w:rFonts w:ascii="仿宋" w:hAnsi="仿宋" w:eastAsia="仿宋" w:cs="宋体"/>
          <w:color w:val="000000"/>
          <w:sz w:val="32"/>
          <w:szCs w:val="32"/>
        </w:rPr>
        <w:t>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年我局“三公”经费预算为</w:t>
      </w:r>
      <w:r>
        <w:rPr>
          <w:rFonts w:hint="eastAsia" w:ascii="仿宋" w:hAnsi="仿宋" w:eastAsia="仿宋" w:cs="宋体"/>
          <w:color w:val="000000"/>
          <w:sz w:val="32"/>
          <w:szCs w:val="32"/>
          <w:lang w:eastAsia="zh-CN"/>
        </w:rPr>
        <w:t>3</w:t>
      </w:r>
      <w:r>
        <w:rPr>
          <w:rFonts w:hint="eastAsia" w:ascii="仿宋" w:hAnsi="仿宋" w:eastAsia="仿宋" w:cs="宋体"/>
          <w:color w:val="000000"/>
          <w:sz w:val="32"/>
          <w:szCs w:val="32"/>
        </w:rPr>
        <w:t>万元，其中因公出国（境）费0万元，与上年一致；公务用车运行费3万元，与上年相比减少</w:t>
      </w:r>
      <w:r>
        <w:rPr>
          <w:rFonts w:ascii="仿宋" w:hAnsi="仿宋" w:eastAsia="仿宋" w:cs="宋体"/>
          <w:color w:val="000000"/>
          <w:sz w:val="32"/>
          <w:szCs w:val="32"/>
        </w:rPr>
        <w:t>0</w:t>
      </w:r>
      <w:r>
        <w:rPr>
          <w:rFonts w:hint="eastAsia" w:ascii="仿宋" w:hAnsi="仿宋" w:eastAsia="仿宋" w:cs="宋体"/>
          <w:color w:val="000000"/>
          <w:sz w:val="32"/>
          <w:szCs w:val="32"/>
        </w:rPr>
        <w:t>万元，与上年一致；公务接待费0万元，与上年一致。</w:t>
      </w:r>
    </w:p>
    <w:tbl>
      <w:tblPr>
        <w:tblStyle w:val="6"/>
        <w:tblW w:w="0" w:type="auto"/>
        <w:jc w:val="center"/>
        <w:tblLayout w:type="fixed"/>
        <w:tblCellMar>
          <w:top w:w="0" w:type="dxa"/>
          <w:left w:w="108" w:type="dxa"/>
          <w:bottom w:w="0" w:type="dxa"/>
          <w:right w:w="108" w:type="dxa"/>
        </w:tblCellMar>
      </w:tblPr>
      <w:tblGrid>
        <w:gridCol w:w="3742"/>
        <w:gridCol w:w="2433"/>
        <w:gridCol w:w="2375"/>
        <w:gridCol w:w="1996"/>
        <w:gridCol w:w="2496"/>
      </w:tblGrid>
      <w:tr>
        <w:tblPrEx>
          <w:tblCellMar>
            <w:top w:w="0" w:type="dxa"/>
            <w:left w:w="108" w:type="dxa"/>
            <w:bottom w:w="0" w:type="dxa"/>
            <w:right w:w="108" w:type="dxa"/>
          </w:tblCellMar>
        </w:tblPrEx>
        <w:trPr>
          <w:trHeight w:val="405" w:hRule="atLeast"/>
          <w:jc w:val="center"/>
        </w:trPr>
        <w:tc>
          <w:tcPr>
            <w:tcW w:w="13042" w:type="dxa"/>
            <w:gridSpan w:val="5"/>
            <w:tcBorders>
              <w:top w:val="nil"/>
              <w:left w:val="nil"/>
              <w:bottom w:val="nil"/>
              <w:right w:val="nil"/>
            </w:tcBorders>
            <w:noWrap/>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“三公”经费预算情况</w:t>
            </w:r>
          </w:p>
        </w:tc>
      </w:tr>
      <w:tr>
        <w:tblPrEx>
          <w:tblCellMar>
            <w:top w:w="0" w:type="dxa"/>
            <w:left w:w="108" w:type="dxa"/>
            <w:bottom w:w="0" w:type="dxa"/>
            <w:right w:w="108" w:type="dxa"/>
          </w:tblCellMar>
        </w:tblPrEx>
        <w:trPr>
          <w:trHeight w:val="285" w:hRule="atLeast"/>
          <w:jc w:val="center"/>
        </w:trPr>
        <w:tc>
          <w:tcPr>
            <w:tcW w:w="3742" w:type="dxa"/>
            <w:tcBorders>
              <w:top w:val="nil"/>
              <w:left w:val="nil"/>
              <w:bottom w:val="nil"/>
              <w:right w:val="nil"/>
            </w:tcBorders>
            <w:noWrap/>
            <w:vAlign w:val="center"/>
          </w:tcPr>
          <w:p>
            <w:pPr>
              <w:spacing w:line="560" w:lineRule="exact"/>
              <w:rPr>
                <w:rFonts w:ascii="仿宋" w:hAnsi="仿宋" w:eastAsia="仿宋" w:cs="宋体"/>
              </w:rPr>
            </w:pPr>
          </w:p>
        </w:tc>
        <w:tc>
          <w:tcPr>
            <w:tcW w:w="2433" w:type="dxa"/>
            <w:tcBorders>
              <w:top w:val="nil"/>
              <w:left w:val="nil"/>
              <w:bottom w:val="nil"/>
              <w:right w:val="nil"/>
            </w:tcBorders>
            <w:noWrap/>
            <w:vAlign w:val="center"/>
          </w:tcPr>
          <w:p>
            <w:pPr>
              <w:spacing w:line="560" w:lineRule="exact"/>
              <w:rPr>
                <w:rFonts w:ascii="仿宋" w:hAnsi="仿宋" w:eastAsia="仿宋" w:cs="宋体"/>
              </w:rPr>
            </w:pPr>
          </w:p>
        </w:tc>
        <w:tc>
          <w:tcPr>
            <w:tcW w:w="2375" w:type="dxa"/>
            <w:tcBorders>
              <w:top w:val="nil"/>
              <w:left w:val="nil"/>
              <w:bottom w:val="nil"/>
              <w:right w:val="nil"/>
            </w:tcBorders>
            <w:noWrap/>
            <w:vAlign w:val="center"/>
          </w:tcPr>
          <w:p>
            <w:pPr>
              <w:spacing w:line="560" w:lineRule="exact"/>
              <w:rPr>
                <w:rFonts w:ascii="仿宋" w:hAnsi="仿宋" w:eastAsia="仿宋" w:cs="宋体"/>
              </w:rPr>
            </w:pPr>
          </w:p>
        </w:tc>
        <w:tc>
          <w:tcPr>
            <w:tcW w:w="1996" w:type="dxa"/>
            <w:tcBorders>
              <w:top w:val="nil"/>
              <w:left w:val="nil"/>
              <w:bottom w:val="nil"/>
              <w:right w:val="nil"/>
            </w:tcBorders>
            <w:noWrap/>
            <w:vAlign w:val="center"/>
          </w:tcPr>
          <w:p>
            <w:pPr>
              <w:spacing w:line="560" w:lineRule="exact"/>
              <w:rPr>
                <w:rFonts w:ascii="仿宋" w:hAnsi="仿宋" w:eastAsia="仿宋" w:cs="宋体"/>
              </w:rPr>
            </w:pPr>
          </w:p>
        </w:tc>
        <w:tc>
          <w:tcPr>
            <w:tcW w:w="2496" w:type="dxa"/>
            <w:tcBorders>
              <w:top w:val="nil"/>
              <w:left w:val="nil"/>
              <w:bottom w:val="nil"/>
              <w:right w:val="nil"/>
            </w:tcBorders>
            <w:noWrap/>
            <w:vAlign w:val="center"/>
          </w:tcPr>
          <w:p>
            <w:pPr>
              <w:spacing w:line="560" w:lineRule="exact"/>
              <w:jc w:val="right"/>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trHeight w:val="285" w:hRule="atLeast"/>
          <w:jc w:val="center"/>
        </w:trPr>
        <w:tc>
          <w:tcPr>
            <w:tcW w:w="374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项目名称</w:t>
            </w:r>
          </w:p>
        </w:tc>
        <w:tc>
          <w:tcPr>
            <w:tcW w:w="2433"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202</w:t>
            </w:r>
            <w:r>
              <w:rPr>
                <w:rFonts w:hint="eastAsia" w:ascii="仿宋" w:hAnsi="仿宋" w:eastAsia="仿宋" w:cs="宋体"/>
                <w:lang w:val="en-US" w:eastAsia="zh-CN"/>
              </w:rPr>
              <w:t>4</w:t>
            </w:r>
            <w:r>
              <w:rPr>
                <w:rFonts w:hint="eastAsia" w:ascii="仿宋" w:hAnsi="仿宋" w:eastAsia="仿宋" w:cs="宋体"/>
              </w:rPr>
              <w:t>年度预算</w:t>
            </w:r>
          </w:p>
        </w:tc>
        <w:tc>
          <w:tcPr>
            <w:tcW w:w="237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20</w:t>
            </w:r>
            <w:r>
              <w:rPr>
                <w:rFonts w:ascii="仿宋" w:hAnsi="仿宋" w:eastAsia="仿宋" w:cs="宋体"/>
              </w:rPr>
              <w:t>2</w:t>
            </w:r>
            <w:r>
              <w:rPr>
                <w:rFonts w:hint="eastAsia" w:ascii="仿宋" w:hAnsi="仿宋" w:eastAsia="仿宋" w:cs="宋体"/>
                <w:lang w:val="en-US" w:eastAsia="zh-CN"/>
              </w:rPr>
              <w:t>5</w:t>
            </w:r>
            <w:r>
              <w:rPr>
                <w:rFonts w:hint="eastAsia" w:ascii="仿宋" w:hAnsi="仿宋" w:eastAsia="仿宋" w:cs="宋体"/>
              </w:rPr>
              <w:t>年度预算</w:t>
            </w:r>
          </w:p>
        </w:tc>
        <w:tc>
          <w:tcPr>
            <w:tcW w:w="19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增减金额</w:t>
            </w:r>
          </w:p>
        </w:tc>
        <w:tc>
          <w:tcPr>
            <w:tcW w:w="24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变化原因</w:t>
            </w:r>
          </w:p>
        </w:tc>
      </w:tr>
      <w:tr>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因公出国经费</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公务用车购置经费</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570"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公务用车运行经费</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631"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公务接待费支出</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ind w:left="-12" w:leftChars="-40" w:right="-122" w:rightChars="-51" w:hanging="84" w:hangingChars="35"/>
              <w:jc w:val="center"/>
              <w:rPr>
                <w:rFonts w:ascii="仿宋" w:hAnsi="仿宋" w:eastAsia="仿宋" w:cs="宋体"/>
              </w:rPr>
            </w:pPr>
            <w:r>
              <w:rPr>
                <w:rFonts w:hint="eastAsia" w:ascii="仿宋_GB2312" w:hAnsi="仿宋" w:eastAsia="仿宋_GB2312" w:cs="宋体"/>
                <w:color w:val="000000"/>
              </w:rPr>
              <w:t>无增减变化</w:t>
            </w:r>
          </w:p>
        </w:tc>
      </w:tr>
      <w:tr>
        <w:tblPrEx>
          <w:tblCellMar>
            <w:top w:w="0" w:type="dxa"/>
            <w:left w:w="108" w:type="dxa"/>
            <w:bottom w:w="0" w:type="dxa"/>
            <w:right w:w="108" w:type="dxa"/>
          </w:tblCellMar>
        </w:tblPrEx>
        <w:trPr>
          <w:trHeight w:val="554" w:hRule="atLeast"/>
          <w:jc w:val="center"/>
        </w:trPr>
        <w:tc>
          <w:tcPr>
            <w:tcW w:w="3742"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合计</w:t>
            </w:r>
          </w:p>
        </w:tc>
        <w:tc>
          <w:tcPr>
            <w:tcW w:w="2433"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pPr>
              <w:spacing w:line="560" w:lineRule="exact"/>
              <w:ind w:right="-122" w:rightChars="-51"/>
              <w:jc w:val="center"/>
              <w:rPr>
                <w:rFonts w:ascii="仿宋" w:hAnsi="仿宋" w:eastAsia="仿宋" w:cs="宋体"/>
              </w:rPr>
            </w:pPr>
            <w:r>
              <w:rPr>
                <w:rFonts w:hint="eastAsia" w:ascii="仿宋_GB2312" w:hAnsi="仿宋" w:eastAsia="仿宋_GB2312" w:cs="宋体"/>
                <w:color w:val="000000"/>
              </w:rPr>
              <w:t>无增减变化</w:t>
            </w:r>
          </w:p>
        </w:tc>
      </w:tr>
    </w:tbl>
    <w:p>
      <w:pPr>
        <w:spacing w:before="10" w:after="10" w:line="360" w:lineRule="auto"/>
        <w:outlineLvl w:val="2"/>
        <w:rPr>
          <w:rFonts w:hint="eastAsia" w:ascii="仿宋_GB2312" w:hAnsi="仿宋" w:eastAsia="仿宋_GB2312"/>
          <w:color w:val="000000"/>
          <w:sz w:val="32"/>
          <w:szCs w:val="32"/>
          <w:highlight w:val="none"/>
        </w:rPr>
      </w:pP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jc w:val="left"/>
        <w:outlineLvl w:val="9"/>
      </w:pPr>
      <w:r>
        <w:rPr>
          <w:rFonts w:ascii="方正仿宋_GBK" w:hAnsi="方正仿宋_GBK" w:eastAsia="方正仿宋_GBK" w:cs="方正仿宋_GBK"/>
          <w:b/>
          <w:color w:val="000000"/>
          <w:sz w:val="28"/>
        </w:rPr>
        <w:t>1、保财建【2024】106号保定市财政局关于提前下达2025年县域特色产业集“领跑者”企业培育等项目资金预算绩效目标表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13060625P00504310435F</w:t>
            </w:r>
          </w:p>
        </w:tc>
        <w:tc>
          <w:tcPr>
            <w:tcW w:w="2835" w:type="dxa"/>
            <w:vAlign w:val="center"/>
          </w:tcPr>
          <w:p>
            <w:pPr>
              <w:pStyle w:val="12"/>
            </w:pPr>
            <w:r>
              <w:t>项目名称</w:t>
            </w:r>
          </w:p>
        </w:tc>
        <w:tc>
          <w:tcPr>
            <w:tcW w:w="6095" w:type="dxa"/>
            <w:gridSpan w:val="3"/>
            <w:vAlign w:val="center"/>
          </w:tcPr>
          <w:p>
            <w:pPr>
              <w:pStyle w:val="14"/>
            </w:pPr>
            <w:r>
              <w:t>保财建【2024】106号保定市财政局关于提前下达2025年县域特色产业集“领跑者”企业培育等项目资金预算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1265.21</w:t>
            </w:r>
          </w:p>
        </w:tc>
        <w:tc>
          <w:tcPr>
            <w:tcW w:w="2835" w:type="dxa"/>
            <w:vAlign w:val="center"/>
          </w:tcPr>
          <w:p>
            <w:pPr>
              <w:pStyle w:val="12"/>
            </w:pPr>
            <w:r>
              <w:t>其中：财政    资金</w:t>
            </w:r>
          </w:p>
        </w:tc>
        <w:tc>
          <w:tcPr>
            <w:tcW w:w="2551" w:type="dxa"/>
            <w:vAlign w:val="center"/>
          </w:tcPr>
          <w:p>
            <w:pPr>
              <w:pStyle w:val="14"/>
            </w:pPr>
            <w:r>
              <w:t>1265.21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保财建【2024】106号提前下达2025年县域特色产业集群“领跑者”企业培育等项目资金预算，及时申请，确保专款专用。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1.为支持企业壮大规模，确保县域特色产业集群企业培育工作顺利完成，提高全区的经济指标，服务对象满意度达到90%以上。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县域特色产业集群企业培育项目数量</w:t>
            </w:r>
          </w:p>
        </w:tc>
        <w:tc>
          <w:tcPr>
            <w:tcW w:w="5386" w:type="dxa"/>
            <w:vAlign w:val="center"/>
          </w:tcPr>
          <w:p>
            <w:pPr>
              <w:pStyle w:val="14"/>
            </w:pPr>
            <w:r>
              <w:t>完成县域特色产业集群企业培育等企业项目数量</w:t>
            </w:r>
          </w:p>
        </w:tc>
        <w:tc>
          <w:tcPr>
            <w:tcW w:w="2268" w:type="dxa"/>
            <w:vAlign w:val="center"/>
          </w:tcPr>
          <w:p>
            <w:pPr>
              <w:pStyle w:val="14"/>
            </w:pPr>
            <w:r>
              <w:t>≤4个</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县域特色产业集群企业培育等资金支出准确率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支付使用资金及时发放</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发生成本不超预算</w:t>
            </w:r>
          </w:p>
        </w:tc>
        <w:tc>
          <w:tcPr>
            <w:tcW w:w="2268" w:type="dxa"/>
            <w:vAlign w:val="center"/>
          </w:tcPr>
          <w:p>
            <w:pPr>
              <w:pStyle w:val="14"/>
            </w:pPr>
            <w:r>
              <w:t>≤1265.21万元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技改奖励资金分配率</w:t>
            </w:r>
          </w:p>
        </w:tc>
        <w:tc>
          <w:tcPr>
            <w:tcW w:w="5386" w:type="dxa"/>
            <w:vAlign w:val="center"/>
          </w:tcPr>
          <w:p>
            <w:pPr>
              <w:pStyle w:val="14"/>
            </w:pPr>
            <w:r>
              <w:t>反映各个企业工业设计等资金</w:t>
            </w:r>
          </w:p>
          <w:p>
            <w:pPr>
              <w:pStyle w:val="14"/>
            </w:pPr>
            <w:r>
              <w:t>使用分配情况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提高财政资金使用效率</w:t>
            </w:r>
          </w:p>
        </w:tc>
        <w:tc>
          <w:tcPr>
            <w:tcW w:w="5386" w:type="dxa"/>
            <w:vAlign w:val="center"/>
          </w:tcPr>
          <w:p>
            <w:pPr>
              <w:pStyle w:val="14"/>
            </w:pPr>
            <w:r>
              <w:t>保障县域特色产业集群企业培育专款专用</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提高全区经济指标</w:t>
            </w:r>
          </w:p>
        </w:tc>
        <w:tc>
          <w:tcPr>
            <w:tcW w:w="5386" w:type="dxa"/>
            <w:vAlign w:val="center"/>
          </w:tcPr>
          <w:p>
            <w:pPr>
              <w:pStyle w:val="14"/>
            </w:pPr>
            <w:r>
              <w:t>创新发展，提高全区经济指标</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提高技改企业经济效益</w:t>
            </w:r>
          </w:p>
        </w:tc>
        <w:tc>
          <w:tcPr>
            <w:tcW w:w="5386" w:type="dxa"/>
            <w:vAlign w:val="center"/>
          </w:tcPr>
          <w:p>
            <w:pPr>
              <w:pStyle w:val="14"/>
            </w:pPr>
            <w:r>
              <w:t>确保申请县域特色产业集群企业培育等企业奖励资金</w:t>
            </w:r>
          </w:p>
          <w:p>
            <w:pPr>
              <w:pStyle w:val="14"/>
            </w:pPr>
            <w:r>
              <w:t>时到位，壮大企业规模。</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申请项目企业满意度</w:t>
            </w:r>
          </w:p>
        </w:tc>
        <w:tc>
          <w:tcPr>
            <w:tcW w:w="5386" w:type="dxa"/>
            <w:vAlign w:val="center"/>
          </w:tcPr>
          <w:p>
            <w:pPr>
              <w:pStyle w:val="14"/>
            </w:pPr>
            <w:r>
              <w:t>支出达到申请县域特色产业集群企业培育等企业满意度情况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2、保财建【2024】108号保定市财政局关于提前下达2025年国有企业退休人员社会化管理省级财政补助资金预算绩效目标表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13060625P000018100039</w:t>
            </w:r>
          </w:p>
        </w:tc>
        <w:tc>
          <w:tcPr>
            <w:tcW w:w="2835" w:type="dxa"/>
            <w:vAlign w:val="center"/>
          </w:tcPr>
          <w:p>
            <w:pPr>
              <w:pStyle w:val="12"/>
            </w:pPr>
            <w:r>
              <w:t>项目名称</w:t>
            </w:r>
          </w:p>
        </w:tc>
        <w:tc>
          <w:tcPr>
            <w:tcW w:w="6095" w:type="dxa"/>
            <w:gridSpan w:val="3"/>
            <w:vAlign w:val="center"/>
          </w:tcPr>
          <w:p>
            <w:pPr>
              <w:pStyle w:val="14"/>
            </w:pPr>
            <w:r>
              <w:t>保财建【2024】108号保定市财政局关于提前下达2025年国有企业退休人员社会化管理省级财政补助资金预算</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保财建【2024】108号提前下达2025年国有企业退休人员社会化管理者省级财政补助预算，及时申请，确保专款专用。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1.国有企业已退休人员管理服务工作与原企业分离，移交退休人员档案于托管中心服务，确保退休人员满意度达到90%以上。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国有企业退休人员人数</w:t>
            </w:r>
          </w:p>
        </w:tc>
        <w:tc>
          <w:tcPr>
            <w:tcW w:w="5386" w:type="dxa"/>
            <w:vAlign w:val="center"/>
          </w:tcPr>
          <w:p>
            <w:pPr>
              <w:pStyle w:val="14"/>
            </w:pPr>
            <w:r>
              <w:t>国有企业已退休人员数量</w:t>
            </w:r>
          </w:p>
        </w:tc>
        <w:tc>
          <w:tcPr>
            <w:tcW w:w="2268" w:type="dxa"/>
            <w:vAlign w:val="center"/>
          </w:tcPr>
          <w:p>
            <w:pPr>
              <w:pStyle w:val="14"/>
            </w:pPr>
            <w:r>
              <w:t>≥1.8万人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分离比例</w:t>
            </w:r>
          </w:p>
        </w:tc>
        <w:tc>
          <w:tcPr>
            <w:tcW w:w="5386" w:type="dxa"/>
            <w:vAlign w:val="center"/>
          </w:tcPr>
          <w:p>
            <w:pPr>
              <w:pStyle w:val="14"/>
            </w:pPr>
            <w:r>
              <w:t>确保国有企业已退休人员管理服务工作与原</w:t>
            </w:r>
          </w:p>
          <w:p>
            <w:pPr>
              <w:pStyle w:val="14"/>
            </w:pPr>
            <w:r>
              <w:t>企业分离比例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社会化管理费用及时发放率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发生成本不超预算</w:t>
            </w:r>
          </w:p>
        </w:tc>
        <w:tc>
          <w:tcPr>
            <w:tcW w:w="2268" w:type="dxa"/>
            <w:vAlign w:val="center"/>
          </w:tcPr>
          <w:p>
            <w:pPr>
              <w:pStyle w:val="14"/>
            </w:pPr>
            <w:r>
              <w:t>≤20万元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保障企业退休人员社会化管理使用顺利</w:t>
            </w:r>
          </w:p>
        </w:tc>
        <w:tc>
          <w:tcPr>
            <w:tcW w:w="5386" w:type="dxa"/>
            <w:vAlign w:val="center"/>
          </w:tcPr>
          <w:p>
            <w:pPr>
              <w:pStyle w:val="14"/>
            </w:pPr>
            <w:r>
              <w:t>保障国有企业退休人员社会化管理使用情况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企业退休人员稳定保障</w:t>
            </w:r>
          </w:p>
        </w:tc>
        <w:tc>
          <w:tcPr>
            <w:tcW w:w="5386" w:type="dxa"/>
            <w:vAlign w:val="center"/>
          </w:tcPr>
          <w:p>
            <w:pPr>
              <w:pStyle w:val="14"/>
            </w:pPr>
            <w:r>
              <w:t>确保承担移交后的退休人员社会化管理稳定性</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国有企业退休人员满意度</w:t>
            </w:r>
          </w:p>
        </w:tc>
        <w:tc>
          <w:tcPr>
            <w:tcW w:w="5386" w:type="dxa"/>
            <w:vAlign w:val="center"/>
          </w:tcPr>
          <w:p>
            <w:pPr>
              <w:pStyle w:val="14"/>
            </w:pPr>
            <w:r>
              <w:t>反映移交企业的综合满意度情况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3、保财建【2024】82号提前下达2025年国有企业退休人员社会化管理中央财政补助资金预算绩效目标表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13060625P00001810002M</w:t>
            </w:r>
          </w:p>
        </w:tc>
        <w:tc>
          <w:tcPr>
            <w:tcW w:w="2835" w:type="dxa"/>
            <w:vAlign w:val="center"/>
          </w:tcPr>
          <w:p>
            <w:pPr>
              <w:pStyle w:val="12"/>
            </w:pPr>
            <w:r>
              <w:t>项目名称</w:t>
            </w:r>
          </w:p>
        </w:tc>
        <w:tc>
          <w:tcPr>
            <w:tcW w:w="6095" w:type="dxa"/>
            <w:gridSpan w:val="3"/>
            <w:vAlign w:val="center"/>
          </w:tcPr>
          <w:p>
            <w:pPr>
              <w:pStyle w:val="14"/>
            </w:pPr>
            <w:r>
              <w:t>保财建【2024】82号提前下达2025年国有企业退休人员社会化管理中央财政补助资金预算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114.60</w:t>
            </w:r>
          </w:p>
        </w:tc>
        <w:tc>
          <w:tcPr>
            <w:tcW w:w="2835" w:type="dxa"/>
            <w:vAlign w:val="center"/>
          </w:tcPr>
          <w:p>
            <w:pPr>
              <w:pStyle w:val="12"/>
            </w:pPr>
            <w:r>
              <w:t>其中：财政    资金</w:t>
            </w:r>
          </w:p>
        </w:tc>
        <w:tc>
          <w:tcPr>
            <w:tcW w:w="2551" w:type="dxa"/>
            <w:vAlign w:val="center"/>
          </w:tcPr>
          <w:p>
            <w:pPr>
              <w:pStyle w:val="14"/>
            </w:pPr>
            <w:r>
              <w:t>114.60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保财建【2024】82号提前下达2025年国有企业退休人员社会化管理中央财政补助资金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1.国有企业已退休人员管理服务工作与原企业分离，移交退休人员档案于托管中心服务，确保退休人员满意度达到90%以上。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国有企业退休人员人数</w:t>
            </w:r>
          </w:p>
        </w:tc>
        <w:tc>
          <w:tcPr>
            <w:tcW w:w="5386" w:type="dxa"/>
            <w:vAlign w:val="center"/>
          </w:tcPr>
          <w:p>
            <w:pPr>
              <w:pStyle w:val="14"/>
            </w:pPr>
            <w:r>
              <w:t>国有企业已退休人员数量</w:t>
            </w:r>
          </w:p>
        </w:tc>
        <w:tc>
          <w:tcPr>
            <w:tcW w:w="2268" w:type="dxa"/>
            <w:vAlign w:val="center"/>
          </w:tcPr>
          <w:p>
            <w:pPr>
              <w:pStyle w:val="14"/>
            </w:pPr>
            <w:r>
              <w:t>≥1.8万人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分离比例</w:t>
            </w:r>
          </w:p>
        </w:tc>
        <w:tc>
          <w:tcPr>
            <w:tcW w:w="5386" w:type="dxa"/>
            <w:vAlign w:val="center"/>
          </w:tcPr>
          <w:p>
            <w:pPr>
              <w:pStyle w:val="14"/>
            </w:pPr>
            <w:r>
              <w:t>确保国有企业已退休人员管理服务工作与原</w:t>
            </w:r>
          </w:p>
          <w:p>
            <w:pPr>
              <w:pStyle w:val="14"/>
            </w:pPr>
            <w:r>
              <w:t>企业分离比例</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社会化管理费用及时发放率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发生成本不超预算</w:t>
            </w:r>
          </w:p>
        </w:tc>
        <w:tc>
          <w:tcPr>
            <w:tcW w:w="2268" w:type="dxa"/>
            <w:vAlign w:val="center"/>
          </w:tcPr>
          <w:p>
            <w:pPr>
              <w:pStyle w:val="14"/>
            </w:pPr>
            <w:r>
              <w:t>≤114.6万元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保障企业退休人员社会化管理使用顺利</w:t>
            </w:r>
          </w:p>
        </w:tc>
        <w:tc>
          <w:tcPr>
            <w:tcW w:w="5386" w:type="dxa"/>
            <w:vAlign w:val="center"/>
          </w:tcPr>
          <w:p>
            <w:pPr>
              <w:pStyle w:val="14"/>
            </w:pPr>
            <w:r>
              <w:t>保障国有企业退休人员社会化管理使用情况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企业退休人员稳定保障</w:t>
            </w:r>
          </w:p>
        </w:tc>
        <w:tc>
          <w:tcPr>
            <w:tcW w:w="5386" w:type="dxa"/>
            <w:vAlign w:val="center"/>
          </w:tcPr>
          <w:p>
            <w:pPr>
              <w:pStyle w:val="14"/>
            </w:pPr>
            <w:r>
              <w:t>确保承担移交后的退休人员社会化管理稳定性</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国有企业退休人员满意度</w:t>
            </w:r>
          </w:p>
        </w:tc>
        <w:tc>
          <w:tcPr>
            <w:tcW w:w="5386" w:type="dxa"/>
            <w:vAlign w:val="center"/>
          </w:tcPr>
          <w:p>
            <w:pPr>
              <w:pStyle w:val="14"/>
            </w:pPr>
            <w:r>
              <w:t>反映移交企业的综合满意度情况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4、保财建【2024】95号关于提前下达2025年节能减排补助资金预算通知绩效目标表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13060625P00504310469H</w:t>
            </w:r>
          </w:p>
        </w:tc>
        <w:tc>
          <w:tcPr>
            <w:tcW w:w="2835" w:type="dxa"/>
            <w:vAlign w:val="center"/>
          </w:tcPr>
          <w:p>
            <w:pPr>
              <w:pStyle w:val="12"/>
            </w:pPr>
            <w:r>
              <w:t>项目名称</w:t>
            </w:r>
          </w:p>
        </w:tc>
        <w:tc>
          <w:tcPr>
            <w:tcW w:w="6095" w:type="dxa"/>
            <w:gridSpan w:val="3"/>
            <w:vAlign w:val="center"/>
          </w:tcPr>
          <w:p>
            <w:pPr>
              <w:pStyle w:val="14"/>
            </w:pPr>
            <w:r>
              <w:t>保财建【2024】95号关于提前下达2025年节能减排补助资金预算通知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2840.00</w:t>
            </w:r>
          </w:p>
        </w:tc>
        <w:tc>
          <w:tcPr>
            <w:tcW w:w="2835" w:type="dxa"/>
            <w:vAlign w:val="center"/>
          </w:tcPr>
          <w:p>
            <w:pPr>
              <w:pStyle w:val="12"/>
            </w:pPr>
            <w:r>
              <w:t>其中：财政    资金</w:t>
            </w:r>
          </w:p>
        </w:tc>
        <w:tc>
          <w:tcPr>
            <w:tcW w:w="2551" w:type="dxa"/>
            <w:vAlign w:val="center"/>
          </w:tcPr>
          <w:p>
            <w:pPr>
              <w:pStyle w:val="14"/>
            </w:pPr>
            <w:r>
              <w:t>2840.00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为提高全区的经济指标，提升环境质量，及时申请，确保专款专用。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1.为提高全区的经济指标，提升环境质量，服务对象满意度达到90%以上。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补助企业数量</w:t>
            </w:r>
          </w:p>
        </w:tc>
        <w:tc>
          <w:tcPr>
            <w:tcW w:w="5386" w:type="dxa"/>
            <w:vAlign w:val="center"/>
          </w:tcPr>
          <w:p>
            <w:pPr>
              <w:pStyle w:val="14"/>
            </w:pPr>
            <w:r>
              <w:t>新能源开发企业数量</w:t>
            </w:r>
          </w:p>
        </w:tc>
        <w:tc>
          <w:tcPr>
            <w:tcW w:w="2268" w:type="dxa"/>
            <w:vAlign w:val="center"/>
          </w:tcPr>
          <w:p>
            <w:pPr>
              <w:pStyle w:val="14"/>
            </w:pPr>
            <w:r>
              <w:t>≥1家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专项资金支出准确率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按支付使用资金及时率</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反映专款资金管理成本控制</w:t>
            </w:r>
          </w:p>
        </w:tc>
        <w:tc>
          <w:tcPr>
            <w:tcW w:w="2268" w:type="dxa"/>
            <w:vAlign w:val="center"/>
          </w:tcPr>
          <w:p>
            <w:pPr>
              <w:pStyle w:val="14"/>
            </w:pPr>
            <w:r>
              <w:t>≤2840万元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新能源节能减排资金分配率</w:t>
            </w:r>
          </w:p>
        </w:tc>
        <w:tc>
          <w:tcPr>
            <w:tcW w:w="5386" w:type="dxa"/>
            <w:vAlign w:val="center"/>
          </w:tcPr>
          <w:p>
            <w:pPr>
              <w:pStyle w:val="14"/>
            </w:pPr>
            <w:r>
              <w:t>反映企业资金</w:t>
            </w:r>
          </w:p>
          <w:p>
            <w:pPr>
              <w:pStyle w:val="14"/>
            </w:pPr>
            <w:r>
              <w:t>使用分配情况</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提高财政资金使用效率</w:t>
            </w:r>
          </w:p>
        </w:tc>
        <w:tc>
          <w:tcPr>
            <w:tcW w:w="5386" w:type="dxa"/>
            <w:vAlign w:val="center"/>
          </w:tcPr>
          <w:p>
            <w:pPr>
              <w:pStyle w:val="14"/>
            </w:pPr>
            <w:r>
              <w:t>反映管理企业资金使用情况</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提高全区经济指标</w:t>
            </w:r>
          </w:p>
        </w:tc>
        <w:tc>
          <w:tcPr>
            <w:tcW w:w="5386" w:type="dxa"/>
            <w:vAlign w:val="center"/>
          </w:tcPr>
          <w:p>
            <w:pPr>
              <w:pStyle w:val="14"/>
            </w:pPr>
            <w:r>
              <w:t>提高全区经济指标</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提高企业经济效益</w:t>
            </w:r>
          </w:p>
        </w:tc>
        <w:tc>
          <w:tcPr>
            <w:tcW w:w="5386" w:type="dxa"/>
            <w:vAlign w:val="center"/>
          </w:tcPr>
          <w:p>
            <w:pPr>
              <w:pStyle w:val="14"/>
            </w:pPr>
            <w:r>
              <w:t>确保企业奖励资金及</w:t>
            </w:r>
          </w:p>
          <w:p>
            <w:pPr>
              <w:pStyle w:val="14"/>
            </w:pPr>
            <w:r>
              <w:t>时到位，壮大企业规模。</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支出达到企业满意度情况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5、保财社【2024】79号提前下达2025年原市属下划企业离休干部医药费市级统筹补助资金绩效目标表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13060625P005043103646</w:t>
            </w:r>
          </w:p>
        </w:tc>
        <w:tc>
          <w:tcPr>
            <w:tcW w:w="2835" w:type="dxa"/>
            <w:vAlign w:val="center"/>
          </w:tcPr>
          <w:p>
            <w:pPr>
              <w:pStyle w:val="12"/>
            </w:pPr>
            <w:r>
              <w:t>项目名称</w:t>
            </w:r>
          </w:p>
        </w:tc>
        <w:tc>
          <w:tcPr>
            <w:tcW w:w="6095" w:type="dxa"/>
            <w:gridSpan w:val="3"/>
            <w:vAlign w:val="center"/>
          </w:tcPr>
          <w:p>
            <w:pPr>
              <w:pStyle w:val="14"/>
            </w:pPr>
            <w:r>
              <w:t>保财社【2024】79号提前下达2025年原市属下划企业离休干部医药费市级统筹补助资金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126.00</w:t>
            </w:r>
          </w:p>
        </w:tc>
        <w:tc>
          <w:tcPr>
            <w:tcW w:w="2835" w:type="dxa"/>
            <w:vAlign w:val="center"/>
          </w:tcPr>
          <w:p>
            <w:pPr>
              <w:pStyle w:val="12"/>
            </w:pPr>
            <w:r>
              <w:t>其中：财政    资金</w:t>
            </w:r>
          </w:p>
        </w:tc>
        <w:tc>
          <w:tcPr>
            <w:tcW w:w="2551" w:type="dxa"/>
            <w:vAlign w:val="center"/>
          </w:tcPr>
          <w:p>
            <w:pPr>
              <w:pStyle w:val="14"/>
            </w:pPr>
            <w:r>
              <w:t>126.00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保财社【2024】79号提前下达2025年原市属下划企业离休干部医药费市级统筹补助资金，及时申请，确保专款专用。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1.离休干部14人，按市医保中心缴纳标准每人10万，缴纳资金140万元，确保离休干部满意度达到95%以上。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医保统筹人数</w:t>
            </w:r>
          </w:p>
        </w:tc>
        <w:tc>
          <w:tcPr>
            <w:tcW w:w="5386" w:type="dxa"/>
            <w:vAlign w:val="center"/>
          </w:tcPr>
          <w:p>
            <w:pPr>
              <w:pStyle w:val="14"/>
            </w:pPr>
            <w:r>
              <w:t>完成核实离休干部人数</w:t>
            </w:r>
          </w:p>
        </w:tc>
        <w:tc>
          <w:tcPr>
            <w:tcW w:w="2268" w:type="dxa"/>
            <w:vAlign w:val="center"/>
          </w:tcPr>
          <w:p>
            <w:pPr>
              <w:pStyle w:val="14"/>
            </w:pPr>
            <w:r>
              <w:t>≤14人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保障医保缴纳准确率</w:t>
            </w:r>
          </w:p>
        </w:tc>
        <w:tc>
          <w:tcPr>
            <w:tcW w:w="5386" w:type="dxa"/>
            <w:vAlign w:val="center"/>
          </w:tcPr>
          <w:p>
            <w:pPr>
              <w:pStyle w:val="14"/>
            </w:pPr>
            <w:r>
              <w:t>保障医保缴纳准确率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资金缴纳及时率</w:t>
            </w:r>
          </w:p>
        </w:tc>
        <w:tc>
          <w:tcPr>
            <w:tcW w:w="5386" w:type="dxa"/>
            <w:vAlign w:val="center"/>
          </w:tcPr>
          <w:p>
            <w:pPr>
              <w:pStyle w:val="14"/>
            </w:pPr>
            <w:r>
              <w:t>医药费资金及时缴纳率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反映离休干部医药费成本不超预算</w:t>
            </w:r>
          </w:p>
        </w:tc>
        <w:tc>
          <w:tcPr>
            <w:tcW w:w="2268" w:type="dxa"/>
            <w:vAlign w:val="center"/>
          </w:tcPr>
          <w:p>
            <w:pPr>
              <w:pStyle w:val="14"/>
            </w:pPr>
            <w:r>
              <w:t>≤126万元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保障离休干部生活医疗水平</w:t>
            </w:r>
          </w:p>
        </w:tc>
        <w:tc>
          <w:tcPr>
            <w:tcW w:w="5386" w:type="dxa"/>
            <w:vAlign w:val="center"/>
          </w:tcPr>
          <w:p>
            <w:pPr>
              <w:pStyle w:val="14"/>
            </w:pPr>
            <w:r>
              <w:t>有效保障离休干部生活医疗水平</w:t>
            </w:r>
          </w:p>
        </w:tc>
        <w:tc>
          <w:tcPr>
            <w:tcW w:w="2268" w:type="dxa"/>
            <w:vAlign w:val="center"/>
          </w:tcPr>
          <w:p>
            <w:pPr>
              <w:pStyle w:val="14"/>
            </w:pPr>
            <w:r>
              <w:t>效果显著</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w:t>
            </w:r>
          </w:p>
        </w:tc>
        <w:tc>
          <w:tcPr>
            <w:tcW w:w="5386" w:type="dxa"/>
            <w:vAlign w:val="center"/>
          </w:tcPr>
          <w:p>
            <w:pPr>
              <w:pStyle w:val="14"/>
            </w:pPr>
            <w:r>
              <w:t>不涉及生态效益</w:t>
            </w:r>
          </w:p>
        </w:tc>
        <w:tc>
          <w:tcPr>
            <w:tcW w:w="2268" w:type="dxa"/>
            <w:vAlign w:val="center"/>
          </w:tcPr>
          <w:p>
            <w:pPr>
              <w:pStyle w:val="14"/>
            </w:pPr>
            <w:r>
              <w:t>不涉及生态效益</w:t>
            </w:r>
          </w:p>
        </w:tc>
        <w:tc>
          <w:tcPr>
            <w:tcW w:w="1276" w:type="dxa"/>
            <w:vAlign w:val="center"/>
          </w:tcPr>
          <w:p>
            <w:pPr>
              <w:pStyle w:val="14"/>
            </w:pPr>
            <w:r>
              <w:t>不涉及生态效益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离休干部住院得到持续保障</w:t>
            </w:r>
          </w:p>
        </w:tc>
        <w:tc>
          <w:tcPr>
            <w:tcW w:w="5386" w:type="dxa"/>
            <w:vAlign w:val="center"/>
          </w:tcPr>
          <w:p>
            <w:pPr>
              <w:pStyle w:val="14"/>
            </w:pPr>
            <w:r>
              <w:t>确保辖区离休干部生活住院得到保障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离休干部满意度</w:t>
            </w:r>
          </w:p>
        </w:tc>
        <w:tc>
          <w:tcPr>
            <w:tcW w:w="5386" w:type="dxa"/>
            <w:vAlign w:val="center"/>
          </w:tcPr>
          <w:p>
            <w:pPr>
              <w:pStyle w:val="14"/>
            </w:pPr>
            <w:r>
              <w:t>支出达到离休干部满意度情况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6、保定市莲池区城乡电网改造项目绩效目标表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13060624P00003111135Q</w:t>
            </w:r>
          </w:p>
        </w:tc>
        <w:tc>
          <w:tcPr>
            <w:tcW w:w="2835" w:type="dxa"/>
            <w:vAlign w:val="center"/>
          </w:tcPr>
          <w:p>
            <w:pPr>
              <w:pStyle w:val="12"/>
            </w:pPr>
            <w:r>
              <w:t>项目名称</w:t>
            </w:r>
          </w:p>
        </w:tc>
        <w:tc>
          <w:tcPr>
            <w:tcW w:w="6095" w:type="dxa"/>
            <w:gridSpan w:val="3"/>
            <w:vAlign w:val="center"/>
          </w:tcPr>
          <w:p>
            <w:pPr>
              <w:pStyle w:val="14"/>
            </w:pPr>
            <w:r>
              <w:t>保定市莲池区城乡电网改造项目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4500.00</w:t>
            </w:r>
          </w:p>
        </w:tc>
        <w:tc>
          <w:tcPr>
            <w:tcW w:w="2835" w:type="dxa"/>
            <w:vAlign w:val="center"/>
          </w:tcPr>
          <w:p>
            <w:pPr>
              <w:pStyle w:val="12"/>
            </w:pPr>
            <w:r>
              <w:t>其中：财政    资金</w:t>
            </w:r>
          </w:p>
        </w:tc>
        <w:tc>
          <w:tcPr>
            <w:tcW w:w="2551" w:type="dxa"/>
            <w:vAlign w:val="center"/>
          </w:tcPr>
          <w:p>
            <w:pPr>
              <w:pStyle w:val="14"/>
            </w:pPr>
            <w:r>
              <w:t>4500.00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保定市莲池区城乡电网改造项目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1.及时申请保定市莲池区城乡电网改造项目资金，确保城乡电网改造项目工作顺利完成，服务对象满意度达到90%以上。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改造城乡电网项目</w:t>
            </w:r>
          </w:p>
        </w:tc>
        <w:tc>
          <w:tcPr>
            <w:tcW w:w="5386" w:type="dxa"/>
            <w:vAlign w:val="center"/>
          </w:tcPr>
          <w:p>
            <w:pPr>
              <w:pStyle w:val="14"/>
            </w:pPr>
            <w:r>
              <w:t>完成城乡电网改造项目数量</w:t>
            </w:r>
          </w:p>
        </w:tc>
        <w:tc>
          <w:tcPr>
            <w:tcW w:w="2268" w:type="dxa"/>
            <w:vAlign w:val="center"/>
          </w:tcPr>
          <w:p>
            <w:pPr>
              <w:pStyle w:val="14"/>
            </w:pPr>
            <w:r>
              <w:t>1家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城乡电网改造项目资金支出准确率</w:t>
            </w:r>
          </w:p>
        </w:tc>
        <w:tc>
          <w:tcPr>
            <w:tcW w:w="2268" w:type="dxa"/>
            <w:vAlign w:val="center"/>
          </w:tcPr>
          <w:p>
            <w:pPr>
              <w:pStyle w:val="14"/>
            </w:pPr>
            <w:r>
              <w:t>≤100百分比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按支付使用资金及时率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反映城乡电网改造项目资金管理成本控制</w:t>
            </w:r>
          </w:p>
        </w:tc>
        <w:tc>
          <w:tcPr>
            <w:tcW w:w="2268" w:type="dxa"/>
            <w:vAlign w:val="center"/>
          </w:tcPr>
          <w:p>
            <w:pPr>
              <w:pStyle w:val="14"/>
            </w:pPr>
            <w:r>
              <w:t>≤4500万元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城乡电网改造项目资金分配率</w:t>
            </w:r>
          </w:p>
        </w:tc>
        <w:tc>
          <w:tcPr>
            <w:tcW w:w="5386" w:type="dxa"/>
            <w:vAlign w:val="center"/>
          </w:tcPr>
          <w:p>
            <w:pPr>
              <w:pStyle w:val="14"/>
            </w:pPr>
            <w:r>
              <w:t>反映城乡电网改造项目资金</w:t>
            </w:r>
          </w:p>
          <w:p>
            <w:pPr>
              <w:pStyle w:val="14"/>
            </w:pPr>
            <w:r>
              <w:t>使用分配情况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提高财政资金使用效率</w:t>
            </w:r>
          </w:p>
        </w:tc>
        <w:tc>
          <w:tcPr>
            <w:tcW w:w="5386" w:type="dxa"/>
            <w:vAlign w:val="center"/>
          </w:tcPr>
          <w:p>
            <w:pPr>
              <w:pStyle w:val="14"/>
            </w:pPr>
            <w:r>
              <w:t>反映管理城乡电网改造项目资金使用情况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全面融入京津冀产业</w:t>
            </w:r>
          </w:p>
          <w:p>
            <w:pPr>
              <w:pStyle w:val="14"/>
            </w:pPr>
            <w:r>
              <w:t>协同发展</w:t>
            </w:r>
          </w:p>
        </w:tc>
        <w:tc>
          <w:tcPr>
            <w:tcW w:w="5386" w:type="dxa"/>
            <w:vAlign w:val="center"/>
          </w:tcPr>
          <w:p>
            <w:pPr>
              <w:pStyle w:val="14"/>
            </w:pPr>
            <w:r>
              <w:t>展现城市新颜值、新风采。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提高城乡电网改造项目</w:t>
            </w:r>
          </w:p>
          <w:p>
            <w:pPr>
              <w:pStyle w:val="14"/>
            </w:pPr>
            <w:r>
              <w:t>经济效益</w:t>
            </w:r>
          </w:p>
        </w:tc>
        <w:tc>
          <w:tcPr>
            <w:tcW w:w="5386" w:type="dxa"/>
            <w:vAlign w:val="center"/>
          </w:tcPr>
          <w:p>
            <w:pPr>
              <w:pStyle w:val="14"/>
            </w:pPr>
            <w:r>
              <w:t>确保申请城乡电网改造项目资金及</w:t>
            </w:r>
          </w:p>
          <w:p>
            <w:pPr>
              <w:pStyle w:val="14"/>
            </w:pPr>
            <w:r>
              <w:t>时到位，加快现代化品质生活之城建设。</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申请项目单位满意度</w:t>
            </w:r>
          </w:p>
        </w:tc>
        <w:tc>
          <w:tcPr>
            <w:tcW w:w="5386" w:type="dxa"/>
            <w:vAlign w:val="center"/>
          </w:tcPr>
          <w:p>
            <w:pPr>
              <w:pStyle w:val="14"/>
            </w:pPr>
            <w:r>
              <w:t>支出达到申请城乡电网改造项目满意度情况</w:t>
            </w:r>
          </w:p>
        </w:tc>
        <w:tc>
          <w:tcPr>
            <w:tcW w:w="2268" w:type="dxa"/>
            <w:vAlign w:val="center"/>
          </w:tcPr>
          <w:p>
            <w:pPr>
              <w:pStyle w:val="14"/>
            </w:pPr>
            <w:r>
              <w:t>≥95百分比</w:t>
            </w:r>
          </w:p>
        </w:tc>
        <w:tc>
          <w:tcPr>
            <w:tcW w:w="1276" w:type="dxa"/>
            <w:vAlign w:val="center"/>
          </w:tcPr>
          <w:p>
            <w:pPr>
              <w:pStyle w:val="14"/>
            </w:pPr>
            <w:r>
              <w:t>历史行业标准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7、困难职工春节慰问绩效目标表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13060625P005043102007</w:t>
            </w:r>
          </w:p>
        </w:tc>
        <w:tc>
          <w:tcPr>
            <w:tcW w:w="2835" w:type="dxa"/>
            <w:vAlign w:val="center"/>
          </w:tcPr>
          <w:p>
            <w:pPr>
              <w:pStyle w:val="12"/>
            </w:pPr>
            <w:r>
              <w:t>项目名称</w:t>
            </w:r>
          </w:p>
        </w:tc>
        <w:tc>
          <w:tcPr>
            <w:tcW w:w="6095" w:type="dxa"/>
            <w:gridSpan w:val="3"/>
            <w:vAlign w:val="center"/>
          </w:tcPr>
          <w:p>
            <w:pPr>
              <w:pStyle w:val="14"/>
            </w:pPr>
            <w:r>
              <w:t>困难职工春节慰问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困难职工春节慰问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1.目标内容1春节慰问困难职工300人，每人200元慰问标准，确保困难职工满意度95%以上。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困难职工人数</w:t>
            </w:r>
          </w:p>
        </w:tc>
        <w:tc>
          <w:tcPr>
            <w:tcW w:w="5386" w:type="dxa"/>
            <w:vAlign w:val="center"/>
          </w:tcPr>
          <w:p>
            <w:pPr>
              <w:pStyle w:val="14"/>
            </w:pPr>
            <w:r>
              <w:t>领取春节慰问款特困人数</w:t>
            </w:r>
          </w:p>
        </w:tc>
        <w:tc>
          <w:tcPr>
            <w:tcW w:w="2268" w:type="dxa"/>
            <w:vAlign w:val="center"/>
          </w:tcPr>
          <w:p>
            <w:pPr>
              <w:pStyle w:val="14"/>
            </w:pPr>
            <w:r>
              <w:t>≥300人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春节慰问款发放准确率</w:t>
            </w:r>
          </w:p>
        </w:tc>
        <w:tc>
          <w:tcPr>
            <w:tcW w:w="5386" w:type="dxa"/>
            <w:vAlign w:val="center"/>
          </w:tcPr>
          <w:p>
            <w:pPr>
              <w:pStyle w:val="14"/>
            </w:pPr>
            <w:r>
              <w:t>春节慰问款发放准确到每个人</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春节慰问款及时发放率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实际发生成本不超预算</w:t>
            </w:r>
          </w:p>
        </w:tc>
        <w:tc>
          <w:tcPr>
            <w:tcW w:w="2268" w:type="dxa"/>
            <w:vAlign w:val="center"/>
          </w:tcPr>
          <w:p>
            <w:pPr>
              <w:pStyle w:val="14"/>
            </w:pPr>
            <w:r>
              <w:t>≤6万元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提高困难职工生活水平</w:t>
            </w:r>
          </w:p>
        </w:tc>
        <w:tc>
          <w:tcPr>
            <w:tcW w:w="5386" w:type="dxa"/>
            <w:vAlign w:val="center"/>
          </w:tcPr>
          <w:p>
            <w:pPr>
              <w:pStyle w:val="14"/>
            </w:pPr>
            <w:r>
              <w:t>慰问困难职工补贴，提高生活</w:t>
            </w:r>
          </w:p>
          <w:p>
            <w:pPr>
              <w:pStyle w:val="14"/>
            </w:pPr>
            <w:r>
              <w:t>水准</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困难职工生活保障</w:t>
            </w:r>
          </w:p>
        </w:tc>
        <w:tc>
          <w:tcPr>
            <w:tcW w:w="5386" w:type="dxa"/>
            <w:vAlign w:val="center"/>
          </w:tcPr>
          <w:p>
            <w:pPr>
              <w:pStyle w:val="14"/>
            </w:pPr>
            <w:r>
              <w:t>确保辖区企业困难职工生活得到保障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困难职工满意度</w:t>
            </w:r>
          </w:p>
        </w:tc>
        <w:tc>
          <w:tcPr>
            <w:tcW w:w="5386" w:type="dxa"/>
            <w:vAlign w:val="center"/>
          </w:tcPr>
          <w:p>
            <w:pPr>
              <w:pStyle w:val="14"/>
            </w:pPr>
            <w:r>
              <w:t>反映困难职工满意度情况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8、离休干部及建国前老工人春节慰问绩效目标表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13060625P00504310198M</w:t>
            </w:r>
          </w:p>
        </w:tc>
        <w:tc>
          <w:tcPr>
            <w:tcW w:w="2835" w:type="dxa"/>
            <w:vAlign w:val="center"/>
          </w:tcPr>
          <w:p>
            <w:pPr>
              <w:pStyle w:val="12"/>
            </w:pPr>
            <w:r>
              <w:t>项目名称</w:t>
            </w:r>
          </w:p>
        </w:tc>
        <w:tc>
          <w:tcPr>
            <w:tcW w:w="6095" w:type="dxa"/>
            <w:gridSpan w:val="3"/>
            <w:vAlign w:val="center"/>
          </w:tcPr>
          <w:p>
            <w:pPr>
              <w:pStyle w:val="14"/>
            </w:pPr>
            <w:r>
              <w:t>离休干部及建国前老工人春节慰问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0.24</w:t>
            </w:r>
          </w:p>
        </w:tc>
        <w:tc>
          <w:tcPr>
            <w:tcW w:w="2835" w:type="dxa"/>
            <w:vAlign w:val="center"/>
          </w:tcPr>
          <w:p>
            <w:pPr>
              <w:pStyle w:val="12"/>
            </w:pPr>
            <w:r>
              <w:t>其中：财政    资金</w:t>
            </w:r>
          </w:p>
        </w:tc>
        <w:tc>
          <w:tcPr>
            <w:tcW w:w="2551" w:type="dxa"/>
            <w:vAlign w:val="center"/>
          </w:tcPr>
          <w:p>
            <w:pPr>
              <w:pStyle w:val="14"/>
            </w:pPr>
            <w:r>
              <w:t>0.24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离休干部及建国前老工人春节慰问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1.目标内容1春节慰问离休干部5人、建国前老工人3人，每人300元标准，确保离休干部及建国前老工人满意度95%以上。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离休干部及建国前老工人</w:t>
            </w:r>
          </w:p>
          <w:p>
            <w:pPr>
              <w:pStyle w:val="14"/>
            </w:pPr>
            <w:r>
              <w:t>人数</w:t>
            </w:r>
          </w:p>
        </w:tc>
        <w:tc>
          <w:tcPr>
            <w:tcW w:w="5386" w:type="dxa"/>
            <w:vAlign w:val="center"/>
          </w:tcPr>
          <w:p>
            <w:pPr>
              <w:pStyle w:val="14"/>
            </w:pPr>
            <w:r>
              <w:t>领取慰问款人数</w:t>
            </w:r>
          </w:p>
        </w:tc>
        <w:tc>
          <w:tcPr>
            <w:tcW w:w="2268" w:type="dxa"/>
            <w:vAlign w:val="center"/>
          </w:tcPr>
          <w:p>
            <w:pPr>
              <w:pStyle w:val="14"/>
            </w:pPr>
            <w:r>
              <w:t>≤8人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慰问款发放准确率</w:t>
            </w:r>
          </w:p>
        </w:tc>
        <w:tc>
          <w:tcPr>
            <w:tcW w:w="5386" w:type="dxa"/>
            <w:vAlign w:val="center"/>
          </w:tcPr>
          <w:p>
            <w:pPr>
              <w:pStyle w:val="14"/>
            </w:pPr>
            <w:r>
              <w:t>慰问款发放准确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按预算及时率</w:t>
            </w:r>
          </w:p>
        </w:tc>
        <w:tc>
          <w:tcPr>
            <w:tcW w:w="5386" w:type="dxa"/>
            <w:vAlign w:val="center"/>
          </w:tcPr>
          <w:p>
            <w:pPr>
              <w:pStyle w:val="14"/>
            </w:pPr>
            <w:r>
              <w:t>慰问款及时发放率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发生成本不超预算</w:t>
            </w:r>
          </w:p>
        </w:tc>
        <w:tc>
          <w:tcPr>
            <w:tcW w:w="2268" w:type="dxa"/>
            <w:vAlign w:val="center"/>
          </w:tcPr>
          <w:p>
            <w:pPr>
              <w:pStyle w:val="14"/>
            </w:pPr>
            <w:r>
              <w:t>≤0.24万元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提高离休干部和建国前老工人生活水平</w:t>
            </w:r>
          </w:p>
        </w:tc>
        <w:tc>
          <w:tcPr>
            <w:tcW w:w="5386" w:type="dxa"/>
            <w:vAlign w:val="center"/>
          </w:tcPr>
          <w:p>
            <w:pPr>
              <w:pStyle w:val="14"/>
            </w:pPr>
            <w:r>
              <w:t>提高离休干部和建国前老工人生活水平</w:t>
            </w:r>
          </w:p>
        </w:tc>
        <w:tc>
          <w:tcPr>
            <w:tcW w:w="2268" w:type="dxa"/>
            <w:vAlign w:val="center"/>
          </w:tcPr>
          <w:p>
            <w:pPr>
              <w:pStyle w:val="14"/>
            </w:pPr>
            <w:r>
              <w:t>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w:t>
            </w:r>
          </w:p>
        </w:tc>
        <w:tc>
          <w:tcPr>
            <w:tcW w:w="5386" w:type="dxa"/>
            <w:vAlign w:val="center"/>
          </w:tcPr>
          <w:p>
            <w:pPr>
              <w:pStyle w:val="14"/>
            </w:pPr>
            <w:r>
              <w:t>不涉及生态效益</w:t>
            </w:r>
          </w:p>
        </w:tc>
        <w:tc>
          <w:tcPr>
            <w:tcW w:w="2268" w:type="dxa"/>
            <w:vAlign w:val="center"/>
          </w:tcPr>
          <w:p>
            <w:pPr>
              <w:pStyle w:val="14"/>
            </w:pPr>
            <w:r>
              <w:t>不涉及生态效益</w:t>
            </w:r>
          </w:p>
        </w:tc>
        <w:tc>
          <w:tcPr>
            <w:tcW w:w="1276" w:type="dxa"/>
            <w:vAlign w:val="center"/>
          </w:tcPr>
          <w:p>
            <w:pPr>
              <w:pStyle w:val="14"/>
            </w:pPr>
            <w:r>
              <w:t>不涉及生态效益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离休干部和建国前老工人生活得到持续改善</w:t>
            </w:r>
          </w:p>
        </w:tc>
        <w:tc>
          <w:tcPr>
            <w:tcW w:w="5386" w:type="dxa"/>
            <w:vAlign w:val="center"/>
          </w:tcPr>
          <w:p>
            <w:pPr>
              <w:pStyle w:val="14"/>
            </w:pPr>
            <w:r>
              <w:t>离休干部和建国前老工人生活得到持续改善</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离休干部及建国前老工人</w:t>
            </w:r>
          </w:p>
          <w:p>
            <w:pPr>
              <w:pStyle w:val="14"/>
            </w:pPr>
            <w:r>
              <w:t>满意度</w:t>
            </w:r>
          </w:p>
        </w:tc>
        <w:tc>
          <w:tcPr>
            <w:tcW w:w="5386" w:type="dxa"/>
            <w:vAlign w:val="center"/>
          </w:tcPr>
          <w:p>
            <w:pPr>
              <w:pStyle w:val="14"/>
            </w:pPr>
            <w:r>
              <w:t>支出达到离休干部、建国前老工人满意</w:t>
            </w:r>
          </w:p>
          <w:p>
            <w:pPr>
              <w:pStyle w:val="14"/>
            </w:pPr>
            <w:r>
              <w:t>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9、离休干部医保统筹绩效目标表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13060625P00504310202E</w:t>
            </w:r>
          </w:p>
        </w:tc>
        <w:tc>
          <w:tcPr>
            <w:tcW w:w="2835" w:type="dxa"/>
            <w:vAlign w:val="center"/>
          </w:tcPr>
          <w:p>
            <w:pPr>
              <w:pStyle w:val="12"/>
            </w:pPr>
            <w:r>
              <w:t>项目名称</w:t>
            </w:r>
          </w:p>
        </w:tc>
        <w:tc>
          <w:tcPr>
            <w:tcW w:w="6095" w:type="dxa"/>
            <w:gridSpan w:val="3"/>
            <w:vAlign w:val="center"/>
          </w:tcPr>
          <w:p>
            <w:pPr>
              <w:pStyle w:val="14"/>
            </w:pPr>
            <w:r>
              <w:t>离休干部医保统筹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140.00</w:t>
            </w:r>
          </w:p>
        </w:tc>
        <w:tc>
          <w:tcPr>
            <w:tcW w:w="2835" w:type="dxa"/>
            <w:vAlign w:val="center"/>
          </w:tcPr>
          <w:p>
            <w:pPr>
              <w:pStyle w:val="12"/>
            </w:pPr>
            <w:r>
              <w:t>其中：财政    资金</w:t>
            </w:r>
          </w:p>
        </w:tc>
        <w:tc>
          <w:tcPr>
            <w:tcW w:w="2551" w:type="dxa"/>
            <w:vAlign w:val="center"/>
          </w:tcPr>
          <w:p>
            <w:pPr>
              <w:pStyle w:val="14"/>
            </w:pPr>
            <w:r>
              <w:t>140.00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离休干部医保统筹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1.目标内容1离休干部14人，按市医保中心缴纳标准每人10万，缴纳资金140万元，确保离休干部满意度达到95%以上。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医保统筹人数</w:t>
            </w:r>
          </w:p>
        </w:tc>
        <w:tc>
          <w:tcPr>
            <w:tcW w:w="5386" w:type="dxa"/>
            <w:vAlign w:val="center"/>
          </w:tcPr>
          <w:p>
            <w:pPr>
              <w:pStyle w:val="14"/>
            </w:pPr>
            <w:r>
              <w:t>完成核实离休干部人数</w:t>
            </w:r>
          </w:p>
        </w:tc>
        <w:tc>
          <w:tcPr>
            <w:tcW w:w="2268" w:type="dxa"/>
            <w:vAlign w:val="center"/>
          </w:tcPr>
          <w:p>
            <w:pPr>
              <w:pStyle w:val="14"/>
            </w:pPr>
            <w:r>
              <w:t>≤14人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保障医保缴纳准确率</w:t>
            </w:r>
          </w:p>
        </w:tc>
        <w:tc>
          <w:tcPr>
            <w:tcW w:w="5386" w:type="dxa"/>
            <w:vAlign w:val="center"/>
          </w:tcPr>
          <w:p>
            <w:pPr>
              <w:pStyle w:val="14"/>
            </w:pPr>
            <w:r>
              <w:t>保障医保缴纳准确率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资金缴纳及时率</w:t>
            </w:r>
          </w:p>
        </w:tc>
        <w:tc>
          <w:tcPr>
            <w:tcW w:w="5386" w:type="dxa"/>
            <w:vAlign w:val="center"/>
          </w:tcPr>
          <w:p>
            <w:pPr>
              <w:pStyle w:val="14"/>
            </w:pPr>
            <w:r>
              <w:t>医药费资金及时缴纳率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反映离休干部医药费成本不超预算</w:t>
            </w:r>
          </w:p>
        </w:tc>
        <w:tc>
          <w:tcPr>
            <w:tcW w:w="2268" w:type="dxa"/>
            <w:vAlign w:val="center"/>
          </w:tcPr>
          <w:p>
            <w:pPr>
              <w:pStyle w:val="14"/>
            </w:pPr>
            <w:r>
              <w:t>≤140万元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保障离休干部生活医疗水平</w:t>
            </w:r>
          </w:p>
        </w:tc>
        <w:tc>
          <w:tcPr>
            <w:tcW w:w="5386" w:type="dxa"/>
            <w:vAlign w:val="center"/>
          </w:tcPr>
          <w:p>
            <w:pPr>
              <w:pStyle w:val="14"/>
            </w:pPr>
            <w:r>
              <w:t>有效保障离休干部生活医疗水平</w:t>
            </w:r>
          </w:p>
        </w:tc>
        <w:tc>
          <w:tcPr>
            <w:tcW w:w="2268" w:type="dxa"/>
            <w:vAlign w:val="center"/>
          </w:tcPr>
          <w:p>
            <w:pPr>
              <w:pStyle w:val="14"/>
            </w:pPr>
            <w:r>
              <w:t>效果显著</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不涉及生态效益</w:t>
            </w:r>
          </w:p>
        </w:tc>
        <w:tc>
          <w:tcPr>
            <w:tcW w:w="5386" w:type="dxa"/>
            <w:vAlign w:val="center"/>
          </w:tcPr>
          <w:p>
            <w:pPr>
              <w:pStyle w:val="14"/>
            </w:pPr>
            <w:r>
              <w:t>不涉及生态效益</w:t>
            </w:r>
          </w:p>
        </w:tc>
        <w:tc>
          <w:tcPr>
            <w:tcW w:w="2268" w:type="dxa"/>
            <w:vAlign w:val="center"/>
          </w:tcPr>
          <w:p>
            <w:pPr>
              <w:pStyle w:val="14"/>
            </w:pPr>
            <w:r>
              <w:t>不涉及生态效益</w:t>
            </w:r>
          </w:p>
        </w:tc>
        <w:tc>
          <w:tcPr>
            <w:tcW w:w="1276" w:type="dxa"/>
            <w:vAlign w:val="center"/>
          </w:tcPr>
          <w:p>
            <w:pPr>
              <w:pStyle w:val="14"/>
            </w:pPr>
            <w:r>
              <w:t>不涉及生态效益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离休干部住院得到持续保障</w:t>
            </w:r>
          </w:p>
        </w:tc>
        <w:tc>
          <w:tcPr>
            <w:tcW w:w="5386" w:type="dxa"/>
            <w:vAlign w:val="center"/>
          </w:tcPr>
          <w:p>
            <w:pPr>
              <w:pStyle w:val="14"/>
            </w:pPr>
            <w:r>
              <w:t>确保辖区离休干部生活住院得到保障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离休干部满意度</w:t>
            </w:r>
          </w:p>
        </w:tc>
        <w:tc>
          <w:tcPr>
            <w:tcW w:w="5386" w:type="dxa"/>
            <w:vAlign w:val="center"/>
          </w:tcPr>
          <w:p>
            <w:pPr>
              <w:pStyle w:val="14"/>
            </w:pPr>
            <w:r>
              <w:t>支出达到离休干部满意度情况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10、职教幼教补助绩效目标表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13060625P00504310188R</w:t>
            </w:r>
          </w:p>
        </w:tc>
        <w:tc>
          <w:tcPr>
            <w:tcW w:w="2835" w:type="dxa"/>
            <w:vAlign w:val="center"/>
          </w:tcPr>
          <w:p>
            <w:pPr>
              <w:pStyle w:val="12"/>
            </w:pPr>
            <w:r>
              <w:t>项目名称</w:t>
            </w:r>
          </w:p>
        </w:tc>
        <w:tc>
          <w:tcPr>
            <w:tcW w:w="6095" w:type="dxa"/>
            <w:gridSpan w:val="3"/>
            <w:vAlign w:val="center"/>
          </w:tcPr>
          <w:p>
            <w:pPr>
              <w:pStyle w:val="14"/>
            </w:pPr>
            <w:r>
              <w:t>职教幼教补助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215.45</w:t>
            </w:r>
          </w:p>
        </w:tc>
        <w:tc>
          <w:tcPr>
            <w:tcW w:w="2835" w:type="dxa"/>
            <w:vAlign w:val="center"/>
          </w:tcPr>
          <w:p>
            <w:pPr>
              <w:pStyle w:val="12"/>
            </w:pPr>
            <w:r>
              <w:t>其中：财政    资金</w:t>
            </w:r>
          </w:p>
        </w:tc>
        <w:tc>
          <w:tcPr>
            <w:tcW w:w="2551" w:type="dxa"/>
            <w:vAlign w:val="center"/>
          </w:tcPr>
          <w:p>
            <w:pPr>
              <w:pStyle w:val="14"/>
            </w:pPr>
            <w:r>
              <w:t>215.45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职教幼教补助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1.目标内容1确保职教幼教补助资金发放顺利开展，职教幼教退休教师50人，按区人社局测算标准，确保退休教师满意度达到95%以上。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职教幼教退休教师人数</w:t>
            </w:r>
          </w:p>
        </w:tc>
        <w:tc>
          <w:tcPr>
            <w:tcW w:w="5386" w:type="dxa"/>
            <w:vAlign w:val="center"/>
          </w:tcPr>
          <w:p>
            <w:pPr>
              <w:pStyle w:val="14"/>
            </w:pPr>
            <w:r>
              <w:t>职教幼教退休教师人数</w:t>
            </w:r>
          </w:p>
        </w:tc>
        <w:tc>
          <w:tcPr>
            <w:tcW w:w="2268" w:type="dxa"/>
            <w:vAlign w:val="center"/>
          </w:tcPr>
          <w:p>
            <w:pPr>
              <w:pStyle w:val="14"/>
            </w:pPr>
            <w:r>
              <w:t>≤50人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资金发放准确率</w:t>
            </w:r>
          </w:p>
        </w:tc>
        <w:tc>
          <w:tcPr>
            <w:tcW w:w="5386" w:type="dxa"/>
            <w:vAlign w:val="center"/>
          </w:tcPr>
          <w:p>
            <w:pPr>
              <w:pStyle w:val="14"/>
            </w:pPr>
            <w:r>
              <w:t>职教幼教退休教师补助资金发放准确率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职教幼教退休教师补助资金发放及时率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w:t>
            </w:r>
          </w:p>
        </w:tc>
        <w:tc>
          <w:tcPr>
            <w:tcW w:w="5386" w:type="dxa"/>
            <w:vAlign w:val="center"/>
          </w:tcPr>
          <w:p>
            <w:pPr>
              <w:pStyle w:val="14"/>
            </w:pPr>
            <w:r>
              <w:t>职教幼教退休教师补助预算控制数</w:t>
            </w:r>
          </w:p>
        </w:tc>
        <w:tc>
          <w:tcPr>
            <w:tcW w:w="2268" w:type="dxa"/>
            <w:vAlign w:val="center"/>
          </w:tcPr>
          <w:p>
            <w:pPr>
              <w:pStyle w:val="14"/>
            </w:pPr>
            <w:r>
              <w:t>≤215.45万元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保障职教幼教退休教师人员生活</w:t>
            </w:r>
          </w:p>
        </w:tc>
        <w:tc>
          <w:tcPr>
            <w:tcW w:w="5386" w:type="dxa"/>
            <w:vAlign w:val="center"/>
          </w:tcPr>
          <w:p>
            <w:pPr>
              <w:pStyle w:val="14"/>
            </w:pPr>
            <w:r>
              <w:t>保障国有企业教师人员</w:t>
            </w:r>
          </w:p>
          <w:p>
            <w:pPr>
              <w:pStyle w:val="14"/>
            </w:pPr>
            <w:r>
              <w:t>生活情况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职教幼教生活得到持续保障</w:t>
            </w:r>
          </w:p>
        </w:tc>
        <w:tc>
          <w:tcPr>
            <w:tcW w:w="5386" w:type="dxa"/>
            <w:vAlign w:val="center"/>
          </w:tcPr>
          <w:p>
            <w:pPr>
              <w:pStyle w:val="14"/>
            </w:pPr>
            <w:r>
              <w:t>确保职教幼教退休教师生活保障</w:t>
            </w:r>
          </w:p>
        </w:tc>
        <w:tc>
          <w:tcPr>
            <w:tcW w:w="2268" w:type="dxa"/>
            <w:vAlign w:val="center"/>
          </w:tcPr>
          <w:p>
            <w:pPr>
              <w:pStyle w:val="14"/>
            </w:pPr>
            <w:r>
              <w:t>≥85百分比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国有企业退休教师满意度</w:t>
            </w:r>
          </w:p>
        </w:tc>
        <w:tc>
          <w:tcPr>
            <w:tcW w:w="5386" w:type="dxa"/>
            <w:vAlign w:val="center"/>
          </w:tcPr>
          <w:p>
            <w:pPr>
              <w:pStyle w:val="14"/>
            </w:pPr>
            <w:r>
              <w:t>反映支出达到退休教师满意度情况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13060625P00504310191C</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1.目标内容1负责机关财务、资产管理等工作；承担信息、安全信息、督察督办、信访、后勤保障等工作,服务对象满意度达到90%以上。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经费支出准确率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按时间进度要求支付使用资金</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按期完成预算控制</w:t>
            </w:r>
          </w:p>
        </w:tc>
        <w:tc>
          <w:tcPr>
            <w:tcW w:w="5386" w:type="dxa"/>
            <w:vAlign w:val="center"/>
          </w:tcPr>
          <w:p>
            <w:pPr>
              <w:pStyle w:val="14"/>
            </w:pPr>
            <w:r>
              <w:t>反映工信事务管理成本控制</w:t>
            </w:r>
          </w:p>
        </w:tc>
        <w:tc>
          <w:tcPr>
            <w:tcW w:w="2268" w:type="dxa"/>
            <w:vAlign w:val="center"/>
          </w:tcPr>
          <w:p>
            <w:pPr>
              <w:pStyle w:val="14"/>
            </w:pPr>
            <w:r>
              <w:t>≤7万元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发挥财政资金使用效率</w:t>
            </w:r>
          </w:p>
        </w:tc>
        <w:tc>
          <w:tcPr>
            <w:tcW w:w="5386" w:type="dxa"/>
            <w:vAlign w:val="center"/>
          </w:tcPr>
          <w:p>
            <w:pPr>
              <w:pStyle w:val="14"/>
            </w:pPr>
            <w:r>
              <w:t>有效发挥财政资金使用效率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保障单位正常运转</w:t>
            </w:r>
          </w:p>
        </w:tc>
        <w:tc>
          <w:tcPr>
            <w:tcW w:w="5386" w:type="dxa"/>
            <w:vAlign w:val="center"/>
          </w:tcPr>
          <w:p>
            <w:pPr>
              <w:pStyle w:val="14"/>
            </w:pPr>
            <w:r>
              <w:t>维护信息安全</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使用节能环保产品</w:t>
            </w:r>
          </w:p>
        </w:tc>
        <w:tc>
          <w:tcPr>
            <w:tcW w:w="5386" w:type="dxa"/>
            <w:vAlign w:val="center"/>
          </w:tcPr>
          <w:p>
            <w:pPr>
              <w:pStyle w:val="14"/>
            </w:pPr>
            <w:r>
              <w:t>响应节能号召，使用节能环</w:t>
            </w:r>
          </w:p>
          <w:p>
            <w:pPr>
              <w:pStyle w:val="14"/>
            </w:pPr>
            <w:r>
              <w:t>保产品</w:t>
            </w:r>
          </w:p>
        </w:tc>
        <w:tc>
          <w:tcPr>
            <w:tcW w:w="2268" w:type="dxa"/>
            <w:vAlign w:val="center"/>
          </w:tcPr>
          <w:p>
            <w:pPr>
              <w:pStyle w:val="14"/>
            </w:pPr>
            <w:r>
              <w:t>持续使用</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综合业务工作的可持续</w:t>
            </w:r>
          </w:p>
          <w:p>
            <w:pPr>
              <w:pStyle w:val="14"/>
            </w:pPr>
            <w:r>
              <w:t>性保障</w:t>
            </w:r>
          </w:p>
        </w:tc>
        <w:tc>
          <w:tcPr>
            <w:tcW w:w="5386" w:type="dxa"/>
            <w:vAlign w:val="center"/>
          </w:tcPr>
          <w:p>
            <w:pPr>
              <w:pStyle w:val="14"/>
            </w:pPr>
            <w:r>
              <w:t>确保局机关各个科室工作得到</w:t>
            </w:r>
          </w:p>
          <w:p>
            <w:pPr>
              <w:pStyle w:val="14"/>
            </w:pPr>
            <w:r>
              <w:t>保障</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5386" w:type="dxa"/>
            <w:vAlign w:val="center"/>
          </w:tcPr>
          <w:p>
            <w:pPr>
              <w:pStyle w:val="14"/>
            </w:pPr>
            <w:r>
              <w:t>支出达到单位工作人员满意</w:t>
            </w:r>
          </w:p>
          <w:p>
            <w:pPr>
              <w:pStyle w:val="14"/>
            </w:pPr>
            <w:r>
              <w:t>度情况</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304001保定市莲池区工业和信息化局本级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保定市莲池区工业和信息化局本级上年末固定资产金额为</w:t>
      </w:r>
      <w:r>
        <w:rPr>
          <w:rFonts w:hint="eastAsia" w:eastAsia="方正仿宋_GBK" w:cs="Times New Roman"/>
          <w:b w:val="0"/>
          <w:color w:val="000000"/>
          <w:sz w:val="28"/>
          <w:lang w:val="en-US" w:eastAsia="zh-CN"/>
        </w:rPr>
        <w:t>51.67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304保定市莲池区工业和信息化局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jc w:val="center"/>
              <w:rPr>
                <w:rFonts w:ascii="仿宋_GB2312" w:hAnsi="仿宋" w:eastAsia="仿宋_GB2312" w:cs="宋体"/>
                <w:b/>
                <w:bCs/>
                <w:color w:val="000000"/>
                <w:sz w:val="24"/>
                <w:szCs w:val="24"/>
                <w:highlight w:val="none"/>
                <w:lang w:val="en-US" w:eastAsia="uk-UA" w:bidi="ar-SA"/>
              </w:rPr>
            </w:pPr>
            <w:r>
              <w:rPr>
                <w:rFonts w:hint="eastAsia" w:ascii="仿宋_GB2312" w:hAnsi="仿宋" w:eastAsia="仿宋_GB2312" w:cs="宋体"/>
                <w:b/>
                <w:bCs/>
                <w:color w:val="000000"/>
                <w:highlight w:val="none"/>
              </w:rPr>
              <w:t>固定资产总额</w:t>
            </w:r>
          </w:p>
        </w:tc>
        <w:tc>
          <w:tcPr>
            <w:tcW w:w="2835" w:type="dxa"/>
            <w:shd w:val="clear" w:color="auto" w:fill="auto"/>
            <w:vAlign w:val="center"/>
          </w:tcPr>
          <w:p>
            <w:pPr>
              <w:ind w:firstLine="1205" w:firstLineChars="500"/>
              <w:jc w:val="both"/>
              <w:rPr>
                <w:rFonts w:hint="default" w:ascii="仿宋_GB2312" w:hAnsi="仿宋" w:eastAsia="仿宋_GB2312" w:cs="宋体"/>
                <w:b/>
                <w:color w:val="000000"/>
                <w:sz w:val="24"/>
                <w:szCs w:val="24"/>
                <w:highlight w:val="none"/>
                <w:lang w:val="en-US" w:eastAsia="zh-CN" w:bidi="ar-SA"/>
              </w:rPr>
            </w:pPr>
            <w:r>
              <w:rPr>
                <w:rFonts w:hint="eastAsia" w:ascii="仿宋_GB2312" w:hAnsi="仿宋" w:eastAsia="仿宋_GB2312" w:cs="宋体"/>
                <w:b/>
                <w:color w:val="000000"/>
                <w:sz w:val="24"/>
                <w:szCs w:val="24"/>
                <w:highlight w:val="none"/>
                <w:lang w:val="en-US" w:eastAsia="zh-CN" w:bidi="ar-SA"/>
              </w:rPr>
              <w:t>183</w:t>
            </w:r>
          </w:p>
        </w:tc>
        <w:tc>
          <w:tcPr>
            <w:tcW w:w="2835" w:type="dxa"/>
            <w:shd w:val="clear" w:color="auto" w:fill="auto"/>
            <w:vAlign w:val="center"/>
          </w:tcPr>
          <w:p>
            <w:pPr>
              <w:jc w:val="center"/>
              <w:rPr>
                <w:rFonts w:hint="default" w:ascii="仿宋_GB2312" w:hAnsi="仿宋" w:eastAsia="仿宋_GB2312" w:cs="宋体"/>
                <w:b/>
                <w:color w:val="000000"/>
                <w:sz w:val="24"/>
                <w:szCs w:val="24"/>
                <w:highlight w:val="none"/>
                <w:lang w:val="en-US" w:eastAsia="zh-CN" w:bidi="ar-SA"/>
              </w:rPr>
            </w:pPr>
            <w:r>
              <w:rPr>
                <w:rFonts w:hint="eastAsia" w:ascii="仿宋_GB2312" w:hAnsi="仿宋" w:eastAsia="仿宋_GB2312" w:cs="宋体"/>
                <w:b/>
                <w:color w:val="000000"/>
                <w:sz w:val="24"/>
                <w:szCs w:val="24"/>
                <w:highlight w:val="none"/>
                <w:lang w:val="en-US" w:eastAsia="zh-CN" w:bidi="ar-SA"/>
              </w:rPr>
              <w:t>51.67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1、房屋（平方米）</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其中：办公用房（平方米）</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2、车辆（台、辆）</w:t>
            </w:r>
          </w:p>
        </w:tc>
        <w:tc>
          <w:tcPr>
            <w:tcW w:w="2835" w:type="dxa"/>
            <w:shd w:val="clear" w:color="auto" w:fill="auto"/>
            <w:vAlign w:val="center"/>
          </w:tcPr>
          <w:p>
            <w:pPr>
              <w:jc w:val="center"/>
              <w:rPr>
                <w:rFonts w:hint="eastAsia"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2</w:t>
            </w:r>
          </w:p>
        </w:tc>
        <w:tc>
          <w:tcPr>
            <w:tcW w:w="2835" w:type="dxa"/>
            <w:shd w:val="clear" w:color="auto" w:fill="auto"/>
            <w:vAlign w:val="center"/>
          </w:tcPr>
          <w:p>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27.56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3、单价在50万元以上的设备(台、套)</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其中：单价50万元（含）以上的通用设备</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单价100万元（含）以上的通专用设备</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4、其他固定资产</w:t>
            </w:r>
          </w:p>
        </w:tc>
        <w:tc>
          <w:tcPr>
            <w:tcW w:w="2835" w:type="dxa"/>
            <w:shd w:val="clear" w:color="auto" w:fill="auto"/>
            <w:vAlign w:val="center"/>
          </w:tcPr>
          <w:p>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183</w:t>
            </w:r>
          </w:p>
        </w:tc>
        <w:tc>
          <w:tcPr>
            <w:tcW w:w="2835" w:type="dxa"/>
            <w:shd w:val="clear" w:color="auto" w:fill="auto"/>
            <w:vAlign w:val="center"/>
          </w:tcPr>
          <w:p>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sz w:val="24"/>
                <w:szCs w:val="24"/>
                <w:highlight w:val="none"/>
                <w:lang w:val="en-US" w:eastAsia="zh-CN" w:bidi="ar-SA"/>
              </w:rPr>
              <w:t>24.11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16156"/>
    <w:multiLevelType w:val="singleLevel"/>
    <w:tmpl w:val="24116156"/>
    <w:lvl w:ilvl="0" w:tentative="0">
      <w:start w:val="10"/>
      <w:numFmt w:val="chineseCounting"/>
      <w:suff w:val="nothing"/>
      <w:lvlText w:val="%1、"/>
      <w:lvlJc w:val="left"/>
      <w:rPr>
        <w:rFonts w:hint="eastAsia"/>
      </w:rPr>
    </w:lvl>
  </w:abstractNum>
  <w:abstractNum w:abstractNumId="1">
    <w:nsid w:val="49A1C618"/>
    <w:multiLevelType w:val="singleLevel"/>
    <w:tmpl w:val="49A1C61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000000"/>
    <w:rsid w:val="0B5828F1"/>
    <w:rsid w:val="26EC3819"/>
    <w:rsid w:val="3E62523E"/>
    <w:rsid w:val="410E632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firstLineChars="20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97</Pages>
  <Words>2997</Words>
  <Characters>5009</Characters>
  <TotalTime>5</TotalTime>
  <ScaleCrop>false</ScaleCrop>
  <LinksUpToDate>false</LinksUpToDate>
  <CharactersWithSpaces>5069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2025-02-13T09:23:00Z</dcterms:created>
  <dc:creator>Administrator</dc:creator>
  <cp:lastModifiedBy>火</cp:lastModifiedBy>
  <dcterms:modified xsi:type="dcterms:W3CDTF">2025-02-25T06:24:19Z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eyJoZGlkIjoiMGQyZTgwNWQ5OGQ4N2ZiNGJmZDFhZTQyOWUxNDczN2MiLCJ1c2VySWQiOiIzODMyNzUzNDQifQ==</vt:lpwstr>
  </property>
  <property fmtid="{D5CDD505-2E9C-101B-9397-08002B2CF9AE}" pid="3" name="KSOProductBuildVer">
    <vt:lpwstr>2052-12.1.0.16250</vt:lpwstr>
  </property>
  <property fmtid="{D5CDD505-2E9C-101B-9397-08002B2CF9AE}" pid="4" name="ICV">
    <vt:lpwstr>462752C788214D51853AA247D61D4E05_12</vt:lpwstr>
  </property>
</Properties>
</file>