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b/>
          <w:bCs/>
          <w:sz w:val="44"/>
          <w:szCs w:val="44"/>
        </w:rPr>
      </w:pPr>
      <w:r>
        <w:rPr>
          <w:rFonts w:hint="eastAsia" w:ascii="华文中宋" w:hAnsi="华文中宋" w:eastAsia="华文中宋"/>
          <w:b/>
          <w:bCs/>
          <w:sz w:val="44"/>
          <w:szCs w:val="44"/>
        </w:rPr>
        <w:t>保定市莲池区市场监督管理局</w:t>
      </w:r>
      <w:bookmarkStart w:id="1" w:name="_GoBack"/>
      <w:bookmarkEnd w:id="1"/>
    </w:p>
    <w:p>
      <w:pPr>
        <w:spacing w:line="560" w:lineRule="exact"/>
        <w:jc w:val="center"/>
        <w:rPr>
          <w:rFonts w:ascii="华文中宋" w:hAnsi="华文中宋" w:eastAsia="华文中宋"/>
          <w:b/>
          <w:bCs/>
          <w:sz w:val="44"/>
          <w:szCs w:val="44"/>
        </w:rPr>
      </w:pPr>
      <w:r>
        <w:rPr>
          <w:rFonts w:hint="eastAsia" w:ascii="华文中宋" w:hAnsi="华文中宋" w:eastAsia="华文中宋"/>
          <w:b/>
          <w:bCs/>
          <w:sz w:val="44"/>
          <w:szCs w:val="44"/>
        </w:rPr>
        <w:t>2024年度法治建设工作总结</w:t>
      </w:r>
    </w:p>
    <w:p>
      <w:pPr>
        <w:widowControl/>
        <w:shd w:val="clear" w:color="auto" w:fill="FFFFFF"/>
        <w:spacing w:line="560" w:lineRule="exact"/>
        <w:ind w:firstLine="640" w:firstLineChars="200"/>
        <w:rPr>
          <w:rFonts w:ascii="仿宋" w:hAnsi="仿宋" w:eastAsia="仿宋"/>
          <w:sz w:val="32"/>
          <w:szCs w:val="32"/>
        </w:rPr>
      </w:pPr>
    </w:p>
    <w:p>
      <w:pPr>
        <w:widowControl/>
        <w:shd w:val="clear" w:color="auto" w:fill="FFFFFF"/>
        <w:spacing w:line="560" w:lineRule="exact"/>
        <w:ind w:firstLine="640" w:firstLineChars="200"/>
        <w:rPr>
          <w:rFonts w:ascii="仿宋" w:hAnsi="仿宋" w:eastAsia="仿宋"/>
          <w:sz w:val="32"/>
          <w:szCs w:val="32"/>
        </w:rPr>
      </w:pPr>
      <w:r>
        <w:rPr>
          <w:rFonts w:hint="eastAsia" w:ascii="仿宋" w:hAnsi="仿宋" w:eastAsia="仿宋"/>
          <w:sz w:val="32"/>
          <w:szCs w:val="32"/>
        </w:rPr>
        <w:t>2024年，市场监管局法治建设以习近平法治思想为指导，深入贯彻党的二十大精神，紧密结合市场监管工作实际，筑牢以人民为中心理念，强化依法履职意识，加强规范化标准化建设，依法行政能力持续提升，法治建设走在了全市市场监管系统前列。</w:t>
      </w:r>
    </w:p>
    <w:p>
      <w:pPr>
        <w:widowControl/>
        <w:shd w:val="clear" w:color="auto" w:fill="FFFFFF"/>
        <w:spacing w:line="560" w:lineRule="exact"/>
        <w:ind w:firstLine="321" w:firstLineChars="100"/>
        <w:rPr>
          <w:rFonts w:ascii="黑体" w:hAnsi="黑体" w:eastAsia="黑体" w:cs="宋体"/>
          <w:b/>
          <w:color w:val="333333"/>
          <w:kern w:val="0"/>
          <w:sz w:val="32"/>
          <w:szCs w:val="32"/>
        </w:rPr>
      </w:pPr>
      <w:r>
        <w:rPr>
          <w:rFonts w:hint="eastAsia" w:ascii="黑体" w:hAnsi="黑体" w:eastAsia="黑体"/>
          <w:b/>
          <w:sz w:val="32"/>
          <w:szCs w:val="32"/>
        </w:rPr>
        <w:t>一</w:t>
      </w:r>
      <w:r>
        <w:rPr>
          <w:rFonts w:hint="eastAsia" w:ascii="仿宋" w:hAnsi="仿宋" w:eastAsia="仿宋"/>
          <w:b/>
          <w:sz w:val="32"/>
          <w:szCs w:val="32"/>
        </w:rPr>
        <w:t>、</w:t>
      </w:r>
      <w:r>
        <w:rPr>
          <w:rFonts w:hint="eastAsia" w:ascii="黑体" w:hAnsi="黑体" w:eastAsia="黑体" w:cs="宋体"/>
          <w:b/>
          <w:color w:val="333333"/>
          <w:kern w:val="0"/>
          <w:sz w:val="32"/>
          <w:szCs w:val="32"/>
        </w:rPr>
        <w:t>强化法治工作组织领导，确保法治建设基础牢固</w:t>
      </w:r>
    </w:p>
    <w:p>
      <w:pPr>
        <w:spacing w:line="560" w:lineRule="exact"/>
        <w:ind w:firstLine="470" w:firstLineChars="147"/>
        <w:textAlignment w:val="baseline"/>
        <w:rPr>
          <w:rFonts w:ascii="仿宋" w:hAnsi="仿宋" w:eastAsia="仿宋" w:cs="宋体"/>
          <w:color w:val="333333"/>
          <w:kern w:val="0"/>
          <w:sz w:val="32"/>
          <w:szCs w:val="32"/>
        </w:rPr>
      </w:pPr>
      <w:r>
        <w:rPr>
          <w:rFonts w:hint="eastAsia" w:ascii="仿宋" w:hAnsi="仿宋" w:eastAsia="仿宋" w:cs="宋体"/>
          <w:color w:val="333333"/>
          <w:kern w:val="0"/>
          <w:sz w:val="32"/>
          <w:szCs w:val="32"/>
        </w:rPr>
        <w:t>严格落实主要负责人履行法治建设第一责任人要求，不断强化法治工作的组织保障、思想保障和制度保障，保证市场监管工作扎实开展。</w:t>
      </w:r>
    </w:p>
    <w:p>
      <w:pPr>
        <w:spacing w:line="560" w:lineRule="exact"/>
        <w:ind w:firstLine="472" w:firstLineChars="147"/>
        <w:textAlignment w:val="baseline"/>
        <w:rPr>
          <w:rFonts w:ascii="仿宋" w:hAnsi="仿宋" w:eastAsia="仿宋" w:cs="宋体"/>
          <w:color w:val="333333"/>
          <w:kern w:val="0"/>
          <w:sz w:val="32"/>
          <w:szCs w:val="32"/>
        </w:rPr>
      </w:pPr>
      <w:r>
        <w:rPr>
          <w:rFonts w:hint="eastAsia" w:ascii="楷体" w:hAnsi="楷体" w:eastAsia="楷体" w:cs="宋体"/>
          <w:b/>
          <w:sz w:val="32"/>
          <w:szCs w:val="32"/>
        </w:rPr>
        <w:t>（一）突出贯彻习近平法治思想。</w:t>
      </w:r>
      <w:r>
        <w:rPr>
          <w:rFonts w:hint="eastAsia" w:ascii="仿宋" w:hAnsi="仿宋" w:eastAsia="仿宋" w:cs="宋体"/>
          <w:color w:val="333333"/>
          <w:kern w:val="0"/>
          <w:sz w:val="32"/>
          <w:szCs w:val="32"/>
        </w:rPr>
        <w:t>在年度学法计划中，把习近平法治思想与党组理论中心组学习紧密结合，通过学习提高了全面推进依法行政新要求。切实履行推进法治建设第一责任人职责，提高班子成员运用法治思维解决实际问题的能力，定期召开专题会议，研究部署法治工作，解决工作中的难题。</w:t>
      </w:r>
    </w:p>
    <w:p>
      <w:pPr>
        <w:spacing w:line="560" w:lineRule="exact"/>
        <w:ind w:firstLine="472" w:firstLineChars="147"/>
        <w:rPr>
          <w:rFonts w:ascii="仿宋" w:hAnsi="仿宋" w:eastAsia="仿宋" w:cs="宋体"/>
          <w:color w:val="333333"/>
          <w:kern w:val="0"/>
          <w:sz w:val="32"/>
          <w:szCs w:val="32"/>
        </w:rPr>
      </w:pPr>
      <w:r>
        <w:rPr>
          <w:rFonts w:hint="eastAsia" w:ascii="楷体" w:hAnsi="楷体" w:eastAsia="楷体" w:cs="宋体"/>
          <w:b/>
          <w:sz w:val="32"/>
          <w:szCs w:val="32"/>
        </w:rPr>
        <w:t>（二）建立健全组织领导机构。</w:t>
      </w:r>
      <w:r>
        <w:rPr>
          <w:rFonts w:hint="eastAsia" w:ascii="仿宋" w:hAnsi="仿宋" w:eastAsia="仿宋" w:cs="宋体"/>
          <w:color w:val="333333"/>
          <w:kern w:val="0"/>
          <w:sz w:val="32"/>
          <w:szCs w:val="32"/>
        </w:rPr>
        <w:t>成立了法治工作领导小组，局领导变动时及时做出调整。坚持把治理工作纳入重要议事日程和领导班子责任目标，形成了一把手负总责、分管领导具体抓、各部门负责人齐抓共管工作机制。</w:t>
      </w:r>
    </w:p>
    <w:p>
      <w:pPr>
        <w:spacing w:line="560" w:lineRule="exact"/>
        <w:ind w:firstLine="630" w:firstLineChars="196"/>
        <w:rPr>
          <w:rFonts w:ascii="仿宋" w:hAnsi="仿宋" w:eastAsia="仿宋"/>
          <w:bCs/>
          <w:sz w:val="32"/>
          <w:szCs w:val="32"/>
        </w:rPr>
      </w:pPr>
      <w:r>
        <w:rPr>
          <w:rFonts w:hint="eastAsia" w:ascii="楷体" w:hAnsi="楷体" w:eastAsia="楷体" w:cs="宋体"/>
          <w:b/>
          <w:sz w:val="32"/>
          <w:szCs w:val="32"/>
        </w:rPr>
        <w:t>（三）着力</w:t>
      </w:r>
      <w:r>
        <w:rPr>
          <w:rFonts w:ascii="楷体" w:hAnsi="楷体" w:eastAsia="楷体" w:cs="宋体"/>
          <w:b/>
          <w:sz w:val="32"/>
          <w:szCs w:val="32"/>
        </w:rPr>
        <w:t>提升监管队伍素质</w:t>
      </w:r>
      <w:r>
        <w:rPr>
          <w:rFonts w:hint="eastAsia" w:ascii="楷体" w:hAnsi="楷体" w:eastAsia="楷体" w:cs="宋体"/>
          <w:b/>
          <w:sz w:val="32"/>
          <w:szCs w:val="32"/>
        </w:rPr>
        <w:t>。</w:t>
      </w:r>
      <w:r>
        <w:rPr>
          <w:rFonts w:hint="eastAsia" w:ascii="方正仿宋_GBK" w:hAnsi="方正仿宋_GBK" w:eastAsia="方正仿宋_GBK" w:cs="方正仿宋_GBK"/>
          <w:b/>
          <w:sz w:val="32"/>
          <w:szCs w:val="32"/>
        </w:rPr>
        <w:t>一是坚持党组议法制度。</w:t>
      </w:r>
      <w:r>
        <w:rPr>
          <w:rFonts w:hint="eastAsia" w:ascii="仿宋" w:hAnsi="仿宋" w:eastAsia="仿宋"/>
          <w:bCs/>
          <w:sz w:val="32"/>
          <w:szCs w:val="32"/>
        </w:rPr>
        <w:t>局党组严格落实“会前学法”制度截止目前组织学法24次，涉及法律法规40多部，班子成员的法律素养不断提升。</w:t>
      </w:r>
      <w:r>
        <w:rPr>
          <w:rFonts w:hint="eastAsia" w:ascii="方正仿宋_GBK" w:hAnsi="方正仿宋_GBK" w:eastAsia="方正仿宋_GBK" w:cs="方正仿宋_GBK"/>
          <w:b/>
          <w:sz w:val="32"/>
          <w:szCs w:val="32"/>
        </w:rPr>
        <w:t>二是开办执法办案大讲堂。</w:t>
      </w:r>
      <w:r>
        <w:rPr>
          <w:rFonts w:hint="eastAsia" w:ascii="仿宋" w:hAnsi="仿宋" w:eastAsia="仿宋"/>
          <w:bCs/>
          <w:sz w:val="32"/>
          <w:szCs w:val="32"/>
        </w:rPr>
        <w:t>组织执法人员岗位大练兵。局微信群发典型案例、办案相关材料近176件；对各办案单位法制员定期培训4次，不定期78次。参加省、市局组织的大讲堂法律法规培训10次，组织专题培训班12期，由本局业务股室负责人、法律顾问进行讲课。制作法制专刊12期、梳理制作《行政执法执法文书2.0手册》。</w:t>
      </w:r>
    </w:p>
    <w:p>
      <w:pPr>
        <w:spacing w:line="560" w:lineRule="exact"/>
        <w:ind w:firstLine="315" w:firstLineChars="98"/>
        <w:rPr>
          <w:rFonts w:ascii="仿宋" w:hAnsi="仿宋" w:eastAsia="仿宋" w:cs="仿宋"/>
          <w:sz w:val="32"/>
          <w:szCs w:val="32"/>
        </w:rPr>
      </w:pPr>
      <w:r>
        <w:rPr>
          <w:rFonts w:hint="eastAsia" w:ascii="楷体" w:hAnsi="楷体" w:eastAsia="楷体" w:cs="宋体"/>
          <w:b/>
          <w:sz w:val="32"/>
          <w:szCs w:val="32"/>
        </w:rPr>
        <w:t>（四）</w:t>
      </w:r>
      <w:r>
        <w:rPr>
          <w:rFonts w:hint="eastAsia" w:ascii="楷体" w:hAnsi="楷体" w:eastAsia="楷体" w:cs="仿宋"/>
          <w:b/>
          <w:sz w:val="32"/>
          <w:szCs w:val="32"/>
        </w:rPr>
        <w:t>贯彻落实普法责任制，</w:t>
      </w:r>
      <w:r>
        <w:rPr>
          <w:rFonts w:hint="eastAsia" w:ascii="楷体" w:hAnsi="楷体" w:eastAsia="楷体" w:cs="宋体"/>
          <w:b/>
          <w:sz w:val="32"/>
          <w:szCs w:val="32"/>
        </w:rPr>
        <w:t>持续开展普法活动。</w:t>
      </w:r>
      <w:r>
        <w:rPr>
          <w:rFonts w:hint="eastAsia" w:ascii="仿宋" w:hAnsi="仿宋" w:eastAsia="仿宋" w:cs="仿宋"/>
          <w:bCs/>
          <w:kern w:val="0"/>
          <w:sz w:val="32"/>
          <w:szCs w:val="32"/>
          <w:shd w:val="clear" w:color="auto" w:fill="FFFFFF"/>
        </w:rPr>
        <w:t>利用</w:t>
      </w:r>
      <w:r>
        <w:rPr>
          <w:rFonts w:hint="eastAsia" w:ascii="仿宋" w:hAnsi="仿宋" w:eastAsia="仿宋" w:cs="仿宋"/>
          <w:bCs/>
          <w:kern w:val="0"/>
          <w:sz w:val="32"/>
          <w:szCs w:val="32"/>
          <w:shd w:val="clear" w:color="auto" w:fill="FFFFFF"/>
          <w:lang w:eastAsia="zh-CN"/>
        </w:rPr>
        <w:t>“3·15”国际消费者权益日</w:t>
      </w:r>
      <w:r>
        <w:rPr>
          <w:rFonts w:hint="eastAsia" w:ascii="仿宋" w:hAnsi="仿宋" w:eastAsia="仿宋" w:cs="仿宋"/>
          <w:bCs/>
          <w:kern w:val="0"/>
          <w:sz w:val="32"/>
          <w:szCs w:val="32"/>
          <w:shd w:val="clear" w:color="auto" w:fill="FFFFFF"/>
        </w:rPr>
        <w:t>“4·26世界知识产权日”“5·20世界计量日”“6·9世界认可日”“ 全国食品安全宣传周”“ 质量月”“12.4日法治宣传”等重要时间节点，有计划有组织地集中推进面向社会的法治宣传活动，发放宣传材料18000份，</w:t>
      </w:r>
      <w:r>
        <w:rPr>
          <w:rFonts w:ascii="仿宋" w:hAnsi="仿宋" w:eastAsia="仿宋" w:cs="宋体"/>
          <w:sz w:val="32"/>
          <w:szCs w:val="32"/>
        </w:rPr>
        <w:t>广泛营造全社会关心、支持和参与法治建设的良好社会</w:t>
      </w:r>
      <w:r>
        <w:rPr>
          <w:rFonts w:hint="eastAsia" w:ascii="仿宋" w:hAnsi="仿宋" w:eastAsia="仿宋" w:cs="宋体"/>
          <w:sz w:val="32"/>
          <w:szCs w:val="32"/>
        </w:rPr>
        <w:t>氛围。</w:t>
      </w:r>
      <w:r>
        <w:rPr>
          <w:rFonts w:hint="eastAsia" w:ascii="仿宋" w:hAnsi="仿宋" w:eastAsia="仿宋" w:cs="仿宋"/>
          <w:sz w:val="32"/>
          <w:szCs w:val="32"/>
        </w:rPr>
        <w:t>组织开展</w:t>
      </w:r>
      <w:r>
        <w:rPr>
          <w:rFonts w:hint="eastAsia" w:ascii="仿宋" w:hAnsi="仿宋" w:eastAsia="仿宋" w:cs="仿宋"/>
          <w:bCs/>
          <w:sz w:val="32"/>
          <w:szCs w:val="32"/>
        </w:rPr>
        <w:t>法律进校园</w:t>
      </w:r>
      <w:r>
        <w:rPr>
          <w:rFonts w:hint="eastAsia" w:ascii="仿宋" w:hAnsi="仿宋" w:eastAsia="仿宋" w:cs="仿宋"/>
          <w:sz w:val="32"/>
          <w:szCs w:val="32"/>
        </w:rPr>
        <w:t>10次</w:t>
      </w:r>
      <w:r>
        <w:rPr>
          <w:rFonts w:hint="eastAsia" w:ascii="仿宋" w:hAnsi="仿宋" w:eastAsia="仿宋" w:cs="仿宋"/>
          <w:bCs/>
          <w:sz w:val="32"/>
          <w:szCs w:val="32"/>
        </w:rPr>
        <w:t>、法律进企业活动14次</w:t>
      </w:r>
      <w:r>
        <w:rPr>
          <w:rFonts w:hint="eastAsia" w:ascii="仿宋" w:hAnsi="仿宋" w:eastAsia="仿宋" w:cs="仿宋"/>
          <w:sz w:val="32"/>
          <w:szCs w:val="32"/>
        </w:rPr>
        <w:t>。</w:t>
      </w:r>
    </w:p>
    <w:p>
      <w:pPr>
        <w:spacing w:line="560" w:lineRule="exact"/>
        <w:ind w:firstLine="803" w:firstLineChars="250"/>
        <w:rPr>
          <w:rFonts w:ascii="黑体" w:hAnsi="黑体" w:eastAsia="黑体" w:cs="宋体"/>
          <w:b/>
          <w:sz w:val="32"/>
          <w:szCs w:val="32"/>
        </w:rPr>
      </w:pPr>
      <w:r>
        <w:rPr>
          <w:rFonts w:hint="eastAsia" w:ascii="黑体" w:hAnsi="黑体" w:eastAsia="黑体" w:cs="宋体"/>
          <w:b/>
          <w:sz w:val="32"/>
          <w:szCs w:val="32"/>
        </w:rPr>
        <w:t>二、</w:t>
      </w:r>
      <w:r>
        <w:rPr>
          <w:rFonts w:hint="eastAsia" w:ascii="黑体" w:hAnsi="黑体" w:eastAsia="黑体" w:cs="宋体"/>
          <w:b/>
          <w:color w:val="000000"/>
          <w:sz w:val="32"/>
          <w:szCs w:val="32"/>
        </w:rPr>
        <w:t>强化行政执法监督，</w:t>
      </w:r>
      <w:r>
        <w:rPr>
          <w:rFonts w:hint="eastAsia" w:ascii="黑体" w:hAnsi="黑体" w:eastAsia="黑体" w:cs="宋体"/>
          <w:b/>
          <w:sz w:val="32"/>
          <w:szCs w:val="32"/>
        </w:rPr>
        <w:t>规范执法行为</w:t>
      </w:r>
    </w:p>
    <w:p>
      <w:pPr>
        <w:spacing w:line="560" w:lineRule="exact"/>
        <w:ind w:firstLine="796" w:firstLineChars="249"/>
        <w:rPr>
          <w:rFonts w:ascii="仿宋" w:hAnsi="仿宋" w:eastAsia="仿宋" w:cs="仿宋_GB2312"/>
          <w:sz w:val="32"/>
          <w:szCs w:val="32"/>
        </w:rPr>
      </w:pPr>
      <w:r>
        <w:rPr>
          <w:rFonts w:hint="eastAsia" w:ascii="仿宋" w:hAnsi="仿宋" w:eastAsia="仿宋" w:cs="仿宋_GB2312"/>
          <w:sz w:val="32"/>
          <w:szCs w:val="32"/>
        </w:rPr>
        <w:t>为杜绝“有案不立、压案不查”“任性执法、选择性执法、运动式执法、一刀切执法”，防止执法人员越权</w:t>
      </w:r>
      <w:r>
        <w:rPr>
          <w:rFonts w:ascii="仿宋" w:hAnsi="仿宋" w:eastAsia="仿宋" w:cs="仿宋_GB2312"/>
          <w:sz w:val="32"/>
          <w:szCs w:val="32"/>
        </w:rPr>
        <w:t>执法、无证执法、随意执法、不文明执法等行为</w:t>
      </w:r>
      <w:r>
        <w:rPr>
          <w:rFonts w:hint="eastAsia" w:ascii="仿宋" w:hAnsi="仿宋" w:eastAsia="仿宋" w:cs="仿宋_GB2312"/>
          <w:sz w:val="32"/>
          <w:szCs w:val="32"/>
        </w:rPr>
        <w:t>，强化行政执法监督，确保执法制度化、规范化。</w:t>
      </w:r>
    </w:p>
    <w:p>
      <w:pPr>
        <w:spacing w:line="560" w:lineRule="exact"/>
        <w:ind w:firstLine="315" w:firstLineChars="98"/>
        <w:rPr>
          <w:rFonts w:ascii="仿宋" w:hAnsi="仿宋" w:eastAsia="仿宋" w:cs="仿宋_GB2312"/>
          <w:sz w:val="32"/>
          <w:szCs w:val="32"/>
        </w:rPr>
      </w:pPr>
      <w:r>
        <w:rPr>
          <w:rFonts w:hint="eastAsia" w:ascii="楷体" w:hAnsi="楷体" w:eastAsia="楷体" w:cs="宋体"/>
          <w:b/>
          <w:sz w:val="32"/>
          <w:szCs w:val="32"/>
        </w:rPr>
        <w:t>（一）不断强化执法行为规范。</w:t>
      </w:r>
      <w:r>
        <w:rPr>
          <w:rFonts w:hint="eastAsia" w:ascii="仿宋" w:hAnsi="仿宋" w:eastAsia="仿宋" w:cs="仿宋_GB2312"/>
          <w:sz w:val="32"/>
          <w:szCs w:val="32"/>
        </w:rPr>
        <w:t>莲池区局制定了《普通程序行政处罚案件办理程序规范》《行政执法规范文件》《行政执法手册》等，重点对办案程序、执法行为、执法文书等方面进行了规范，避免执法人员因文书瑕疵、行为不规范等造成执法风险，有效提升行政处罚案卷质量和水平。为使法治工作在制度引领下推进更加科学有序，</w:t>
      </w:r>
      <w:r>
        <w:rPr>
          <w:rFonts w:ascii="仿宋" w:hAnsi="仿宋" w:eastAsia="仿宋" w:cs="仿宋_GB2312"/>
          <w:sz w:val="32"/>
          <w:szCs w:val="32"/>
        </w:rPr>
        <w:t xml:space="preserve"> </w:t>
      </w:r>
    </w:p>
    <w:p>
      <w:pPr>
        <w:widowControl/>
        <w:spacing w:line="500" w:lineRule="exact"/>
        <w:ind w:firstLine="630" w:firstLineChars="196"/>
        <w:jc w:val="left"/>
        <w:rPr>
          <w:rFonts w:ascii="仿宋" w:hAnsi="仿宋" w:eastAsia="仿宋" w:cs="仿宋"/>
          <w:sz w:val="32"/>
          <w:szCs w:val="32"/>
        </w:rPr>
      </w:pPr>
      <w:r>
        <w:rPr>
          <w:rFonts w:hint="eastAsia" w:ascii="楷体" w:hAnsi="楷体" w:eastAsia="楷体" w:cs="宋体"/>
          <w:b/>
          <w:sz w:val="32"/>
          <w:szCs w:val="32"/>
        </w:rPr>
        <w:t>（二）</w:t>
      </w:r>
      <w:r>
        <w:rPr>
          <w:rFonts w:ascii="楷体" w:hAnsi="楷体" w:eastAsia="楷体" w:cs="宋体"/>
          <w:b/>
          <w:sz w:val="32"/>
          <w:szCs w:val="32"/>
        </w:rPr>
        <w:t>规范行使自由裁量权</w:t>
      </w:r>
      <w:r>
        <w:rPr>
          <w:rFonts w:hint="eastAsia" w:ascii="楷体" w:hAnsi="楷体" w:eastAsia="楷体" w:cs="宋体"/>
          <w:b/>
          <w:sz w:val="32"/>
          <w:szCs w:val="32"/>
        </w:rPr>
        <w:t>。</w:t>
      </w:r>
      <w:r>
        <w:rPr>
          <w:rFonts w:hint="eastAsia" w:ascii="仿宋" w:hAnsi="仿宋" w:eastAsia="仿宋" w:cs="宋体"/>
          <w:sz w:val="32"/>
          <w:szCs w:val="32"/>
        </w:rPr>
        <w:t>莲池区局将省、市局、省食药局、出台的《行政处罚裁量权适用规则》、《行政处罚裁量基准》印制成册下发各办案单位，方便各办案单位在执法办案过程中正确行使自由裁量，</w:t>
      </w:r>
      <w:r>
        <w:rPr>
          <w:rFonts w:hint="eastAsia" w:ascii="仿宋" w:hAnsi="仿宋" w:eastAsia="仿宋" w:cs="仿宋"/>
          <w:sz w:val="32"/>
          <w:szCs w:val="32"/>
        </w:rPr>
        <w:t>正确做到综合考量违法事实、性质、情节及社会危害后果，合理裁量处罚幅度，做到过罚相当。具备从轻处罚或者免予处罚情节的，结合具体案情予以考量，依法作出从轻或者免予处罚的决定；对违法行为造成严重危害后果等情形，依法从重处罚。</w:t>
      </w:r>
    </w:p>
    <w:p>
      <w:pPr>
        <w:spacing w:line="560" w:lineRule="exact"/>
        <w:ind w:firstLine="643" w:firstLineChars="200"/>
        <w:rPr>
          <w:rFonts w:ascii="仿宋" w:hAnsi="仿宋" w:eastAsia="仿宋" w:cs="仿宋"/>
          <w:sz w:val="32"/>
          <w:szCs w:val="32"/>
        </w:rPr>
      </w:pPr>
      <w:r>
        <w:rPr>
          <w:rFonts w:hint="eastAsia" w:ascii="楷体" w:hAnsi="楷体" w:eastAsia="楷体" w:cs="宋体"/>
          <w:b/>
          <w:sz w:val="32"/>
          <w:szCs w:val="32"/>
        </w:rPr>
        <w:t>（三）开展</w:t>
      </w:r>
      <w:r>
        <w:rPr>
          <w:rFonts w:ascii="楷体" w:hAnsi="楷体" w:eastAsia="楷体" w:cs="宋体"/>
          <w:b/>
          <w:sz w:val="32"/>
          <w:szCs w:val="32"/>
        </w:rPr>
        <w:t>处罚案件评查</w:t>
      </w:r>
      <w:r>
        <w:rPr>
          <w:rFonts w:hint="eastAsia" w:ascii="楷体" w:hAnsi="楷体" w:eastAsia="楷体" w:cs="宋体"/>
          <w:b/>
          <w:sz w:val="32"/>
          <w:szCs w:val="32"/>
        </w:rPr>
        <w:t>审核</w:t>
      </w:r>
      <w:r>
        <w:rPr>
          <w:rFonts w:ascii="楷体" w:hAnsi="楷体" w:eastAsia="楷体" w:cs="宋体"/>
          <w:b/>
          <w:sz w:val="32"/>
          <w:szCs w:val="32"/>
        </w:rPr>
        <w:t>。</w:t>
      </w:r>
      <w:r>
        <w:rPr>
          <w:rFonts w:hint="eastAsia" w:ascii="仿宋" w:hAnsi="仿宋" w:eastAsia="仿宋" w:cs="宋体"/>
          <w:sz w:val="32"/>
          <w:szCs w:val="32"/>
        </w:rPr>
        <w:t>按照《</w:t>
      </w:r>
      <w:r>
        <w:rPr>
          <w:rFonts w:hint="eastAsia" w:ascii="仿宋" w:hAnsi="仿宋" w:eastAsia="仿宋" w:cs="仿宋"/>
          <w:sz w:val="32"/>
          <w:szCs w:val="32"/>
        </w:rPr>
        <w:t>河北省行政处罚</w:t>
      </w:r>
      <w:r>
        <w:rPr>
          <w:rFonts w:ascii="仿宋" w:hAnsi="仿宋" w:eastAsia="仿宋" w:cs="仿宋"/>
          <w:sz w:val="32"/>
          <w:szCs w:val="32"/>
        </w:rPr>
        <w:t>案卷评查标准</w:t>
      </w:r>
      <w:r>
        <w:rPr>
          <w:rFonts w:hint="eastAsia" w:ascii="仿宋" w:hAnsi="仿宋" w:eastAsia="仿宋" w:cs="仿宋"/>
          <w:sz w:val="32"/>
          <w:szCs w:val="32"/>
        </w:rPr>
        <w:t>》</w:t>
      </w:r>
      <w:r>
        <w:rPr>
          <w:rFonts w:hint="eastAsia" w:ascii="仿宋" w:hAnsi="仿宋" w:eastAsia="仿宋" w:cs="宋体"/>
          <w:sz w:val="32"/>
          <w:szCs w:val="32"/>
        </w:rPr>
        <w:t>《</w:t>
      </w:r>
      <w:r>
        <w:rPr>
          <w:rFonts w:hint="eastAsia" w:ascii="仿宋" w:hAnsi="仿宋" w:eastAsia="仿宋" w:cs="仿宋_GB2312"/>
          <w:sz w:val="32"/>
          <w:szCs w:val="32"/>
        </w:rPr>
        <w:t>莲池区市场监督管理局</w:t>
      </w:r>
      <w:r>
        <w:rPr>
          <w:rFonts w:hint="eastAsia" w:ascii="仿宋" w:hAnsi="仿宋" w:eastAsia="仿宋" w:cs="宋体"/>
          <w:sz w:val="32"/>
          <w:szCs w:val="32"/>
        </w:rPr>
        <w:t>案卷评查</w:t>
      </w:r>
      <w:r>
        <w:rPr>
          <w:rFonts w:ascii="仿宋" w:hAnsi="仿宋" w:eastAsia="仿宋" w:cs="宋体"/>
          <w:sz w:val="32"/>
          <w:szCs w:val="32"/>
        </w:rPr>
        <w:t>实施方案</w:t>
      </w:r>
      <w:r>
        <w:rPr>
          <w:rFonts w:hint="eastAsia" w:ascii="仿宋" w:hAnsi="仿宋" w:eastAsia="仿宋" w:cs="宋体"/>
          <w:sz w:val="32"/>
          <w:szCs w:val="32"/>
        </w:rPr>
        <w:t>》进行案卷评查</w:t>
      </w:r>
      <w:r>
        <w:rPr>
          <w:rFonts w:hint="eastAsia" w:ascii="仿宋" w:hAnsi="仿宋" w:eastAsia="仿宋" w:cs="仿宋"/>
          <w:sz w:val="32"/>
          <w:szCs w:val="32"/>
        </w:rPr>
        <w:t>，截止目前评查案卷2次，评查</w:t>
      </w:r>
      <w:r>
        <w:rPr>
          <w:rFonts w:ascii="仿宋" w:hAnsi="仿宋" w:eastAsia="仿宋" w:cs="宋体"/>
          <w:sz w:val="32"/>
          <w:szCs w:val="32"/>
        </w:rPr>
        <w:t>案件</w:t>
      </w:r>
      <w:r>
        <w:rPr>
          <w:rFonts w:hint="eastAsia" w:ascii="仿宋" w:hAnsi="仿宋" w:eastAsia="仿宋" w:cs="宋体"/>
          <w:sz w:val="32"/>
          <w:szCs w:val="32"/>
        </w:rPr>
        <w:t>43</w:t>
      </w:r>
      <w:r>
        <w:rPr>
          <w:rFonts w:ascii="仿宋" w:hAnsi="仿宋" w:eastAsia="仿宋" w:cs="宋体"/>
          <w:sz w:val="32"/>
          <w:szCs w:val="32"/>
        </w:rPr>
        <w:t>件</w:t>
      </w:r>
      <w:r>
        <w:rPr>
          <w:rFonts w:hint="eastAsia" w:ascii="仿宋" w:hAnsi="仿宋" w:eastAsia="仿宋" w:cs="宋体"/>
          <w:sz w:val="32"/>
          <w:szCs w:val="32"/>
        </w:rPr>
        <w:t>。</w:t>
      </w:r>
      <w:r>
        <w:rPr>
          <w:rFonts w:hint="eastAsia" w:ascii="仿宋" w:hAnsi="仿宋" w:eastAsia="仿宋" w:cs="仿宋"/>
          <w:sz w:val="32"/>
          <w:szCs w:val="32"/>
        </w:rPr>
        <w:t>通过评查及时发现纠正存在的问题，树立执法办案标尺，明晰文书制作范本，推动执法水平不断提升。</w:t>
      </w:r>
      <w:r>
        <w:rPr>
          <w:rFonts w:ascii="仿宋" w:hAnsi="仿宋" w:eastAsia="仿宋" w:cs="宋体"/>
          <w:sz w:val="32"/>
          <w:szCs w:val="32"/>
        </w:rPr>
        <w:t>严格按《市场监督管理行政处罚程序规定》</w:t>
      </w:r>
      <w:r>
        <w:rPr>
          <w:rFonts w:hint="eastAsia" w:ascii="仿宋" w:hAnsi="仿宋" w:eastAsia="仿宋" w:cs="宋体"/>
          <w:sz w:val="32"/>
          <w:szCs w:val="32"/>
        </w:rPr>
        <w:t>审核行政处罚案卷，全年</w:t>
      </w:r>
      <w:r>
        <w:rPr>
          <w:rFonts w:ascii="仿宋" w:hAnsi="仿宋" w:eastAsia="仿宋" w:cs="宋体"/>
          <w:sz w:val="32"/>
          <w:szCs w:val="32"/>
        </w:rPr>
        <w:t>审核行政处罚案件</w:t>
      </w:r>
      <w:r>
        <w:rPr>
          <w:rFonts w:hint="eastAsia" w:ascii="仿宋" w:hAnsi="仿宋" w:eastAsia="仿宋" w:cs="宋体"/>
          <w:sz w:val="32"/>
          <w:szCs w:val="32"/>
        </w:rPr>
        <w:t>43件，其中“三品、一特”7件，结案43件。无一起复议、诉讼案件发生。</w:t>
      </w:r>
    </w:p>
    <w:p>
      <w:pPr>
        <w:spacing w:line="560" w:lineRule="exact"/>
        <w:ind w:firstLine="643" w:firstLineChars="200"/>
        <w:rPr>
          <w:rFonts w:ascii="黑体" w:hAnsi="黑体" w:eastAsia="黑体" w:cs="仿宋_GB2312"/>
          <w:b/>
          <w:bCs/>
          <w:sz w:val="32"/>
          <w:szCs w:val="32"/>
        </w:rPr>
      </w:pPr>
      <w:r>
        <w:rPr>
          <w:rFonts w:hint="eastAsia" w:ascii="黑体" w:hAnsi="黑体" w:eastAsia="黑体" w:cs="宋体"/>
          <w:b/>
          <w:sz w:val="32"/>
          <w:szCs w:val="32"/>
        </w:rPr>
        <w:t>三、深入推进三项制度落实</w:t>
      </w:r>
      <w:r>
        <w:rPr>
          <w:rFonts w:hint="eastAsia" w:ascii="黑体" w:hAnsi="黑体" w:eastAsia="黑体" w:cs="仿宋_GB2312"/>
          <w:b/>
          <w:bCs/>
          <w:sz w:val="32"/>
          <w:szCs w:val="32"/>
        </w:rPr>
        <w:t>，大力提升法治建设水平</w:t>
      </w:r>
    </w:p>
    <w:p>
      <w:pPr>
        <w:spacing w:line="560" w:lineRule="exact"/>
        <w:ind w:firstLine="472" w:firstLineChars="147"/>
        <w:rPr>
          <w:rFonts w:ascii="仿宋" w:hAnsi="仿宋" w:eastAsia="仿宋" w:cs="宋体"/>
          <w:sz w:val="32"/>
          <w:szCs w:val="32"/>
        </w:rPr>
      </w:pPr>
      <w:r>
        <w:rPr>
          <w:rFonts w:hint="eastAsia" w:ascii="楷体" w:hAnsi="楷体" w:eastAsia="楷体" w:cs="宋体"/>
          <w:b/>
          <w:sz w:val="32"/>
          <w:szCs w:val="32"/>
        </w:rPr>
        <w:t>（一）执法公示制度。</w:t>
      </w:r>
      <w:r>
        <w:rPr>
          <w:rFonts w:hint="eastAsia" w:ascii="仿宋" w:hAnsi="仿宋" w:eastAsia="仿宋" w:cs="宋体"/>
          <w:b/>
          <w:sz w:val="32"/>
          <w:szCs w:val="32"/>
        </w:rPr>
        <w:t>一是做到事前公开。</w:t>
      </w:r>
      <w:r>
        <w:rPr>
          <w:rFonts w:hint="eastAsia" w:ascii="仿宋" w:hAnsi="仿宋" w:eastAsia="仿宋" w:cs="宋体"/>
          <w:sz w:val="32"/>
          <w:szCs w:val="32"/>
        </w:rPr>
        <w:t>将修改的“三办法”</w:t>
      </w:r>
      <w:r>
        <w:rPr>
          <w:rFonts w:hint="eastAsia" w:ascii="仿宋" w:hAnsi="仿宋" w:eastAsia="仿宋" w:cs="宋体"/>
          <w:b/>
          <w:sz w:val="32"/>
          <w:szCs w:val="32"/>
        </w:rPr>
        <w:t>、</w:t>
      </w:r>
      <w:r>
        <w:rPr>
          <w:rFonts w:hint="eastAsia" w:ascii="仿宋" w:hAnsi="仿宋" w:eastAsia="仿宋" w:cs="仿宋_GB2312"/>
          <w:sz w:val="32"/>
          <w:szCs w:val="32"/>
        </w:rPr>
        <w:t>动态调整的“五类清单、四类文本”及时在河北省行政执法公示平台、莲池区政府平台公示。</w:t>
      </w:r>
      <w:r>
        <w:rPr>
          <w:rFonts w:ascii="仿宋" w:hAnsi="仿宋" w:eastAsia="仿宋" w:cs="宋体"/>
          <w:b/>
          <w:sz w:val="32"/>
          <w:szCs w:val="32"/>
        </w:rPr>
        <w:t>二是规范事中公开。</w:t>
      </w:r>
      <w:r>
        <w:rPr>
          <w:rFonts w:ascii="仿宋" w:hAnsi="仿宋" w:eastAsia="仿宋" w:cs="宋体"/>
          <w:sz w:val="32"/>
          <w:szCs w:val="32"/>
        </w:rPr>
        <w:t>从事执法活动时，出具执法文书，主动亮明身份，出示省政府统一印制</w:t>
      </w:r>
      <w:r>
        <w:rPr>
          <w:rFonts w:hint="eastAsia" w:ascii="仿宋" w:hAnsi="仿宋" w:eastAsia="仿宋" w:cs="宋体"/>
          <w:sz w:val="32"/>
          <w:szCs w:val="32"/>
        </w:rPr>
        <w:t>的</w:t>
      </w:r>
      <w:r>
        <w:rPr>
          <w:rFonts w:ascii="仿宋" w:hAnsi="仿宋" w:eastAsia="仿宋" w:cs="宋体"/>
          <w:sz w:val="32"/>
          <w:szCs w:val="32"/>
        </w:rPr>
        <w:t>行政执法证件，规范着装和佩戴统一标识。</w:t>
      </w:r>
      <w:r>
        <w:rPr>
          <w:rFonts w:ascii="仿宋" w:hAnsi="仿宋" w:eastAsia="仿宋" w:cs="宋体"/>
          <w:b/>
          <w:sz w:val="32"/>
          <w:szCs w:val="32"/>
        </w:rPr>
        <w:t>三是</w:t>
      </w:r>
      <w:r>
        <w:rPr>
          <w:rFonts w:hint="eastAsia" w:ascii="仿宋" w:hAnsi="仿宋" w:eastAsia="仿宋" w:cs="宋体"/>
          <w:b/>
          <w:sz w:val="32"/>
          <w:szCs w:val="32"/>
        </w:rPr>
        <w:t>坚持</w:t>
      </w:r>
      <w:r>
        <w:rPr>
          <w:rFonts w:ascii="仿宋" w:hAnsi="仿宋" w:eastAsia="仿宋" w:cs="宋体"/>
          <w:b/>
          <w:sz w:val="32"/>
          <w:szCs w:val="32"/>
        </w:rPr>
        <w:t>事后公开。</w:t>
      </w:r>
      <w:r>
        <w:rPr>
          <w:rFonts w:hint="eastAsia" w:ascii="仿宋" w:hAnsi="仿宋" w:eastAsia="仿宋" w:cs="宋体"/>
          <w:sz w:val="32"/>
          <w:szCs w:val="32"/>
        </w:rPr>
        <w:t>在河北省行政执法公示平台、</w:t>
      </w:r>
      <w:r>
        <w:rPr>
          <w:rFonts w:hint="eastAsia" w:ascii="仿宋" w:hAnsi="仿宋" w:eastAsia="仿宋" w:cs="仿宋_GB2312"/>
          <w:sz w:val="32"/>
          <w:szCs w:val="32"/>
        </w:rPr>
        <w:t>莲池区人民政府平台公示</w:t>
      </w:r>
      <w:r>
        <w:rPr>
          <w:rFonts w:hint="eastAsia" w:ascii="仿宋" w:hAnsi="仿宋" w:eastAsia="仿宋" w:cs="宋体"/>
          <w:sz w:val="32"/>
          <w:szCs w:val="32"/>
        </w:rPr>
        <w:t>，公示行政处罚案件43件，公示率达100%。</w:t>
      </w:r>
    </w:p>
    <w:p>
      <w:pPr>
        <w:spacing w:line="560" w:lineRule="exact"/>
        <w:ind w:firstLine="472" w:firstLineChars="147"/>
        <w:jc w:val="left"/>
        <w:rPr>
          <w:rFonts w:ascii="仿宋" w:hAnsi="仿宋" w:eastAsia="仿宋"/>
          <w:color w:val="FF0000"/>
          <w:sz w:val="32"/>
          <w:szCs w:val="32"/>
        </w:rPr>
      </w:pPr>
      <w:r>
        <w:rPr>
          <w:rFonts w:hint="eastAsia" w:ascii="楷体" w:hAnsi="楷体" w:eastAsia="楷体" w:cs="宋体"/>
          <w:b/>
          <w:sz w:val="32"/>
          <w:szCs w:val="32"/>
        </w:rPr>
        <w:t>（二）</w:t>
      </w:r>
      <w:r>
        <w:rPr>
          <w:rFonts w:ascii="楷体" w:hAnsi="楷体" w:eastAsia="楷体" w:cs="宋体"/>
          <w:b/>
          <w:sz w:val="32"/>
          <w:szCs w:val="32"/>
        </w:rPr>
        <w:t>执法全过程记录制度。</w:t>
      </w:r>
      <w:r>
        <w:rPr>
          <w:rFonts w:ascii="仿宋" w:hAnsi="仿宋" w:eastAsia="仿宋" w:cs="宋体"/>
          <w:b/>
          <w:sz w:val="32"/>
          <w:szCs w:val="32"/>
        </w:rPr>
        <w:t>一是</w:t>
      </w:r>
      <w:r>
        <w:rPr>
          <w:rFonts w:ascii="仿宋" w:hAnsi="仿宋" w:eastAsia="仿宋" w:cs="宋体"/>
          <w:sz w:val="32"/>
          <w:szCs w:val="32"/>
        </w:rPr>
        <w:t>通过文字、图片、影像等方式，对立案、调查、取证、决定、送达等行政执法活动进行记录并归档，实现行政执法行为的全过程</w:t>
      </w:r>
      <w:r>
        <w:rPr>
          <w:rFonts w:hint="eastAsia" w:ascii="仿宋" w:hAnsi="仿宋" w:eastAsia="仿宋" w:cs="宋体"/>
          <w:sz w:val="32"/>
          <w:szCs w:val="32"/>
        </w:rPr>
        <w:t>记录，目前结案</w:t>
      </w:r>
      <w:r>
        <w:rPr>
          <w:rFonts w:hint="eastAsia" w:ascii="仿宋" w:hAnsi="仿宋" w:eastAsia="仿宋"/>
          <w:color w:val="000000"/>
          <w:sz w:val="32"/>
          <w:szCs w:val="32"/>
        </w:rPr>
        <w:t>的43件行政处罚案件全部实行文字、音像全过程记录。</w:t>
      </w:r>
      <w:r>
        <w:rPr>
          <w:rFonts w:hint="eastAsia" w:ascii="仿宋" w:hAnsi="仿宋" w:eastAsia="仿宋" w:cs="宋体"/>
          <w:b/>
          <w:sz w:val="32"/>
          <w:szCs w:val="32"/>
        </w:rPr>
        <w:t>二</w:t>
      </w:r>
      <w:r>
        <w:rPr>
          <w:rFonts w:ascii="仿宋" w:hAnsi="仿宋" w:eastAsia="仿宋" w:cs="宋体"/>
          <w:b/>
          <w:sz w:val="32"/>
          <w:szCs w:val="32"/>
        </w:rPr>
        <w:t>是</w:t>
      </w:r>
      <w:r>
        <w:rPr>
          <w:rFonts w:hint="eastAsia" w:ascii="仿宋" w:hAnsi="仿宋" w:eastAsia="仿宋" w:cs="宋体"/>
          <w:b/>
          <w:sz w:val="32"/>
          <w:szCs w:val="32"/>
        </w:rPr>
        <w:t>配齐执法装备。</w:t>
      </w:r>
      <w:r>
        <w:rPr>
          <w:rFonts w:hint="eastAsia" w:ascii="仿宋" w:hAnsi="仿宋" w:eastAsia="仿宋" w:cs="宋体"/>
          <w:sz w:val="32"/>
          <w:szCs w:val="32"/>
        </w:rPr>
        <w:t>全局现</w:t>
      </w:r>
      <w:r>
        <w:rPr>
          <w:rFonts w:ascii="仿宋" w:hAnsi="仿宋" w:eastAsia="仿宋" w:cs="宋体"/>
          <w:sz w:val="32"/>
          <w:szCs w:val="32"/>
        </w:rPr>
        <w:t>配备执法记录仪</w:t>
      </w:r>
      <w:r>
        <w:rPr>
          <w:rFonts w:ascii="仿宋" w:hAnsi="仿宋" w:eastAsia="仿宋" w:cs="??_GB2312"/>
          <w:sz w:val="32"/>
          <w:szCs w:val="32"/>
        </w:rPr>
        <w:t>161</w:t>
      </w:r>
      <w:r>
        <w:rPr>
          <w:rFonts w:ascii="仿宋" w:hAnsi="仿宋" w:eastAsia="仿宋" w:cs="宋体"/>
          <w:sz w:val="32"/>
          <w:szCs w:val="32"/>
        </w:rPr>
        <w:t>台</w:t>
      </w:r>
      <w:r>
        <w:rPr>
          <w:rFonts w:hint="eastAsia" w:ascii="仿宋" w:hAnsi="仿宋" w:eastAsia="仿宋" w:cs="宋体"/>
          <w:sz w:val="32"/>
          <w:szCs w:val="32"/>
        </w:rPr>
        <w:t>、</w:t>
      </w:r>
      <w:r>
        <w:rPr>
          <w:rFonts w:ascii="仿宋" w:hAnsi="仿宋" w:eastAsia="仿宋" w:cs="宋体"/>
          <w:sz w:val="32"/>
          <w:szCs w:val="32"/>
        </w:rPr>
        <w:t>手持终端</w:t>
      </w:r>
      <w:r>
        <w:rPr>
          <w:rFonts w:ascii="仿宋" w:hAnsi="仿宋" w:eastAsia="仿宋" w:cs="??_GB2312"/>
          <w:sz w:val="32"/>
          <w:szCs w:val="32"/>
        </w:rPr>
        <w:t>126</w:t>
      </w:r>
      <w:r>
        <w:rPr>
          <w:rFonts w:ascii="仿宋" w:hAnsi="仿宋" w:eastAsia="仿宋" w:cs="宋体"/>
          <w:sz w:val="32"/>
          <w:szCs w:val="32"/>
        </w:rPr>
        <w:t>台</w:t>
      </w:r>
      <w:r>
        <w:rPr>
          <w:rFonts w:hint="eastAsia" w:ascii="仿宋" w:hAnsi="仿宋" w:eastAsia="仿宋" w:cs="宋体"/>
          <w:sz w:val="32"/>
          <w:szCs w:val="32"/>
        </w:rPr>
        <w:t>、</w:t>
      </w:r>
      <w:r>
        <w:rPr>
          <w:rFonts w:ascii="仿宋" w:hAnsi="仿宋" w:eastAsia="仿宋" w:cs="宋体"/>
          <w:sz w:val="32"/>
          <w:szCs w:val="32"/>
        </w:rPr>
        <w:t>摄像机</w:t>
      </w:r>
      <w:r>
        <w:rPr>
          <w:rFonts w:ascii="仿宋" w:hAnsi="仿宋" w:eastAsia="仿宋" w:cs="??_GB2312"/>
          <w:sz w:val="32"/>
          <w:szCs w:val="32"/>
        </w:rPr>
        <w:t>8</w:t>
      </w:r>
      <w:r>
        <w:rPr>
          <w:rFonts w:ascii="仿宋" w:hAnsi="仿宋" w:eastAsia="仿宋" w:cs="宋体"/>
          <w:sz w:val="32"/>
          <w:szCs w:val="32"/>
        </w:rPr>
        <w:t>台、照相机</w:t>
      </w:r>
      <w:r>
        <w:rPr>
          <w:rFonts w:ascii="仿宋" w:hAnsi="仿宋" w:eastAsia="仿宋" w:cs="??_GB2312"/>
          <w:sz w:val="32"/>
          <w:szCs w:val="32"/>
        </w:rPr>
        <w:t>3</w:t>
      </w:r>
      <w:r>
        <w:rPr>
          <w:rFonts w:ascii="仿宋" w:hAnsi="仿宋" w:eastAsia="仿宋" w:cs="宋体"/>
          <w:sz w:val="32"/>
          <w:szCs w:val="32"/>
        </w:rPr>
        <w:t>台、视频监控</w:t>
      </w:r>
      <w:r>
        <w:rPr>
          <w:rFonts w:ascii="仿宋" w:hAnsi="仿宋" w:eastAsia="仿宋" w:cs="??_GB2312"/>
          <w:sz w:val="32"/>
          <w:szCs w:val="32"/>
        </w:rPr>
        <w:t>9</w:t>
      </w:r>
      <w:r>
        <w:rPr>
          <w:rFonts w:ascii="仿宋" w:hAnsi="仿宋" w:eastAsia="仿宋" w:cs="宋体"/>
          <w:sz w:val="32"/>
          <w:szCs w:val="32"/>
        </w:rPr>
        <w:t>台、无人机</w:t>
      </w:r>
      <w:r>
        <w:rPr>
          <w:rFonts w:ascii="仿宋" w:hAnsi="仿宋" w:eastAsia="仿宋" w:cs="??_GB2312"/>
          <w:sz w:val="32"/>
          <w:szCs w:val="32"/>
        </w:rPr>
        <w:t>1</w:t>
      </w:r>
      <w:r>
        <w:rPr>
          <w:rFonts w:ascii="仿宋" w:hAnsi="仿宋" w:eastAsia="仿宋" w:cs="宋体"/>
          <w:sz w:val="32"/>
          <w:szCs w:val="32"/>
        </w:rPr>
        <w:t>架。</w:t>
      </w:r>
      <w:r>
        <w:rPr>
          <w:rFonts w:hint="eastAsia" w:ascii="仿宋" w:hAnsi="仿宋" w:eastAsia="仿宋" w:cs="宋体"/>
          <w:sz w:val="32"/>
          <w:szCs w:val="32"/>
        </w:rPr>
        <w:t>确保</w:t>
      </w:r>
      <w:r>
        <w:rPr>
          <w:rFonts w:ascii="仿宋" w:hAnsi="仿宋" w:eastAsia="仿宋" w:cs="宋体"/>
          <w:sz w:val="32"/>
          <w:szCs w:val="32"/>
        </w:rPr>
        <w:t>3</w:t>
      </w:r>
      <w:r>
        <w:rPr>
          <w:rFonts w:hint="eastAsia" w:ascii="仿宋" w:hAnsi="仿宋" w:eastAsia="仿宋" w:cs="宋体"/>
          <w:sz w:val="32"/>
          <w:szCs w:val="32"/>
        </w:rPr>
        <w:t>名执法人员</w:t>
      </w:r>
      <w:r>
        <w:rPr>
          <w:rFonts w:ascii="仿宋" w:hAnsi="仿宋" w:eastAsia="仿宋" w:cs="宋体"/>
          <w:sz w:val="32"/>
          <w:szCs w:val="32"/>
        </w:rPr>
        <w:t>一台</w:t>
      </w:r>
      <w:r>
        <w:rPr>
          <w:rFonts w:hint="eastAsia" w:ascii="仿宋" w:hAnsi="仿宋" w:eastAsia="仿宋" w:cs="宋体"/>
          <w:sz w:val="32"/>
          <w:szCs w:val="32"/>
        </w:rPr>
        <w:t>音像设备，</w:t>
      </w:r>
      <w:r>
        <w:rPr>
          <w:rFonts w:ascii="仿宋" w:hAnsi="仿宋" w:eastAsia="仿宋" w:cs="宋体"/>
          <w:sz w:val="32"/>
          <w:szCs w:val="32"/>
        </w:rPr>
        <w:t>符合音像记录设备配备要求。</w:t>
      </w:r>
    </w:p>
    <w:p>
      <w:pPr>
        <w:spacing w:line="560" w:lineRule="exact"/>
        <w:ind w:firstLine="482" w:firstLineChars="150"/>
        <w:jc w:val="left"/>
        <w:rPr>
          <w:rFonts w:ascii="仿宋" w:hAnsi="仿宋" w:eastAsia="仿宋"/>
          <w:bCs/>
          <w:sz w:val="32"/>
          <w:szCs w:val="32"/>
        </w:rPr>
      </w:pPr>
      <w:r>
        <w:rPr>
          <w:rFonts w:hint="eastAsia" w:ascii="楷体" w:hAnsi="楷体" w:eastAsia="楷体" w:cs="宋体"/>
          <w:b/>
          <w:sz w:val="32"/>
          <w:szCs w:val="32"/>
        </w:rPr>
        <w:t>（三）</w:t>
      </w:r>
      <w:r>
        <w:rPr>
          <w:rFonts w:ascii="楷体" w:hAnsi="楷体" w:eastAsia="楷体" w:cs="宋体"/>
          <w:b/>
          <w:sz w:val="32"/>
          <w:szCs w:val="32"/>
        </w:rPr>
        <w:t>重大执法决定法制审核制度。</w:t>
      </w:r>
      <w:r>
        <w:rPr>
          <w:rFonts w:hint="eastAsia" w:ascii="仿宋" w:hAnsi="仿宋" w:eastAsia="仿宋"/>
          <w:bCs/>
          <w:sz w:val="32"/>
          <w:szCs w:val="32"/>
        </w:rPr>
        <w:t>设立专职的法制审核人员48人，有执法证人员202人，法制审核人员占执法人员百分比是24%，符合法制审核人员不低于执法人员5%的要求，同时聘请了1名律师作为本局法律顾问。作出重大执法案件处罚决定前，经法制审核，案审会集体讨论，未经法制审核或审核未通过的，不得做出处罚决定，确保每件重大案件处罚决定都合法适当。今年重大案件行政处罚案件4件，进行了案审会集体讨论，法制审核。</w:t>
      </w:r>
    </w:p>
    <w:p>
      <w:pPr>
        <w:spacing w:line="560" w:lineRule="exact"/>
        <w:ind w:firstLine="643" w:firstLineChars="200"/>
        <w:rPr>
          <w:rFonts w:ascii="黑体" w:hAnsi="黑体" w:eastAsia="黑体" w:cs="仿宋_GB2312"/>
          <w:b/>
          <w:bCs/>
          <w:sz w:val="32"/>
          <w:szCs w:val="32"/>
        </w:rPr>
      </w:pPr>
      <w:r>
        <w:rPr>
          <w:rFonts w:hint="eastAsia" w:ascii="黑体" w:hAnsi="黑体" w:eastAsia="黑体"/>
          <w:b/>
          <w:sz w:val="32"/>
          <w:szCs w:val="32"/>
        </w:rPr>
        <w:t>四、积极</w:t>
      </w:r>
      <w:r>
        <w:rPr>
          <w:rFonts w:hint="eastAsia" w:ascii="黑体" w:hAnsi="黑体" w:eastAsia="黑体" w:cs="仿宋_GB2312"/>
          <w:b/>
          <w:bCs/>
          <w:sz w:val="32"/>
          <w:szCs w:val="32"/>
        </w:rPr>
        <w:t>实施温度执法，推进包容审慎监管建设</w:t>
      </w:r>
    </w:p>
    <w:p>
      <w:pPr>
        <w:spacing w:line="560" w:lineRule="exact"/>
        <w:ind w:firstLine="640" w:firstLineChars="200"/>
        <w:rPr>
          <w:rStyle w:val="20"/>
          <w:rFonts w:ascii="仿宋" w:hAnsi="仿宋" w:eastAsia="仿宋"/>
          <w:sz w:val="32"/>
          <w:szCs w:val="32"/>
        </w:rPr>
      </w:pPr>
      <w:r>
        <w:rPr>
          <w:rFonts w:hint="eastAsia" w:ascii="仿宋" w:hAnsi="仿宋" w:eastAsia="仿宋" w:cs="仿宋"/>
          <w:sz w:val="32"/>
          <w:szCs w:val="32"/>
        </w:rPr>
        <w:t>及时将国省、市局出台的《免罚清单》、在莲池区政府网站公示，同时转发各办案单位，组织了各办案单位认真学习，要求执法人员</w:t>
      </w:r>
      <w:r>
        <w:rPr>
          <w:rFonts w:hint="eastAsia" w:ascii="仿宋" w:hAnsi="仿宋" w:eastAsia="仿宋" w:cs="仿宋"/>
          <w:bCs/>
          <w:sz w:val="32"/>
          <w:szCs w:val="32"/>
        </w:rPr>
        <w:t>严格落实省、市轻微违法免罚清单，</w:t>
      </w:r>
      <w:r>
        <w:rPr>
          <w:rStyle w:val="20"/>
          <w:rFonts w:hint="eastAsia" w:ascii="仿宋" w:hAnsi="仿宋" w:eastAsia="仿宋"/>
          <w:sz w:val="32"/>
          <w:szCs w:val="32"/>
        </w:rPr>
        <w:t>2024年免于处罚案件共12件，免罚金额60余万元。</w:t>
      </w:r>
    </w:p>
    <w:p>
      <w:pPr>
        <w:spacing w:line="560" w:lineRule="exact"/>
        <w:ind w:firstLine="315" w:firstLineChars="98"/>
        <w:rPr>
          <w:rFonts w:ascii="黑体" w:hAnsi="黑体" w:eastAsia="黑体"/>
          <w:b/>
          <w:sz w:val="32"/>
          <w:szCs w:val="32"/>
        </w:rPr>
      </w:pPr>
      <w:r>
        <w:rPr>
          <w:rFonts w:hint="eastAsia" w:ascii="黑体" w:hAnsi="黑体" w:eastAsia="黑体"/>
          <w:b/>
          <w:sz w:val="32"/>
          <w:szCs w:val="32"/>
        </w:rPr>
        <w:t>五、推进法治信息化建设，助推市场监管执法效能</w:t>
      </w:r>
    </w:p>
    <w:p>
      <w:pPr>
        <w:spacing w:line="560" w:lineRule="exact"/>
        <w:ind w:firstLine="803" w:firstLineChars="250"/>
        <w:rPr>
          <w:rFonts w:ascii="仿宋" w:hAnsi="仿宋" w:eastAsia="仿宋"/>
          <w:sz w:val="32"/>
          <w:szCs w:val="32"/>
        </w:rPr>
      </w:pPr>
      <w:r>
        <w:rPr>
          <w:rFonts w:hint="eastAsia" w:ascii="楷体" w:hAnsi="楷体" w:eastAsia="楷体"/>
          <w:b/>
          <w:sz w:val="32"/>
          <w:szCs w:val="32"/>
        </w:rPr>
        <w:t>一是加强平台录入管理。</w:t>
      </w:r>
      <w:r>
        <w:rPr>
          <w:rFonts w:ascii="仿宋" w:hAnsi="仿宋" w:eastAsia="仿宋"/>
          <w:b/>
          <w:sz w:val="32"/>
          <w:szCs w:val="32"/>
        </w:rPr>
        <w:t xml:space="preserve"> </w:t>
      </w:r>
      <w:r>
        <w:rPr>
          <w:rFonts w:hint="eastAsia" w:ascii="仿宋" w:hAnsi="仿宋" w:eastAsia="仿宋"/>
          <w:sz w:val="32"/>
          <w:szCs w:val="32"/>
        </w:rPr>
        <w:t>结案的行政处罚案件录入</w:t>
      </w:r>
      <w:r>
        <w:rPr>
          <w:rFonts w:hint="eastAsia" w:ascii="仿宋" w:hAnsi="仿宋" w:eastAsia="仿宋" w:cs="宋体"/>
          <w:kern w:val="0"/>
          <w:sz w:val="32"/>
          <w:szCs w:val="32"/>
        </w:rPr>
        <w:t>河北省行政执法公示平台、保定市莲池区人民政府平台</w:t>
      </w:r>
      <w:r>
        <w:rPr>
          <w:rFonts w:hint="eastAsia" w:ascii="仿宋" w:hAnsi="仿宋" w:eastAsia="仿宋"/>
          <w:sz w:val="32"/>
          <w:szCs w:val="32"/>
        </w:rPr>
        <w:t>。目前结案的43件行政处罚案件均按规定</w:t>
      </w:r>
      <w:r>
        <w:rPr>
          <w:rFonts w:hint="eastAsia" w:ascii="仿宋" w:hAnsi="仿宋" w:eastAsia="仿宋" w:cs="宋体"/>
          <w:kern w:val="0"/>
          <w:sz w:val="32"/>
          <w:szCs w:val="32"/>
        </w:rPr>
        <w:t>录入平台</w:t>
      </w:r>
      <w:r>
        <w:rPr>
          <w:rFonts w:hint="eastAsia" w:ascii="仿宋" w:hAnsi="仿宋" w:eastAsia="仿宋"/>
          <w:sz w:val="32"/>
          <w:szCs w:val="32"/>
        </w:rPr>
        <w:t>。</w:t>
      </w:r>
      <w:r>
        <w:rPr>
          <w:rFonts w:hint="eastAsia" w:ascii="楷体" w:hAnsi="楷体" w:eastAsia="楷体"/>
          <w:b/>
          <w:sz w:val="32"/>
          <w:szCs w:val="32"/>
        </w:rPr>
        <w:t>二是推广互联网+监管模式。</w:t>
      </w:r>
      <w:r>
        <w:rPr>
          <w:rFonts w:hint="eastAsia" w:ascii="仿宋" w:hAnsi="仿宋" w:eastAsia="仿宋"/>
          <w:sz w:val="32"/>
          <w:szCs w:val="32"/>
        </w:rPr>
        <w:t>采取智能化监管执法，运用食品监管掌上APP，推行智能化监管。执法人员根据每年制定的监管计划，通过监管人员账号将现场检查情况实时记录、上传平台，有效的提升了工作效率，有条不紊的完成全年监管工作，让监管工作更加高效便捷。推行食品农产品智慧监管，针对农贸市场和大型商场超市中食用农产品质量安全的监管，整合了物联网技术、大数据分析技术、智能传感器技术、快速检测技术，建立了一套智慧监管体系。实时掌控商户经营情况，及时发现处置违法行为。</w:t>
      </w:r>
    </w:p>
    <w:p>
      <w:pPr>
        <w:autoSpaceDE w:val="0"/>
        <w:autoSpaceDN w:val="0"/>
        <w:spacing w:line="560" w:lineRule="exact"/>
        <w:ind w:firstLine="643" w:firstLineChars="200"/>
        <w:rPr>
          <w:rFonts w:eastAsia="楷体"/>
          <w:b/>
          <w:bCs/>
          <w:color w:val="000000"/>
          <w:sz w:val="32"/>
          <w:szCs w:val="32"/>
        </w:rPr>
      </w:pPr>
      <w:r>
        <w:rPr>
          <w:rFonts w:hint="eastAsia" w:eastAsia="楷体"/>
          <w:b/>
          <w:bCs/>
          <w:color w:val="000000"/>
          <w:sz w:val="32"/>
          <w:szCs w:val="32"/>
        </w:rPr>
        <w:t>六、</w:t>
      </w:r>
      <w:r>
        <w:rPr>
          <w:rFonts w:eastAsia="楷体"/>
          <w:b/>
          <w:bCs/>
          <w:color w:val="000000"/>
          <w:sz w:val="32"/>
          <w:szCs w:val="32"/>
        </w:rPr>
        <w:t>认真落实“四个最严”要求，不断提升食品安全水平</w:t>
      </w:r>
    </w:p>
    <w:p>
      <w:pPr>
        <w:autoSpaceDE w:val="0"/>
        <w:autoSpaceDN w:val="0"/>
        <w:spacing w:line="560" w:lineRule="exact"/>
        <w:ind w:firstLine="643" w:firstLineChars="200"/>
        <w:rPr>
          <w:rFonts w:ascii="仿宋" w:hAnsi="仿宋" w:eastAsia="仿宋"/>
          <w:sz w:val="32"/>
          <w:szCs w:val="32"/>
        </w:rPr>
      </w:pPr>
      <w:r>
        <w:rPr>
          <w:rFonts w:hint="eastAsia" w:hAnsi="方正楷体_GBK" w:eastAsia="仿宋"/>
          <w:b/>
          <w:bCs/>
          <w:snapToGrid w:val="0"/>
          <w:sz w:val="32"/>
          <w:szCs w:val="32"/>
        </w:rPr>
        <w:t>（一）加强食品安全工作统筹。</w:t>
      </w:r>
      <w:r>
        <w:rPr>
          <w:rFonts w:hint="eastAsia" w:ascii="仿宋" w:hAnsi="仿宋" w:eastAsia="仿宋"/>
          <w:sz w:val="32"/>
          <w:szCs w:val="32"/>
        </w:rPr>
        <w:t>对食品生产经营包保主体开展实地督导，全区共有食品主体24789家，其中在产在营14210家。包保干部817人，对</w:t>
      </w:r>
      <w:r>
        <w:rPr>
          <w:rFonts w:hint="eastAsia" w:ascii="仿宋" w:hAnsi="仿宋" w:eastAsia="仿宋"/>
          <w:bCs/>
          <w:sz w:val="32"/>
          <w:szCs w:val="32"/>
        </w:rPr>
        <w:t>包保主体实行动态调整，按时</w:t>
      </w:r>
      <w:r>
        <w:rPr>
          <w:rFonts w:hint="eastAsia" w:ascii="仿宋" w:hAnsi="仿宋" w:eastAsia="仿宋"/>
          <w:sz w:val="32"/>
          <w:szCs w:val="32"/>
        </w:rPr>
        <w:t>完成年度包保督导任务。</w:t>
      </w:r>
      <w:r>
        <w:rPr>
          <w:rFonts w:hint="eastAsia" w:ascii="仿宋" w:hAnsi="仿宋" w:eastAsia="仿宋"/>
          <w:bCs/>
          <w:sz w:val="32"/>
          <w:szCs w:val="32"/>
        </w:rPr>
        <w:t>将新增主体导入国家平台，</w:t>
      </w:r>
      <w:r>
        <w:rPr>
          <w:rFonts w:hint="eastAsia" w:ascii="仿宋" w:hAnsi="仿宋" w:eastAsia="仿宋"/>
          <w:sz w:val="32"/>
          <w:szCs w:val="32"/>
        </w:rPr>
        <w:t>承接市食品安全宣传周主场启动仪式，积极协调食品安全抽检工作。</w:t>
      </w:r>
    </w:p>
    <w:p>
      <w:pPr>
        <w:autoSpaceDE w:val="0"/>
        <w:autoSpaceDN w:val="0"/>
        <w:spacing w:line="560" w:lineRule="exact"/>
        <w:ind w:firstLine="643" w:firstLineChars="200"/>
        <w:rPr>
          <w:rFonts w:ascii="仿宋" w:hAnsi="仿宋" w:eastAsia="仿宋"/>
          <w:sz w:val="32"/>
          <w:szCs w:val="32"/>
        </w:rPr>
      </w:pPr>
      <w:r>
        <w:rPr>
          <w:rFonts w:hint="eastAsia" w:hAnsi="方正楷体_GBK" w:eastAsia="仿宋"/>
          <w:b/>
          <w:bCs/>
          <w:snapToGrid w:val="0"/>
          <w:sz w:val="32"/>
          <w:szCs w:val="32"/>
        </w:rPr>
        <w:t>（二）食品生产环节监管。</w:t>
      </w:r>
      <w:r>
        <w:rPr>
          <w:rFonts w:hint="eastAsia" w:ascii="仿宋" w:hAnsi="仿宋" w:eastAsia="仿宋"/>
          <w:sz w:val="32"/>
          <w:szCs w:val="32"/>
        </w:rPr>
        <w:t>一是严格生产企业制度落实。对辖区内48家食品生产企业进行监督检查，问题整改32个。二是打击“三小”违法违规行为。对2家食品生产加工点进行登记前指导，对22家小作坊进行了整体提升。三是做好植物油运输驻厂监管工作。对5家食用植物油生产企业驻厂监管，检查罐车69批次211辆，排查食用植物油7502.19吨。</w:t>
      </w:r>
    </w:p>
    <w:p>
      <w:pPr>
        <w:spacing w:line="560" w:lineRule="exact"/>
        <w:ind w:firstLine="643" w:firstLineChars="200"/>
        <w:rPr>
          <w:rFonts w:eastAsia="仿宋"/>
          <w:sz w:val="32"/>
          <w:szCs w:val="32"/>
        </w:rPr>
      </w:pPr>
      <w:r>
        <w:rPr>
          <w:rFonts w:hint="eastAsia" w:hAnsi="方正楷体_GBK" w:eastAsia="仿宋"/>
          <w:b/>
          <w:bCs/>
          <w:snapToGrid w:val="0"/>
          <w:sz w:val="32"/>
          <w:szCs w:val="32"/>
        </w:rPr>
        <w:t>（三）食品流通环节监管。</w:t>
      </w:r>
      <w:r>
        <w:rPr>
          <w:rFonts w:eastAsia="仿宋"/>
          <w:bCs/>
          <w:sz w:val="32"/>
          <w:szCs w:val="32"/>
        </w:rPr>
        <w:t>开展大型连锁食品销售企业体系检查、自动售货机销售食品监管</w:t>
      </w:r>
      <w:r>
        <w:rPr>
          <w:rFonts w:hint="eastAsia" w:eastAsia="仿宋"/>
          <w:bCs/>
          <w:sz w:val="32"/>
          <w:szCs w:val="32"/>
        </w:rPr>
        <w:t>，</w:t>
      </w:r>
      <w:r>
        <w:rPr>
          <w:rFonts w:eastAsia="仿宋"/>
          <w:bCs/>
          <w:sz w:val="32"/>
          <w:szCs w:val="32"/>
        </w:rPr>
        <w:t>开展肉及肉制品整治</w:t>
      </w:r>
      <w:r>
        <w:rPr>
          <w:rFonts w:hint="eastAsia" w:eastAsia="仿宋"/>
          <w:bCs/>
          <w:sz w:val="32"/>
          <w:szCs w:val="32"/>
        </w:rPr>
        <w:t>，</w:t>
      </w:r>
      <w:r>
        <w:rPr>
          <w:rFonts w:eastAsia="仿宋"/>
          <w:sz w:val="32"/>
          <w:szCs w:val="32"/>
        </w:rPr>
        <w:t>对生猪肉批发市场持续开展“零点”行动，突击检查肉品批发销售单位38次，检查运输车辆46车次，快检样品48个批次。</w:t>
      </w:r>
    </w:p>
    <w:p>
      <w:pPr>
        <w:adjustRightInd w:val="0"/>
        <w:snapToGrid w:val="0"/>
        <w:spacing w:line="560" w:lineRule="exact"/>
        <w:ind w:firstLine="643" w:firstLineChars="200"/>
        <w:rPr>
          <w:rFonts w:eastAsia="仿宋"/>
          <w:sz w:val="32"/>
          <w:szCs w:val="32"/>
        </w:rPr>
      </w:pPr>
      <w:r>
        <w:rPr>
          <w:rFonts w:hint="eastAsia" w:hAnsi="方正楷体_GBK" w:eastAsia="仿宋"/>
          <w:b/>
          <w:bCs/>
          <w:snapToGrid w:val="0"/>
          <w:sz w:val="32"/>
          <w:szCs w:val="32"/>
        </w:rPr>
        <w:t>（四）餐饮环节安全监管。</w:t>
      </w:r>
      <w:r>
        <w:rPr>
          <w:rFonts w:hint="eastAsia" w:ascii="仿宋" w:hAnsi="仿宋" w:eastAsia="仿宋"/>
          <w:bCs/>
          <w:sz w:val="32"/>
          <w:szCs w:val="32"/>
        </w:rPr>
        <w:t>扎实开展餐饮食品领域专项行动。</w:t>
      </w:r>
      <w:r>
        <w:rPr>
          <w:rFonts w:hint="eastAsia" w:ascii="仿宋" w:hAnsi="仿宋" w:eastAsia="仿宋"/>
          <w:sz w:val="32"/>
          <w:szCs w:val="32"/>
        </w:rPr>
        <w:t>年度检查社会餐饮服务单位3441家，发现问题整改362个。</w:t>
      </w:r>
      <w:r>
        <w:rPr>
          <w:rFonts w:hint="eastAsia" w:ascii="仿宋" w:hAnsi="仿宋" w:eastAsia="仿宋"/>
          <w:bCs/>
          <w:sz w:val="32"/>
          <w:szCs w:val="32"/>
        </w:rPr>
        <w:t>强化社会餐饮经营环节食品安全监管，</w:t>
      </w:r>
      <w:r>
        <w:rPr>
          <w:rFonts w:hint="eastAsia" w:ascii="仿宋" w:hAnsi="仿宋" w:eastAsia="仿宋"/>
          <w:sz w:val="32"/>
          <w:szCs w:val="32"/>
        </w:rPr>
        <w:t>规范外卖食安封签使用，督促网络订餐平台各方落实责任。实施透明厨房工程，按标准建设安装52家。</w:t>
      </w:r>
      <w:r>
        <w:rPr>
          <w:rFonts w:hint="eastAsia" w:ascii="仿宋" w:hAnsi="仿宋" w:eastAsia="仿宋"/>
          <w:bCs/>
          <w:sz w:val="32"/>
          <w:szCs w:val="32"/>
        </w:rPr>
        <w:t>强化学校食堂食品安全监管。</w:t>
      </w:r>
      <w:r>
        <w:rPr>
          <w:rFonts w:hint="eastAsia" w:ascii="仿宋" w:hAnsi="仿宋" w:eastAsia="仿宋"/>
          <w:sz w:val="32"/>
          <w:szCs w:val="32"/>
        </w:rPr>
        <w:t>召开学校食品安全培训及警示教育会11次、现场观摩会3次，对全区现有的8家学生集中供餐单位施行一校一企一台账。对58所学校食堂进行升级改造，创建完成71家省级食品安全标准化学校食堂。圆满完成乡村音乐节、全国男排锦标赛、中高考等重大活</w:t>
      </w:r>
      <w:r>
        <w:rPr>
          <w:rFonts w:eastAsia="仿宋"/>
          <w:sz w:val="32"/>
          <w:szCs w:val="32"/>
        </w:rPr>
        <w:t>动食品安全保障11次。</w:t>
      </w:r>
    </w:p>
    <w:p>
      <w:pPr>
        <w:autoSpaceDE w:val="0"/>
        <w:autoSpaceDN w:val="0"/>
        <w:spacing w:line="560" w:lineRule="exact"/>
        <w:ind w:firstLine="643" w:firstLineChars="200"/>
        <w:rPr>
          <w:rFonts w:eastAsia="楷体"/>
          <w:b/>
          <w:bCs/>
          <w:color w:val="000000"/>
          <w:sz w:val="32"/>
          <w:szCs w:val="32"/>
        </w:rPr>
      </w:pPr>
      <w:r>
        <w:rPr>
          <w:rFonts w:hint="eastAsia" w:eastAsia="楷体"/>
          <w:b/>
          <w:bCs/>
          <w:color w:val="000000"/>
          <w:sz w:val="32"/>
          <w:szCs w:val="32"/>
        </w:rPr>
        <w:t>七、</w:t>
      </w:r>
      <w:r>
        <w:rPr>
          <w:rFonts w:eastAsia="楷体"/>
          <w:b/>
          <w:bCs/>
          <w:color w:val="000000"/>
          <w:sz w:val="32"/>
          <w:szCs w:val="32"/>
        </w:rPr>
        <w:t>强化药械和化妆品监管，确保群众用药安全</w:t>
      </w:r>
    </w:p>
    <w:p>
      <w:pPr>
        <w:pStyle w:val="25"/>
        <w:spacing w:line="560" w:lineRule="exact"/>
        <w:ind w:firstLine="643" w:firstLineChars="200"/>
        <w:rPr>
          <w:rFonts w:ascii="Times New Roman" w:hAnsi="Times New Roman" w:eastAsia="仿宋" w:cs="Times New Roman"/>
          <w:color w:val="FF0000"/>
          <w:sz w:val="32"/>
          <w:szCs w:val="32"/>
        </w:rPr>
      </w:pPr>
      <w:bookmarkStart w:id="0" w:name="OLE_LINK9"/>
      <w:r>
        <w:rPr>
          <w:rFonts w:hint="eastAsia" w:hAnsi="方正楷体_GBK" w:eastAsia="仿宋"/>
          <w:b/>
          <w:bCs/>
          <w:snapToGrid w:val="0"/>
          <w:sz w:val="32"/>
          <w:szCs w:val="32"/>
        </w:rPr>
        <w:t>（一）加强药械日常监管工作。</w:t>
      </w:r>
      <w:r>
        <w:rPr>
          <w:rFonts w:ascii="Times New Roman" w:hAnsi="Times New Roman" w:eastAsia="仿宋" w:cs="Times New Roman"/>
          <w:color w:val="333333"/>
          <w:sz w:val="32"/>
          <w:szCs w:val="32"/>
        </w:rPr>
        <w:t>持续开展</w:t>
      </w:r>
      <w:r>
        <w:rPr>
          <w:rFonts w:hint="eastAsia" w:ascii="Times New Roman" w:hAnsi="Times New Roman" w:eastAsia="仿宋" w:cs="Times New Roman"/>
          <w:color w:val="333333"/>
          <w:sz w:val="32"/>
          <w:szCs w:val="32"/>
        </w:rPr>
        <w:t>“</w:t>
      </w:r>
      <w:r>
        <w:rPr>
          <w:rFonts w:ascii="Times New Roman" w:hAnsi="Times New Roman" w:eastAsia="仿宋" w:cs="Times New Roman"/>
          <w:sz w:val="32"/>
          <w:szCs w:val="32"/>
        </w:rPr>
        <w:t>药品经营和使用专项检查</w:t>
      </w:r>
      <w:r>
        <w:rPr>
          <w:rFonts w:hint="eastAsia" w:ascii="Times New Roman" w:hAnsi="Times New Roman" w:eastAsia="仿宋" w:cs="Times New Roman"/>
          <w:color w:val="333333"/>
          <w:sz w:val="32"/>
          <w:szCs w:val="32"/>
        </w:rPr>
        <w:t>”</w:t>
      </w:r>
      <w:r>
        <w:rPr>
          <w:rFonts w:ascii="Times New Roman" w:hAnsi="Times New Roman" w:eastAsia="仿宋" w:cs="Times New Roman"/>
          <w:color w:val="000000"/>
          <w:sz w:val="32"/>
          <w:szCs w:val="32"/>
        </w:rPr>
        <w:t>等7个</w:t>
      </w:r>
      <w:r>
        <w:rPr>
          <w:rFonts w:ascii="Times New Roman" w:hAnsi="Times New Roman" w:eastAsia="仿宋" w:cs="Times New Roman"/>
          <w:sz w:val="32"/>
          <w:szCs w:val="32"/>
        </w:rPr>
        <w:t>专项检查</w:t>
      </w:r>
      <w:bookmarkEnd w:id="0"/>
      <w:r>
        <w:rPr>
          <w:rFonts w:ascii="Times New Roman" w:hAnsi="Times New Roman" w:eastAsia="仿宋" w:cs="Times New Roman"/>
          <w:sz w:val="32"/>
          <w:szCs w:val="32"/>
        </w:rPr>
        <w:t>，共检查零售药店583家次、医疗机构233家次,共排查整改问题38个</w:t>
      </w:r>
      <w:r>
        <w:rPr>
          <w:rFonts w:hint="eastAsia" w:ascii="Times New Roman" w:hAnsi="Times New Roman" w:eastAsia="仿宋" w:cs="Times New Roman"/>
          <w:sz w:val="32"/>
          <w:szCs w:val="32"/>
        </w:rPr>
        <w:t>。</w:t>
      </w:r>
    </w:p>
    <w:p>
      <w:pPr>
        <w:spacing w:line="560" w:lineRule="exact"/>
        <w:ind w:firstLine="643" w:firstLineChars="200"/>
        <w:rPr>
          <w:rFonts w:eastAsia="仿宋"/>
          <w:sz w:val="32"/>
          <w:szCs w:val="32"/>
        </w:rPr>
      </w:pPr>
      <w:r>
        <w:rPr>
          <w:rFonts w:hint="eastAsia" w:hAnsi="方正楷体_GBK" w:eastAsia="仿宋"/>
          <w:b/>
          <w:bCs/>
          <w:snapToGrid w:val="0"/>
          <w:sz w:val="32"/>
          <w:szCs w:val="32"/>
        </w:rPr>
        <w:t>（二）抓好药品不良反应监测。</w:t>
      </w:r>
      <w:r>
        <w:rPr>
          <w:rFonts w:eastAsia="仿宋"/>
          <w:sz w:val="32"/>
          <w:szCs w:val="32"/>
        </w:rPr>
        <w:t>年度上报药品（化妆品）不良反应3246例，</w:t>
      </w:r>
      <w:r>
        <w:rPr>
          <w:rFonts w:hint="eastAsia" w:eastAsia="仿宋"/>
          <w:sz w:val="32"/>
          <w:szCs w:val="32"/>
        </w:rPr>
        <w:t>医</w:t>
      </w:r>
      <w:r>
        <w:rPr>
          <w:rFonts w:eastAsia="仿宋"/>
          <w:sz w:val="32"/>
          <w:szCs w:val="32"/>
        </w:rPr>
        <w:t>疗器械不良事件842例。</w:t>
      </w:r>
    </w:p>
    <w:p>
      <w:pPr>
        <w:widowControl/>
        <w:shd w:val="clear" w:color="auto" w:fill="FFFFFF"/>
        <w:spacing w:line="560" w:lineRule="exact"/>
        <w:ind w:firstLine="643" w:firstLineChars="200"/>
        <w:rPr>
          <w:rFonts w:eastAsia="仿宋"/>
          <w:sz w:val="32"/>
          <w:szCs w:val="32"/>
        </w:rPr>
      </w:pPr>
      <w:r>
        <w:rPr>
          <w:rFonts w:hint="eastAsia" w:hAnsi="方正楷体_GBK" w:eastAsia="仿宋"/>
          <w:b/>
          <w:bCs/>
          <w:snapToGrid w:val="0"/>
          <w:sz w:val="32"/>
          <w:szCs w:val="32"/>
        </w:rPr>
        <w:t>（三）强化化妆品领域监管。</w:t>
      </w:r>
      <w:r>
        <w:rPr>
          <w:rFonts w:eastAsia="仿宋"/>
          <w:sz w:val="32"/>
          <w:szCs w:val="32"/>
        </w:rPr>
        <w:t>组织检查企业300余户，抽检4批次。</w:t>
      </w:r>
    </w:p>
    <w:p>
      <w:pPr>
        <w:autoSpaceDE w:val="0"/>
        <w:autoSpaceDN w:val="0"/>
        <w:spacing w:line="560" w:lineRule="exact"/>
        <w:ind w:firstLine="643" w:firstLineChars="200"/>
        <w:rPr>
          <w:rFonts w:eastAsia="楷体"/>
          <w:b/>
          <w:bCs/>
          <w:color w:val="000000"/>
          <w:sz w:val="32"/>
          <w:szCs w:val="32"/>
        </w:rPr>
      </w:pPr>
      <w:r>
        <w:rPr>
          <w:rFonts w:hint="eastAsia" w:eastAsia="楷体"/>
          <w:b/>
          <w:bCs/>
          <w:color w:val="000000"/>
          <w:sz w:val="32"/>
          <w:szCs w:val="32"/>
        </w:rPr>
        <w:t>八、</w:t>
      </w:r>
      <w:r>
        <w:rPr>
          <w:rFonts w:eastAsia="楷体"/>
          <w:b/>
          <w:bCs/>
          <w:color w:val="000000"/>
          <w:sz w:val="32"/>
          <w:szCs w:val="32"/>
        </w:rPr>
        <w:t>加强特种设备监管，确保</w:t>
      </w:r>
      <w:r>
        <w:rPr>
          <w:rFonts w:hint="eastAsia" w:eastAsia="楷体"/>
          <w:b/>
          <w:bCs/>
          <w:color w:val="000000"/>
          <w:sz w:val="32"/>
          <w:szCs w:val="32"/>
        </w:rPr>
        <w:t>装置</w:t>
      </w:r>
      <w:r>
        <w:rPr>
          <w:rFonts w:eastAsia="楷体"/>
          <w:b/>
          <w:bCs/>
          <w:color w:val="000000"/>
          <w:sz w:val="32"/>
          <w:szCs w:val="32"/>
        </w:rPr>
        <w:t>安全运行</w:t>
      </w:r>
    </w:p>
    <w:p>
      <w:pPr>
        <w:spacing w:line="560" w:lineRule="exact"/>
        <w:ind w:firstLine="643" w:firstLineChars="200"/>
        <w:rPr>
          <w:rStyle w:val="20"/>
          <w:rFonts w:ascii="仿宋" w:hAnsi="仿宋" w:eastAsia="仿宋" w:cs="Times New Roman"/>
          <w:sz w:val="32"/>
          <w:szCs w:val="32"/>
        </w:rPr>
      </w:pPr>
      <w:r>
        <w:rPr>
          <w:rFonts w:hint="eastAsia" w:hAnsi="方正楷体_GBK" w:eastAsia="仿宋"/>
          <w:b/>
          <w:bCs/>
          <w:snapToGrid w:val="0"/>
          <w:sz w:val="32"/>
          <w:szCs w:val="32"/>
        </w:rPr>
        <w:t>（一）强化特种设备常规监管。</w:t>
      </w:r>
      <w:r>
        <w:rPr>
          <w:rFonts w:ascii="仿宋" w:hAnsi="仿宋" w:eastAsia="仿宋"/>
          <w:sz w:val="32"/>
          <w:szCs w:val="32"/>
        </w:rPr>
        <w:t>检查企业430家，排查整改隐患133项。</w:t>
      </w:r>
      <w:r>
        <w:rPr>
          <w:rStyle w:val="20"/>
          <w:rFonts w:ascii="仿宋" w:hAnsi="仿宋" w:eastAsia="仿宋" w:cs="Times New Roman"/>
          <w:sz w:val="32"/>
          <w:szCs w:val="32"/>
        </w:rPr>
        <w:t>组织辖区电梯维保单位、检验检测单位业务骨干55人组成电梯安全应急救援队。</w:t>
      </w:r>
    </w:p>
    <w:p>
      <w:pPr>
        <w:spacing w:line="560" w:lineRule="exact"/>
        <w:ind w:firstLine="643" w:firstLineChars="200"/>
        <w:rPr>
          <w:rFonts w:ascii="仿宋" w:hAnsi="仿宋" w:eastAsia="仿宋"/>
          <w:sz w:val="32"/>
          <w:szCs w:val="32"/>
        </w:rPr>
      </w:pPr>
      <w:r>
        <w:rPr>
          <w:rFonts w:hint="eastAsia" w:hAnsi="方正楷体_GBK" w:eastAsia="仿宋"/>
          <w:b/>
          <w:bCs/>
          <w:snapToGrid w:val="0"/>
          <w:sz w:val="32"/>
          <w:szCs w:val="32"/>
        </w:rPr>
        <w:t>（二）推进专项监督检查行动。</w:t>
      </w:r>
      <w:r>
        <w:rPr>
          <w:rFonts w:hint="eastAsia" w:ascii="仿宋" w:hAnsi="仿宋" w:eastAsia="仿宋"/>
          <w:sz w:val="32"/>
          <w:szCs w:val="32"/>
        </w:rPr>
        <w:t>燃气安全、液化气瓶充装整治、危化企业压力管道压力容器联合专项检查和自动扶梯和自动人行道安全隐患专项排查整治。</w:t>
      </w:r>
    </w:p>
    <w:p>
      <w:pPr>
        <w:spacing w:line="560" w:lineRule="exact"/>
        <w:ind w:firstLine="643" w:firstLineChars="200"/>
        <w:rPr>
          <w:rFonts w:ascii="仿宋" w:hAnsi="仿宋" w:eastAsia="仿宋"/>
          <w:sz w:val="32"/>
          <w:szCs w:val="32"/>
        </w:rPr>
      </w:pPr>
      <w:r>
        <w:rPr>
          <w:rFonts w:hint="eastAsia" w:hAnsi="方正楷体_GBK" w:eastAsia="仿宋"/>
          <w:b/>
          <w:bCs/>
          <w:snapToGrid w:val="0"/>
          <w:sz w:val="32"/>
          <w:szCs w:val="32"/>
        </w:rPr>
        <w:t>（三）突出电梯安全监管工作。</w:t>
      </w:r>
      <w:r>
        <w:rPr>
          <w:rStyle w:val="20"/>
          <w:rFonts w:ascii="仿宋" w:hAnsi="仿宋" w:eastAsia="仿宋" w:cs="Times New Roman"/>
          <w:bCs/>
          <w:sz w:val="32"/>
          <w:szCs w:val="32"/>
        </w:rPr>
        <w:t>千方百计</w:t>
      </w:r>
      <w:r>
        <w:rPr>
          <w:rStyle w:val="20"/>
          <w:rFonts w:ascii="仿宋" w:hAnsi="仿宋" w:eastAsia="仿宋" w:cs="Times New Roman"/>
          <w:sz w:val="32"/>
          <w:szCs w:val="32"/>
        </w:rPr>
        <w:t>解决老百姓急、难、愁、盼事项，及时解决3个小区</w:t>
      </w:r>
      <w:r>
        <w:rPr>
          <w:rStyle w:val="20"/>
          <w:rFonts w:hint="eastAsia" w:ascii="仿宋" w:hAnsi="仿宋" w:eastAsia="仿宋" w:cs="Times New Roman"/>
          <w:sz w:val="32"/>
          <w:szCs w:val="32"/>
        </w:rPr>
        <w:t>“</w:t>
      </w:r>
      <w:r>
        <w:rPr>
          <w:rStyle w:val="20"/>
          <w:rFonts w:ascii="仿宋" w:hAnsi="仿宋" w:eastAsia="仿宋" w:cs="Times New Roman"/>
          <w:sz w:val="32"/>
          <w:szCs w:val="32"/>
        </w:rPr>
        <w:t>三无</w:t>
      </w:r>
      <w:r>
        <w:rPr>
          <w:rStyle w:val="20"/>
          <w:rFonts w:hint="eastAsia" w:ascii="仿宋" w:hAnsi="仿宋" w:eastAsia="仿宋" w:cs="Times New Roman"/>
          <w:sz w:val="32"/>
          <w:szCs w:val="32"/>
        </w:rPr>
        <w:t>”</w:t>
      </w:r>
      <w:r>
        <w:rPr>
          <w:rStyle w:val="20"/>
          <w:rFonts w:ascii="仿宋" w:hAnsi="仿宋" w:eastAsia="仿宋" w:cs="Times New Roman"/>
          <w:sz w:val="32"/>
          <w:szCs w:val="32"/>
        </w:rPr>
        <w:t>电梯问题，受到群众一致好评。</w:t>
      </w:r>
      <w:r>
        <w:rPr>
          <w:rFonts w:ascii="仿宋" w:hAnsi="仿宋" w:eastAsia="仿宋"/>
          <w:sz w:val="32"/>
          <w:szCs w:val="32"/>
        </w:rPr>
        <w:t>组织故障率较多的</w:t>
      </w:r>
      <w:r>
        <w:rPr>
          <w:rFonts w:ascii="仿宋" w:hAnsi="仿宋" w:eastAsia="仿宋"/>
          <w:bCs/>
          <w:sz w:val="32"/>
          <w:szCs w:val="32"/>
        </w:rPr>
        <w:t>16家维保单位、使用单位</w:t>
      </w:r>
      <w:r>
        <w:rPr>
          <w:rFonts w:ascii="仿宋" w:hAnsi="仿宋" w:eastAsia="仿宋"/>
          <w:sz w:val="32"/>
          <w:szCs w:val="32"/>
        </w:rPr>
        <w:t>召开专题会议进行约谈培训，督促其落实好主体责任，及时消除隐患；召开16家电梯检验检测单位座谈警示教育会，要求把好检验检测质量关，加强行业自律，践行自我承诺，避免恶意竞争，共同维护全区电梯安全。</w:t>
      </w:r>
    </w:p>
    <w:p>
      <w:pPr>
        <w:autoSpaceDE w:val="0"/>
        <w:autoSpaceDN w:val="0"/>
        <w:spacing w:line="560" w:lineRule="exact"/>
        <w:ind w:firstLine="643" w:firstLineChars="200"/>
        <w:rPr>
          <w:rFonts w:eastAsia="楷体"/>
          <w:b/>
          <w:bCs/>
          <w:color w:val="000000"/>
          <w:sz w:val="32"/>
          <w:szCs w:val="32"/>
        </w:rPr>
      </w:pPr>
      <w:r>
        <w:rPr>
          <w:rFonts w:hint="eastAsia" w:eastAsia="楷体"/>
          <w:b/>
          <w:bCs/>
          <w:color w:val="000000"/>
          <w:sz w:val="32"/>
          <w:szCs w:val="32"/>
        </w:rPr>
        <w:t>九、</w:t>
      </w:r>
      <w:r>
        <w:rPr>
          <w:rFonts w:eastAsia="楷体"/>
          <w:b/>
          <w:bCs/>
          <w:color w:val="000000"/>
          <w:sz w:val="32"/>
          <w:szCs w:val="32"/>
        </w:rPr>
        <w:t>加强各类企业监管，保持良好市场秩序</w:t>
      </w:r>
    </w:p>
    <w:p>
      <w:pPr>
        <w:spacing w:line="560" w:lineRule="exact"/>
        <w:ind w:firstLine="643" w:firstLineChars="200"/>
        <w:rPr>
          <w:rFonts w:eastAsia="仿宋"/>
          <w:sz w:val="32"/>
          <w:szCs w:val="32"/>
        </w:rPr>
      </w:pPr>
      <w:r>
        <w:rPr>
          <w:rFonts w:hint="eastAsia" w:hAnsi="方正楷体_GBK" w:eastAsia="仿宋"/>
          <w:b/>
          <w:bCs/>
          <w:snapToGrid w:val="0"/>
          <w:sz w:val="32"/>
          <w:szCs w:val="32"/>
        </w:rPr>
        <w:t>（一）开展“双随机、一公开”监管。</w:t>
      </w:r>
      <w:r>
        <w:rPr>
          <w:rFonts w:eastAsia="仿宋"/>
          <w:b/>
          <w:bCs/>
          <w:sz w:val="32"/>
          <w:szCs w:val="32"/>
        </w:rPr>
        <w:t>强化基础支撑。</w:t>
      </w:r>
      <w:r>
        <w:rPr>
          <w:rFonts w:eastAsia="仿宋"/>
          <w:sz w:val="32"/>
          <w:szCs w:val="32"/>
        </w:rPr>
        <w:t>建立全区3.9万余户企业名录库和800余名执法人员名录库。组织全区23个监管部门，开展部门联合随机抽查36次，抽查713户，发现问题335户，占抽查总数的46.98%。达到减少企业干扰2610户次。运用企业信用风险差异化抽查39次，共随机抽取检查对象1253户，占总抽查</w:t>
      </w:r>
      <w:r>
        <w:rPr>
          <w:rFonts w:hint="eastAsia" w:eastAsia="仿宋"/>
          <w:sz w:val="32"/>
          <w:szCs w:val="32"/>
        </w:rPr>
        <w:t>量</w:t>
      </w:r>
      <w:r>
        <w:rPr>
          <w:rFonts w:eastAsia="仿宋"/>
          <w:sz w:val="32"/>
          <w:szCs w:val="32"/>
        </w:rPr>
        <w:t>的96%，其中发现问题547户，占抽查总数的43.65%。</w:t>
      </w:r>
    </w:p>
    <w:p>
      <w:pPr>
        <w:pStyle w:val="11"/>
        <w:spacing w:after="0"/>
        <w:ind w:left="0" w:leftChars="0" w:firstLine="643"/>
        <w:rPr>
          <w:rFonts w:ascii="Times New Roman" w:hAnsi="Times New Roman" w:eastAsia="仿宋" w:cs="Times New Roman"/>
          <w:bCs/>
          <w:sz w:val="32"/>
          <w:szCs w:val="32"/>
        </w:rPr>
      </w:pPr>
      <w:r>
        <w:rPr>
          <w:rFonts w:hint="eastAsia" w:hAnsi="方正楷体_GBK" w:eastAsia="仿宋"/>
          <w:b/>
          <w:bCs/>
          <w:snapToGrid w:val="0"/>
          <w:sz w:val="32"/>
          <w:szCs w:val="32"/>
        </w:rPr>
        <w:t>（二）对失信企业联合惩戒。</w:t>
      </w:r>
      <w:r>
        <w:rPr>
          <w:rFonts w:ascii="Times New Roman" w:hAnsi="Times New Roman" w:eastAsia="仿宋" w:cs="Times New Roman"/>
          <w:bCs/>
          <w:sz w:val="32"/>
          <w:szCs w:val="32"/>
        </w:rPr>
        <w:t>对存在问题的市场主体</w:t>
      </w:r>
      <w:r>
        <w:rPr>
          <w:rFonts w:hint="eastAsia" w:ascii="Times New Roman" w:hAnsi="Times New Roman" w:eastAsia="仿宋" w:cs="Times New Roman"/>
          <w:bCs/>
          <w:sz w:val="32"/>
          <w:szCs w:val="32"/>
        </w:rPr>
        <w:t>依法</w:t>
      </w:r>
      <w:r>
        <w:rPr>
          <w:rFonts w:ascii="Times New Roman" w:hAnsi="Times New Roman" w:eastAsia="仿宋" w:cs="Times New Roman"/>
          <w:bCs/>
          <w:sz w:val="32"/>
          <w:szCs w:val="32"/>
        </w:rPr>
        <w:t>列入异常名录企业537条，未按规定报送年报的企业列入异常名录3219条，信用修复移出列入异常名录的企业470条，全部向社会公示。</w:t>
      </w:r>
    </w:p>
    <w:p>
      <w:pPr>
        <w:spacing w:line="560" w:lineRule="exact"/>
        <w:ind w:firstLine="643" w:firstLineChars="200"/>
        <w:rPr>
          <w:rFonts w:eastAsia="仿宋"/>
          <w:bCs/>
          <w:sz w:val="32"/>
          <w:szCs w:val="32"/>
        </w:rPr>
      </w:pPr>
      <w:r>
        <w:rPr>
          <w:rFonts w:hint="eastAsia" w:hAnsi="方正楷体_GBK" w:eastAsia="仿宋"/>
          <w:b/>
          <w:bCs/>
          <w:snapToGrid w:val="0"/>
          <w:sz w:val="32"/>
          <w:szCs w:val="32"/>
        </w:rPr>
        <w:t>（三）消除网络市场监管盲区。</w:t>
      </w:r>
      <w:r>
        <w:rPr>
          <w:rFonts w:eastAsia="仿宋"/>
          <w:bCs/>
          <w:sz w:val="32"/>
          <w:szCs w:val="32"/>
        </w:rPr>
        <w:t xml:space="preserve">开展网络交易监管专项行动 </w:t>
      </w:r>
      <w:r>
        <w:rPr>
          <w:rFonts w:hint="eastAsia" w:eastAsia="仿宋"/>
          <w:bCs/>
          <w:sz w:val="32"/>
          <w:szCs w:val="32"/>
        </w:rPr>
        <w:t>4次</w:t>
      </w:r>
      <w:r>
        <w:rPr>
          <w:rFonts w:eastAsia="仿宋"/>
          <w:bCs/>
          <w:sz w:val="32"/>
          <w:szCs w:val="32"/>
        </w:rPr>
        <w:t>。处置上级下发8批次网络经营违法线索30条，涉及企业22家。</w:t>
      </w:r>
    </w:p>
    <w:p>
      <w:pPr>
        <w:spacing w:line="560" w:lineRule="exact"/>
        <w:ind w:firstLine="643" w:firstLineChars="200"/>
        <w:rPr>
          <w:rFonts w:eastAsia="仿宋"/>
          <w:bCs/>
          <w:sz w:val="32"/>
          <w:szCs w:val="32"/>
        </w:rPr>
      </w:pPr>
      <w:r>
        <w:rPr>
          <w:rFonts w:hint="eastAsia" w:hAnsi="方正楷体_GBK" w:eastAsia="仿宋"/>
          <w:b/>
          <w:bCs/>
          <w:sz w:val="32"/>
          <w:szCs w:val="32"/>
        </w:rPr>
        <w:t>（四）打击合同侵权违法行为。</w:t>
      </w:r>
      <w:r>
        <w:rPr>
          <w:rFonts w:eastAsia="仿宋"/>
          <w:bCs/>
          <w:sz w:val="32"/>
          <w:szCs w:val="32"/>
        </w:rPr>
        <w:t>走访辖区企业45家，梳理格式条款329条，规范格式条款43条。</w:t>
      </w:r>
    </w:p>
    <w:p>
      <w:pPr>
        <w:autoSpaceDE w:val="0"/>
        <w:autoSpaceDN w:val="0"/>
        <w:spacing w:line="560" w:lineRule="exact"/>
        <w:ind w:firstLine="643" w:firstLineChars="200"/>
        <w:rPr>
          <w:rFonts w:eastAsia="楷体"/>
          <w:b/>
          <w:bCs/>
          <w:color w:val="000000"/>
          <w:sz w:val="32"/>
          <w:szCs w:val="32"/>
        </w:rPr>
      </w:pPr>
      <w:r>
        <w:rPr>
          <w:rFonts w:hint="eastAsia" w:eastAsia="楷体"/>
          <w:b/>
          <w:bCs/>
          <w:color w:val="000000"/>
          <w:sz w:val="32"/>
          <w:szCs w:val="32"/>
        </w:rPr>
        <w:t>十、</w:t>
      </w:r>
      <w:r>
        <w:rPr>
          <w:rFonts w:eastAsia="楷体"/>
          <w:b/>
          <w:bCs/>
          <w:color w:val="000000"/>
          <w:sz w:val="32"/>
          <w:szCs w:val="32"/>
        </w:rPr>
        <w:t>探索知识产权保护举措，推动企业高质量发展</w:t>
      </w:r>
    </w:p>
    <w:p>
      <w:pPr>
        <w:spacing w:line="560" w:lineRule="exact"/>
        <w:ind w:firstLine="643" w:firstLineChars="200"/>
        <w:rPr>
          <w:rFonts w:eastAsia="仿宋"/>
          <w:bCs/>
          <w:sz w:val="32"/>
          <w:szCs w:val="32"/>
        </w:rPr>
      </w:pPr>
      <w:r>
        <w:rPr>
          <w:rFonts w:hint="eastAsia" w:hAnsi="方正楷体_GBK" w:eastAsia="仿宋"/>
          <w:b/>
          <w:bCs/>
          <w:sz w:val="32"/>
          <w:szCs w:val="32"/>
        </w:rPr>
        <w:t>（一）推进知识产权强市建设。</w:t>
      </w:r>
      <w:r>
        <w:rPr>
          <w:rFonts w:eastAsia="仿宋"/>
          <w:bCs/>
          <w:sz w:val="32"/>
          <w:szCs w:val="32"/>
        </w:rPr>
        <w:t>全区拥有注册商标28761件，高价值发明专利拥有量1603件，有效发明专利4998件获国家专利奖6项，河北省专利奖4项。</w:t>
      </w:r>
    </w:p>
    <w:p>
      <w:pPr>
        <w:spacing w:line="560" w:lineRule="exact"/>
        <w:ind w:firstLine="643" w:firstLineChars="200"/>
        <w:rPr>
          <w:rFonts w:eastAsia="仿宋"/>
          <w:bCs/>
          <w:sz w:val="32"/>
          <w:szCs w:val="32"/>
        </w:rPr>
      </w:pPr>
      <w:r>
        <w:rPr>
          <w:rFonts w:hint="eastAsia" w:hAnsi="方正楷体_GBK" w:eastAsia="仿宋"/>
          <w:b/>
          <w:bCs/>
          <w:sz w:val="32"/>
          <w:szCs w:val="32"/>
        </w:rPr>
        <w:t>（二）开展知识产权助企活动。</w:t>
      </w:r>
      <w:r>
        <w:rPr>
          <w:rFonts w:eastAsia="仿宋"/>
          <w:bCs/>
          <w:sz w:val="32"/>
          <w:szCs w:val="32"/>
        </w:rPr>
        <w:t>积极与金融机构对接帮扶企业解决融资难问题，成功办理知识产权质押融资贷款</w:t>
      </w:r>
      <w:r>
        <w:rPr>
          <w:rFonts w:hint="eastAsia" w:eastAsia="仿宋"/>
          <w:bCs/>
          <w:sz w:val="32"/>
          <w:szCs w:val="32"/>
        </w:rPr>
        <w:t>1.338亿</w:t>
      </w:r>
      <w:r>
        <w:rPr>
          <w:rFonts w:eastAsia="仿宋"/>
          <w:bCs/>
          <w:sz w:val="32"/>
          <w:szCs w:val="32"/>
        </w:rPr>
        <w:t>元。</w:t>
      </w:r>
    </w:p>
    <w:p>
      <w:pPr>
        <w:spacing w:line="560" w:lineRule="exact"/>
        <w:ind w:firstLine="643" w:firstLineChars="200"/>
        <w:rPr>
          <w:rFonts w:eastAsia="仿宋"/>
          <w:bCs/>
          <w:sz w:val="32"/>
          <w:szCs w:val="32"/>
        </w:rPr>
      </w:pPr>
      <w:r>
        <w:rPr>
          <w:rFonts w:hint="eastAsia" w:hAnsi="方正楷体_GBK" w:eastAsia="仿宋"/>
          <w:b/>
          <w:bCs/>
          <w:sz w:val="32"/>
          <w:szCs w:val="32"/>
        </w:rPr>
        <w:t>（三）积极开展知识产权保护。</w:t>
      </w:r>
      <w:r>
        <w:rPr>
          <w:rFonts w:eastAsia="仿宋"/>
          <w:bCs/>
          <w:sz w:val="32"/>
          <w:szCs w:val="32"/>
        </w:rPr>
        <w:t>召开知识产权宣传培训</w:t>
      </w:r>
      <w:r>
        <w:rPr>
          <w:rFonts w:hint="eastAsia" w:eastAsia="仿宋"/>
          <w:bCs/>
          <w:sz w:val="32"/>
          <w:szCs w:val="32"/>
        </w:rPr>
        <w:t>4次</w:t>
      </w:r>
      <w:r>
        <w:rPr>
          <w:rFonts w:eastAsia="仿宋"/>
          <w:bCs/>
          <w:sz w:val="32"/>
          <w:szCs w:val="32"/>
        </w:rPr>
        <w:t>，积极探讨知识产权保护与运用的新模式新途径。</w:t>
      </w:r>
    </w:p>
    <w:p>
      <w:pPr>
        <w:spacing w:line="560" w:lineRule="exact"/>
        <w:ind w:firstLine="643" w:firstLineChars="200"/>
        <w:rPr>
          <w:rFonts w:eastAsia="楷体"/>
          <w:b/>
          <w:bCs/>
          <w:sz w:val="32"/>
          <w:szCs w:val="32"/>
        </w:rPr>
      </w:pPr>
      <w:r>
        <w:rPr>
          <w:rFonts w:hint="eastAsia" w:eastAsia="楷体"/>
          <w:b/>
          <w:bCs/>
          <w:sz w:val="32"/>
          <w:szCs w:val="32"/>
        </w:rPr>
        <w:t>十一、</w:t>
      </w:r>
      <w:r>
        <w:rPr>
          <w:rFonts w:eastAsia="楷体"/>
          <w:b/>
          <w:bCs/>
          <w:sz w:val="32"/>
          <w:szCs w:val="32"/>
        </w:rPr>
        <w:t>强化人民至上理念，构建良好消费环境</w:t>
      </w:r>
    </w:p>
    <w:p>
      <w:pPr>
        <w:spacing w:line="560" w:lineRule="exact"/>
        <w:ind w:firstLine="643" w:firstLineChars="200"/>
        <w:rPr>
          <w:rFonts w:eastAsia="仿宋"/>
          <w:kern w:val="0"/>
          <w:sz w:val="32"/>
          <w:szCs w:val="32"/>
        </w:rPr>
      </w:pPr>
      <w:r>
        <w:rPr>
          <w:rFonts w:hint="eastAsia" w:hAnsi="方正楷体_GBK" w:eastAsia="仿宋"/>
          <w:b/>
          <w:bCs/>
          <w:sz w:val="32"/>
          <w:szCs w:val="32"/>
        </w:rPr>
        <w:t>（一）不断提升消费环境水平。</w:t>
      </w:r>
      <w:r>
        <w:rPr>
          <w:rFonts w:eastAsia="仿宋"/>
          <w:kern w:val="0"/>
          <w:sz w:val="32"/>
          <w:szCs w:val="32"/>
        </w:rPr>
        <w:t>培养放心消费创建示范单位186家。建立“你诉我应”机制，现有10家大型商超、55家实体店参与同城异店无理由退换货服务。</w:t>
      </w:r>
    </w:p>
    <w:p>
      <w:pPr>
        <w:spacing w:line="560" w:lineRule="exact"/>
        <w:ind w:firstLine="643" w:firstLineChars="200"/>
        <w:rPr>
          <w:rFonts w:eastAsia="仿宋"/>
          <w:b/>
          <w:sz w:val="32"/>
          <w:szCs w:val="32"/>
        </w:rPr>
      </w:pPr>
      <w:r>
        <w:rPr>
          <w:rFonts w:hint="eastAsia" w:hAnsi="方正楷体_GBK" w:eastAsia="仿宋"/>
          <w:b/>
          <w:bCs/>
          <w:sz w:val="32"/>
          <w:szCs w:val="32"/>
        </w:rPr>
        <w:t>（二）加大投诉举报处置力度。</w:t>
      </w:r>
      <w:r>
        <w:rPr>
          <w:rFonts w:eastAsia="仿宋"/>
          <w:kern w:val="0"/>
          <w:sz w:val="32"/>
          <w:szCs w:val="32"/>
        </w:rPr>
        <w:t>12315平台受理投诉举报</w:t>
      </w:r>
      <w:r>
        <w:rPr>
          <w:rFonts w:hint="eastAsia" w:eastAsia="仿宋"/>
          <w:kern w:val="0"/>
          <w:sz w:val="32"/>
          <w:szCs w:val="32"/>
        </w:rPr>
        <w:t>16077</w:t>
      </w:r>
      <w:r>
        <w:rPr>
          <w:rFonts w:eastAsia="仿宋"/>
          <w:kern w:val="0"/>
          <w:sz w:val="32"/>
          <w:szCs w:val="32"/>
        </w:rPr>
        <w:t>件、12345“接诉即办”平台受理工单</w:t>
      </w:r>
      <w:r>
        <w:rPr>
          <w:rFonts w:hint="eastAsia" w:eastAsia="仿宋"/>
          <w:kern w:val="0"/>
          <w:sz w:val="32"/>
          <w:szCs w:val="32"/>
        </w:rPr>
        <w:t>9681</w:t>
      </w:r>
      <w:r>
        <w:rPr>
          <w:rFonts w:eastAsia="仿宋"/>
          <w:kern w:val="0"/>
          <w:sz w:val="32"/>
          <w:szCs w:val="32"/>
        </w:rPr>
        <w:t>件、信访件321件（一般程序61件）、人民网留言交办件57件、问政河北工单3件，共受理投诉举报（信访件）23919件。</w:t>
      </w:r>
    </w:p>
    <w:p>
      <w:pPr>
        <w:spacing w:line="560" w:lineRule="exact"/>
        <w:ind w:firstLine="643" w:firstLineChars="200"/>
        <w:rPr>
          <w:rFonts w:ascii="仿宋_GB2312" w:hAnsi="仿宋_GB2312" w:eastAsia="仿宋_GB2312" w:cs="仿宋_GB2312"/>
          <w:sz w:val="32"/>
          <w:szCs w:val="32"/>
        </w:rPr>
      </w:pPr>
      <w:r>
        <w:rPr>
          <w:rFonts w:hint="eastAsia" w:hAnsi="方正楷体_GBK" w:eastAsia="仿宋"/>
          <w:b/>
          <w:bCs/>
          <w:sz w:val="32"/>
          <w:szCs w:val="32"/>
        </w:rPr>
        <w:t>（三）着力抓好产品质量监督。</w:t>
      </w:r>
      <w:r>
        <w:rPr>
          <w:rFonts w:ascii="仿宋_GB2312" w:hAnsi="仿宋_GB2312" w:eastAsia="仿宋_GB2312" w:cs="仿宋_GB2312"/>
          <w:spacing w:val="-4"/>
          <w:sz w:val="32"/>
          <w:szCs w:val="32"/>
        </w:rPr>
        <w:t>对</w:t>
      </w:r>
      <w:r>
        <w:rPr>
          <w:rFonts w:hint="eastAsia" w:ascii="仿宋_GB2312" w:hAnsi="仿宋_GB2312" w:eastAsia="仿宋_GB2312" w:cs="仿宋_GB2312"/>
          <w:sz w:val="32"/>
          <w:szCs w:val="32"/>
        </w:rPr>
        <w:t>电动自行车、燃气具等产品排查整治，排查电动自行车企业115户，燃气具及相关产品企业户72户，并签订质量承诺书。按照总局</w:t>
      </w:r>
      <w:r>
        <w:rPr>
          <w:rFonts w:hint="eastAsia" w:ascii="仿宋_GB2312" w:hAnsi="仿宋_GB2312" w:eastAsia="仿宋_GB2312" w:cs="仿宋_GB2312"/>
          <w:spacing w:val="-4"/>
          <w:sz w:val="32"/>
          <w:szCs w:val="32"/>
        </w:rPr>
        <w:t>落实工业产品“两个责任”要求，录入</w:t>
      </w:r>
      <w:r>
        <w:rPr>
          <w:rFonts w:hint="eastAsia" w:ascii="仿宋_GB2312" w:hAnsi="仿宋_GB2312" w:eastAsia="仿宋_GB2312" w:cs="仿宋_GB2312"/>
          <w:sz w:val="32"/>
          <w:szCs w:val="32"/>
        </w:rPr>
        <w:t>工业产品质量安全智慧监管平台企业共计206户，组织56户工业产品生产销售单位的质量安全总监和安全员参加了平台培训考核。</w:t>
      </w:r>
    </w:p>
    <w:p>
      <w:pPr>
        <w:spacing w:line="560" w:lineRule="exact"/>
        <w:ind w:firstLine="643" w:firstLineChars="200"/>
        <w:rPr>
          <w:rFonts w:eastAsia="仿宋"/>
          <w:sz w:val="32"/>
          <w:szCs w:val="32"/>
        </w:rPr>
      </w:pPr>
      <w:r>
        <w:rPr>
          <w:rFonts w:hint="eastAsia" w:hAnsi="方正楷体_GBK" w:eastAsia="仿宋"/>
          <w:b/>
          <w:bCs/>
          <w:sz w:val="32"/>
          <w:szCs w:val="32"/>
        </w:rPr>
        <w:t>（四）开展价格专项整治工作。</w:t>
      </w:r>
      <w:r>
        <w:rPr>
          <w:rFonts w:eastAsia="仿宋"/>
          <w:bCs/>
          <w:sz w:val="32"/>
          <w:szCs w:val="32"/>
        </w:rPr>
        <w:t>检查涉企收费企业</w:t>
      </w:r>
      <w:r>
        <w:rPr>
          <w:rFonts w:eastAsia="仿宋"/>
          <w:sz w:val="32"/>
          <w:szCs w:val="32"/>
        </w:rPr>
        <w:t>125家，规范明码标价12家。检查有电动自行车充电收费的小区34个，充电运营商19家，督促企业落实充电电量单独计量。</w:t>
      </w:r>
    </w:p>
    <w:p>
      <w:pPr>
        <w:pStyle w:val="10"/>
        <w:spacing w:before="0" w:beforeAutospacing="0" w:after="0" w:afterAutospacing="0" w:line="560" w:lineRule="exact"/>
        <w:ind w:firstLine="643" w:firstLineChars="200"/>
        <w:jc w:val="both"/>
        <w:rPr>
          <w:rFonts w:ascii="Times New Roman" w:hAnsi="Times New Roman" w:eastAsia="仿宋" w:cs="Times New Roman"/>
          <w:color w:val="000000"/>
          <w:kern w:val="2"/>
          <w:sz w:val="32"/>
          <w:szCs w:val="32"/>
        </w:rPr>
      </w:pPr>
      <w:r>
        <w:rPr>
          <w:rFonts w:hint="eastAsia" w:ascii="Times New Roman" w:hAnsi="方正楷体_GBK" w:eastAsia="仿宋"/>
          <w:b/>
          <w:bCs/>
          <w:kern w:val="2"/>
          <w:sz w:val="32"/>
          <w:szCs w:val="32"/>
        </w:rPr>
        <w:t>（五）积极治理广告侵权违法。</w:t>
      </w:r>
      <w:r>
        <w:rPr>
          <w:rFonts w:ascii="Times New Roman" w:hAnsi="Times New Roman" w:eastAsia="仿宋" w:cs="Times New Roman"/>
          <w:color w:val="000000"/>
          <w:kern w:val="2"/>
          <w:sz w:val="32"/>
          <w:szCs w:val="32"/>
        </w:rPr>
        <w:t>约谈行政指导广告经营单位25户，下架违法广告50条次。</w:t>
      </w:r>
    </w:p>
    <w:p>
      <w:pPr>
        <w:spacing w:line="560" w:lineRule="exact"/>
        <w:ind w:firstLine="643" w:firstLineChars="200"/>
        <w:rPr>
          <w:rFonts w:hAnsi="方正楷体_GBK" w:eastAsia="仿宋"/>
          <w:b/>
          <w:bCs/>
          <w:sz w:val="32"/>
          <w:szCs w:val="32"/>
        </w:rPr>
      </w:pPr>
      <w:r>
        <w:rPr>
          <w:rFonts w:hint="eastAsia" w:hAnsi="方正楷体_GBK" w:eastAsia="仿宋"/>
          <w:b/>
          <w:bCs/>
          <w:sz w:val="32"/>
          <w:szCs w:val="32"/>
        </w:rPr>
        <w:t>十二、强化计量监督管理工作。</w:t>
      </w:r>
    </w:p>
    <w:p>
      <w:pPr>
        <w:spacing w:line="560" w:lineRule="exact"/>
        <w:ind w:firstLine="640" w:firstLineChars="200"/>
        <w:rPr>
          <w:rFonts w:eastAsia="仿宋"/>
          <w:sz w:val="32"/>
          <w:szCs w:val="32"/>
        </w:rPr>
      </w:pPr>
      <w:r>
        <w:rPr>
          <w:rFonts w:eastAsia="仿宋"/>
          <w:sz w:val="32"/>
          <w:szCs w:val="32"/>
        </w:rPr>
        <w:t>对18家集贸市场、商超进行集中培训2次，检查电子计价秤1582台次，向18家集贸市场免费发放55台智慧溯源电子秤作为公平秤使用，开展民用“三表”抽检，共抽检库存水、燃气表各40件和在用的水、电、燃气表各15件。</w:t>
      </w:r>
    </w:p>
    <w:p>
      <w:pPr>
        <w:spacing w:line="560" w:lineRule="exact"/>
        <w:ind w:firstLine="643" w:firstLineChars="200"/>
        <w:rPr>
          <w:rFonts w:eastAsia="楷体"/>
          <w:b/>
          <w:bCs/>
          <w:sz w:val="32"/>
          <w:szCs w:val="32"/>
        </w:rPr>
      </w:pPr>
      <w:r>
        <w:rPr>
          <w:rFonts w:hint="eastAsia" w:eastAsia="楷体"/>
          <w:b/>
          <w:bCs/>
          <w:sz w:val="32"/>
          <w:szCs w:val="32"/>
        </w:rPr>
        <w:t>十三、</w:t>
      </w:r>
      <w:r>
        <w:rPr>
          <w:rFonts w:eastAsia="楷体"/>
          <w:b/>
          <w:bCs/>
          <w:sz w:val="32"/>
          <w:szCs w:val="32"/>
        </w:rPr>
        <w:t>深入开展反垄断执法，严厉打击不正当竞争</w:t>
      </w:r>
    </w:p>
    <w:p>
      <w:pPr>
        <w:widowControl/>
        <w:autoSpaceDE w:val="0"/>
        <w:autoSpaceDN w:val="0"/>
        <w:adjustRightInd w:val="0"/>
        <w:snapToGrid w:val="0"/>
        <w:spacing w:line="560" w:lineRule="exact"/>
        <w:ind w:firstLine="640" w:firstLineChars="200"/>
        <w:textAlignment w:val="baseline"/>
        <w:rPr>
          <w:rFonts w:eastAsia="仿宋"/>
          <w:sz w:val="32"/>
          <w:szCs w:val="32"/>
        </w:rPr>
      </w:pPr>
      <w:r>
        <w:rPr>
          <w:rFonts w:eastAsia="仿宋"/>
          <w:sz w:val="32"/>
          <w:szCs w:val="32"/>
        </w:rPr>
        <w:t>印制《公平竞争审查条例》书式版400份，在区委常委会、区政府常务会上学习。打击医药领域商业贿赂行为，处置举报1件、转办案件线索1件。开展商业秘密保护宣传活动，悬挂保护商业秘密宣传条幅160条，发放宣传单1000份。</w:t>
      </w:r>
    </w:p>
    <w:p>
      <w:pPr>
        <w:autoSpaceDE w:val="0"/>
        <w:autoSpaceDN w:val="0"/>
        <w:spacing w:line="560" w:lineRule="exact"/>
        <w:ind w:firstLine="643" w:firstLineChars="200"/>
        <w:rPr>
          <w:rFonts w:ascii="黑体" w:hAnsi="黑体" w:eastAsia="黑体" w:cs="方正黑体_GBK"/>
          <w:b/>
          <w:color w:val="000000"/>
          <w:sz w:val="32"/>
          <w:szCs w:val="32"/>
        </w:rPr>
      </w:pPr>
      <w:r>
        <w:rPr>
          <w:rFonts w:hint="eastAsia" w:ascii="黑体" w:hAnsi="黑体" w:eastAsia="黑体" w:cs="方正黑体_GBK"/>
          <w:b/>
          <w:color w:val="000000"/>
          <w:sz w:val="32"/>
          <w:szCs w:val="32"/>
        </w:rPr>
        <w:t>十四、实施工作成效及亮点</w:t>
      </w:r>
    </w:p>
    <w:p>
      <w:pPr>
        <w:overflowPunct w:val="0"/>
        <w:spacing w:line="560" w:lineRule="exact"/>
        <w:ind w:firstLine="640" w:firstLineChars="200"/>
        <w:rPr>
          <w:rFonts w:ascii="方正楷体_GBK" w:hAnsi="方正楷体_GBK" w:eastAsia="方正楷体_GBK" w:cs="方正楷体_GBK"/>
          <w:b/>
          <w:bCs/>
          <w:sz w:val="32"/>
          <w:szCs w:val="32"/>
        </w:rPr>
      </w:pPr>
      <w:r>
        <w:rPr>
          <w:rFonts w:ascii="方正楷体_GBK" w:hAnsi="方正楷体_GBK" w:eastAsia="方正楷体_GBK" w:cs="方正楷体_GBK"/>
          <w:b/>
          <w:bCs/>
          <w:sz w:val="32"/>
          <w:szCs w:val="32"/>
        </w:rPr>
        <w:t>（一）受到</w:t>
      </w:r>
      <w:r>
        <w:rPr>
          <w:rFonts w:hint="eastAsia" w:ascii="方正楷体_GBK" w:hAnsi="方正楷体_GBK" w:eastAsia="方正楷体_GBK" w:cs="方正楷体_GBK"/>
          <w:b/>
          <w:bCs/>
          <w:sz w:val="32"/>
          <w:szCs w:val="32"/>
        </w:rPr>
        <w:t>国家级</w:t>
      </w:r>
      <w:r>
        <w:rPr>
          <w:rFonts w:ascii="方正楷体_GBK" w:hAnsi="方正楷体_GBK" w:eastAsia="方正楷体_GBK" w:cs="方正楷体_GBK"/>
          <w:b/>
          <w:bCs/>
          <w:sz w:val="32"/>
          <w:szCs w:val="32"/>
        </w:rPr>
        <w:t>肯定的</w:t>
      </w:r>
      <w:r>
        <w:rPr>
          <w:rFonts w:hint="eastAsia" w:ascii="方正楷体_GBK" w:hAnsi="方正楷体_GBK" w:eastAsia="方正楷体_GBK" w:cs="方正楷体_GBK"/>
          <w:b/>
          <w:bCs/>
          <w:sz w:val="32"/>
          <w:szCs w:val="32"/>
        </w:rPr>
        <w:t>工作成效</w:t>
      </w:r>
      <w:r>
        <w:rPr>
          <w:rFonts w:ascii="方正楷体_GBK" w:hAnsi="方正楷体_GBK" w:eastAsia="方正楷体_GBK" w:cs="方正楷体_GBK"/>
          <w:b/>
          <w:bCs/>
          <w:sz w:val="32"/>
          <w:szCs w:val="32"/>
        </w:rPr>
        <w:t>有四项</w:t>
      </w:r>
    </w:p>
    <w:p>
      <w:pPr>
        <w:overflowPunct w:val="0"/>
        <w:spacing w:line="560" w:lineRule="exact"/>
        <w:ind w:firstLine="640" w:firstLineChars="200"/>
        <w:rPr>
          <w:rFonts w:ascii="仿宋" w:hAnsi="仿宋" w:eastAsia="仿宋" w:cs="方正仿宋_GBK"/>
          <w:sz w:val="32"/>
          <w:szCs w:val="32"/>
        </w:rPr>
      </w:pPr>
      <w:r>
        <w:rPr>
          <w:rFonts w:hint="eastAsia" w:ascii="仿宋" w:hAnsi="仿宋" w:eastAsia="仿宋"/>
          <w:sz w:val="32"/>
          <w:szCs w:val="32"/>
        </w:rPr>
        <w:t>1</w:t>
      </w:r>
      <w:r>
        <w:rPr>
          <w:rFonts w:ascii="仿宋" w:hAnsi="仿宋" w:eastAsia="仿宋"/>
          <w:sz w:val="32"/>
          <w:szCs w:val="32"/>
        </w:rPr>
        <w:t>.莲池区被国家市场监管总局纳入</w:t>
      </w:r>
      <w:r>
        <w:rPr>
          <w:rFonts w:hint="eastAsia" w:ascii="仿宋" w:hAnsi="仿宋" w:eastAsia="仿宋" w:cs="方正仿宋_GBK"/>
          <w:sz w:val="32"/>
          <w:szCs w:val="32"/>
        </w:rPr>
        <w:t>“质量强县（区、镇）培育建设城市”。</w:t>
      </w:r>
    </w:p>
    <w:p>
      <w:pPr>
        <w:overflowPunct w:val="0"/>
        <w:spacing w:line="56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2</w:t>
      </w:r>
      <w:r>
        <w:rPr>
          <w:rFonts w:ascii="仿宋" w:hAnsi="仿宋" w:eastAsia="仿宋" w:cs="方正仿宋_GBK"/>
          <w:sz w:val="32"/>
          <w:szCs w:val="32"/>
        </w:rPr>
        <w:t>.</w:t>
      </w:r>
      <w:r>
        <w:rPr>
          <w:rFonts w:hint="eastAsia" w:ascii="仿宋" w:hAnsi="仿宋" w:eastAsia="仿宋" w:cs="方正仿宋_GBK"/>
          <w:sz w:val="32"/>
          <w:szCs w:val="32"/>
        </w:rPr>
        <w:t>《保定市莲池区质量强县（区、镇)经验做法》入选《全国质量强县（区、镇)经验交流现场推进会交流材料》</w:t>
      </w:r>
      <w:r>
        <w:rPr>
          <w:rFonts w:ascii="仿宋" w:hAnsi="仿宋" w:eastAsia="仿宋" w:cs="方正仿宋_GBK"/>
          <w:sz w:val="32"/>
          <w:szCs w:val="32"/>
        </w:rPr>
        <w:t>汇编。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.莲池区</w:t>
      </w:r>
      <w:r>
        <w:rPr>
          <w:rFonts w:hint="eastAsia" w:ascii="仿宋" w:hAnsi="仿宋" w:eastAsia="仿宋"/>
          <w:sz w:val="32"/>
          <w:szCs w:val="32"/>
        </w:rPr>
        <w:t>“</w:t>
      </w:r>
      <w:r>
        <w:rPr>
          <w:rFonts w:ascii="仿宋" w:hAnsi="仿宋" w:eastAsia="仿宋"/>
          <w:sz w:val="32"/>
          <w:szCs w:val="32"/>
        </w:rPr>
        <w:t>新能源汽车及零部件产业链供应链质量联动提升项目</w:t>
      </w:r>
      <w:r>
        <w:rPr>
          <w:rFonts w:hint="eastAsia" w:ascii="仿宋" w:hAnsi="仿宋" w:eastAsia="仿宋"/>
          <w:sz w:val="32"/>
          <w:szCs w:val="32"/>
        </w:rPr>
        <w:t>”</w:t>
      </w:r>
      <w:r>
        <w:rPr>
          <w:rFonts w:ascii="仿宋" w:hAnsi="仿宋" w:eastAsia="仿宋"/>
          <w:sz w:val="32"/>
          <w:szCs w:val="32"/>
        </w:rPr>
        <w:t>被列入全国百个质量强链重点项目，是我省6项入围强链项目之一。</w:t>
      </w:r>
    </w:p>
    <w:p>
      <w:pPr>
        <w:overflowPunct w:val="0"/>
        <w:spacing w:line="560" w:lineRule="exact"/>
        <w:ind w:firstLine="640" w:firstLineChars="200"/>
        <w:rPr>
          <w:rFonts w:ascii="仿宋" w:hAnsi="仿宋" w:eastAsia="仿宋" w:cs="方正仿宋_GBK"/>
          <w:sz w:val="32"/>
          <w:szCs w:val="32"/>
        </w:rPr>
      </w:pPr>
      <w:r>
        <w:rPr>
          <w:rFonts w:ascii="仿宋" w:hAnsi="仿宋" w:eastAsia="仿宋" w:cs="方正仿宋_GBK"/>
          <w:sz w:val="32"/>
          <w:szCs w:val="32"/>
        </w:rPr>
        <w:t>4.由莲池区局</w:t>
      </w:r>
      <w:r>
        <w:rPr>
          <w:rFonts w:hint="eastAsia" w:ascii="仿宋" w:hAnsi="仿宋" w:eastAsia="仿宋" w:cs="方正仿宋_GBK"/>
          <w:sz w:val="32"/>
          <w:szCs w:val="32"/>
        </w:rPr>
        <w:t>和莲池区五尧乡</w:t>
      </w:r>
      <w:r>
        <w:rPr>
          <w:rFonts w:ascii="仿宋" w:hAnsi="仿宋" w:eastAsia="仿宋" w:cs="方正仿宋_GBK"/>
          <w:sz w:val="32"/>
          <w:szCs w:val="32"/>
        </w:rPr>
        <w:t>共同负责的</w:t>
      </w:r>
      <w:r>
        <w:rPr>
          <w:rFonts w:hint="eastAsia" w:ascii="仿宋" w:hAnsi="仿宋" w:eastAsia="仿宋" w:cs="方正仿宋_GBK"/>
          <w:sz w:val="32"/>
          <w:szCs w:val="32"/>
        </w:rPr>
        <w:t>“</w:t>
      </w:r>
      <w:r>
        <w:rPr>
          <w:rFonts w:ascii="仿宋" w:hAnsi="仿宋" w:eastAsia="仿宋" w:cs="方正仿宋_GBK"/>
          <w:sz w:val="32"/>
          <w:szCs w:val="32"/>
        </w:rPr>
        <w:t>社会管理和公共服务综合标准化试点，被国家标准化管理委员会、国家人社部、中华全国总工会（国标委联〔2024〕10号）及河北省市场监管局、河北省人社厅、河北省总工会确定为</w:t>
      </w:r>
      <w:r>
        <w:rPr>
          <w:rFonts w:hint="eastAsia" w:ascii="仿宋" w:hAnsi="仿宋" w:eastAsia="仿宋" w:cs="方正仿宋_GBK"/>
          <w:sz w:val="32"/>
          <w:szCs w:val="32"/>
        </w:rPr>
        <w:t>“</w:t>
      </w:r>
      <w:r>
        <w:rPr>
          <w:rFonts w:ascii="仿宋" w:hAnsi="仿宋" w:eastAsia="仿宋" w:cs="方正仿宋_GBK"/>
          <w:sz w:val="32"/>
          <w:szCs w:val="32"/>
        </w:rPr>
        <w:t>社会管理和公共服务综合标准化试点（基层劳动关系公共服务领域）项目</w:t>
      </w:r>
      <w:r>
        <w:rPr>
          <w:rFonts w:hint="eastAsia" w:ascii="仿宋" w:hAnsi="仿宋" w:eastAsia="仿宋" w:cs="方正仿宋_GBK"/>
          <w:sz w:val="32"/>
          <w:szCs w:val="32"/>
        </w:rPr>
        <w:t>”</w:t>
      </w:r>
      <w:r>
        <w:rPr>
          <w:rFonts w:ascii="仿宋" w:hAnsi="仿宋" w:eastAsia="仿宋" w:cs="方正仿宋_GBK"/>
          <w:sz w:val="32"/>
          <w:szCs w:val="32"/>
        </w:rPr>
        <w:t>，河北省只有两家试点单位。</w:t>
      </w:r>
    </w:p>
    <w:p>
      <w:pPr>
        <w:overflowPunct w:val="0"/>
        <w:spacing w:line="560" w:lineRule="exact"/>
        <w:ind w:firstLine="643" w:firstLineChars="200"/>
        <w:rPr>
          <w:rFonts w:ascii="仿宋" w:hAnsi="仿宋" w:eastAsia="仿宋" w:cs="方正楷体_GBK"/>
          <w:b/>
          <w:bCs/>
          <w:sz w:val="32"/>
          <w:szCs w:val="32"/>
        </w:rPr>
      </w:pPr>
      <w:r>
        <w:rPr>
          <w:rFonts w:hint="eastAsia" w:ascii="仿宋" w:hAnsi="仿宋" w:eastAsia="仿宋" w:cs="方正楷体_GBK"/>
          <w:b/>
          <w:bCs/>
          <w:sz w:val="32"/>
          <w:szCs w:val="32"/>
        </w:rPr>
        <w:t>（二）</w:t>
      </w:r>
      <w:r>
        <w:rPr>
          <w:rFonts w:ascii="仿宋" w:hAnsi="仿宋" w:eastAsia="仿宋" w:cs="方正楷体_GBK"/>
          <w:b/>
          <w:bCs/>
          <w:sz w:val="32"/>
          <w:szCs w:val="32"/>
        </w:rPr>
        <w:t>受到</w:t>
      </w:r>
      <w:r>
        <w:rPr>
          <w:rFonts w:hint="eastAsia" w:ascii="仿宋" w:hAnsi="仿宋" w:eastAsia="仿宋" w:cs="方正楷体_GBK"/>
          <w:b/>
          <w:bCs/>
          <w:sz w:val="32"/>
          <w:szCs w:val="32"/>
        </w:rPr>
        <w:t>省级</w:t>
      </w:r>
      <w:r>
        <w:rPr>
          <w:rFonts w:ascii="仿宋" w:hAnsi="仿宋" w:eastAsia="仿宋" w:cs="方正楷体_GBK"/>
          <w:b/>
          <w:bCs/>
          <w:sz w:val="32"/>
          <w:szCs w:val="32"/>
        </w:rPr>
        <w:t>肯定的</w:t>
      </w:r>
      <w:r>
        <w:rPr>
          <w:rFonts w:hint="eastAsia" w:ascii="仿宋" w:hAnsi="仿宋" w:eastAsia="仿宋" w:cs="方正楷体_GBK"/>
          <w:b/>
          <w:bCs/>
          <w:sz w:val="32"/>
          <w:szCs w:val="32"/>
        </w:rPr>
        <w:t>工作成效</w:t>
      </w:r>
      <w:r>
        <w:rPr>
          <w:rFonts w:ascii="仿宋" w:hAnsi="仿宋" w:eastAsia="仿宋" w:cs="方正楷体_GBK"/>
          <w:b/>
          <w:bCs/>
          <w:sz w:val="32"/>
          <w:szCs w:val="32"/>
        </w:rPr>
        <w:t>有六项</w:t>
      </w:r>
    </w:p>
    <w:p>
      <w:pPr>
        <w:overflowPunct w:val="0"/>
        <w:spacing w:line="56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1.保定市莲池区市场监督管理局驻小集前街社区工作队被中共河北省委统战部、中共河北省委组织部评为“全省先进基层治理工作队”。</w:t>
      </w:r>
    </w:p>
    <w:p>
      <w:pPr>
        <w:overflowPunct w:val="0"/>
        <w:spacing w:line="56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2</w:t>
      </w:r>
      <w:r>
        <w:rPr>
          <w:rFonts w:ascii="仿宋" w:hAnsi="仿宋" w:eastAsia="仿宋" w:cs="方正仿宋_GBK"/>
          <w:sz w:val="32"/>
          <w:szCs w:val="32"/>
        </w:rPr>
        <w:t>.</w:t>
      </w:r>
      <w:r>
        <w:rPr>
          <w:rFonts w:hint="eastAsia" w:ascii="仿宋" w:hAnsi="仿宋" w:eastAsia="仿宋" w:cs="方正仿宋_GBK"/>
          <w:sz w:val="32"/>
          <w:szCs w:val="32"/>
        </w:rPr>
        <w:t>保定行运汽车检测服务公司党支部</w:t>
      </w:r>
      <w:r>
        <w:rPr>
          <w:rFonts w:ascii="仿宋" w:hAnsi="仿宋" w:eastAsia="仿宋" w:cs="方正仿宋_GBK"/>
          <w:sz w:val="32"/>
          <w:szCs w:val="32"/>
        </w:rPr>
        <w:t>被省委社工部、省委非公有制经济组织和社会组织工作委员会命名为</w:t>
      </w:r>
      <w:r>
        <w:rPr>
          <w:rFonts w:hint="eastAsia" w:ascii="仿宋" w:hAnsi="仿宋" w:eastAsia="仿宋" w:cs="方正仿宋_GBK"/>
          <w:sz w:val="32"/>
          <w:szCs w:val="32"/>
        </w:rPr>
        <w:t>“河北省两新组织党建示范点”</w:t>
      </w:r>
      <w:r>
        <w:rPr>
          <w:rFonts w:ascii="仿宋" w:hAnsi="仿宋" w:eastAsia="仿宋" w:cs="方正仿宋_GBK"/>
          <w:sz w:val="32"/>
          <w:szCs w:val="32"/>
        </w:rPr>
        <w:t>。</w:t>
      </w:r>
    </w:p>
    <w:p>
      <w:pPr>
        <w:overflowPunct w:val="0"/>
        <w:spacing w:line="56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3</w:t>
      </w:r>
      <w:r>
        <w:rPr>
          <w:rFonts w:ascii="仿宋" w:hAnsi="仿宋" w:eastAsia="仿宋" w:cs="方正仿宋_GBK"/>
          <w:sz w:val="32"/>
          <w:szCs w:val="32"/>
        </w:rPr>
        <w:t>.</w:t>
      </w:r>
      <w:r>
        <w:rPr>
          <w:rFonts w:hint="eastAsia" w:ascii="仿宋" w:hAnsi="仿宋" w:eastAsia="仿宋" w:cs="方正仿宋_GBK"/>
          <w:sz w:val="32"/>
          <w:szCs w:val="32"/>
        </w:rPr>
        <w:t>保定唤哆哆企业管理咨询公司党支部</w:t>
      </w:r>
      <w:r>
        <w:rPr>
          <w:rFonts w:ascii="仿宋" w:hAnsi="仿宋" w:eastAsia="仿宋" w:cs="方正仿宋_GBK"/>
          <w:sz w:val="32"/>
          <w:szCs w:val="32"/>
        </w:rPr>
        <w:t>、</w:t>
      </w:r>
      <w:r>
        <w:rPr>
          <w:rFonts w:hint="eastAsia" w:ascii="仿宋" w:hAnsi="仿宋" w:eastAsia="仿宋" w:cs="方正仿宋_GBK"/>
          <w:sz w:val="32"/>
          <w:szCs w:val="32"/>
        </w:rPr>
        <w:t>保定行运汽车检测服务公司党支部</w:t>
      </w:r>
      <w:r>
        <w:rPr>
          <w:rFonts w:ascii="仿宋" w:hAnsi="仿宋" w:eastAsia="仿宋" w:cs="方正仿宋_GBK"/>
          <w:sz w:val="32"/>
          <w:szCs w:val="32"/>
        </w:rPr>
        <w:t>，被省市场监管局命名为</w:t>
      </w:r>
      <w:r>
        <w:rPr>
          <w:rFonts w:hint="eastAsia" w:ascii="仿宋" w:hAnsi="仿宋" w:eastAsia="仿宋" w:cs="方正仿宋_GBK"/>
          <w:sz w:val="32"/>
          <w:szCs w:val="32"/>
        </w:rPr>
        <w:t>“河北省"小个专"党建示范点”</w:t>
      </w:r>
      <w:r>
        <w:rPr>
          <w:rFonts w:ascii="仿宋" w:hAnsi="仿宋" w:eastAsia="仿宋" w:cs="方正仿宋_GBK"/>
          <w:sz w:val="32"/>
          <w:szCs w:val="32"/>
        </w:rPr>
        <w:t>。</w:t>
      </w:r>
    </w:p>
    <w:p>
      <w:pPr>
        <w:overflowPunct w:val="0"/>
        <w:spacing w:line="560" w:lineRule="exact"/>
        <w:ind w:firstLine="640" w:firstLineChars="200"/>
        <w:rPr>
          <w:rFonts w:ascii="仿宋" w:hAnsi="仿宋" w:eastAsia="仿宋" w:cs="方正仿宋_GBK"/>
          <w:color w:val="000000"/>
          <w:sz w:val="32"/>
          <w:szCs w:val="32"/>
        </w:rPr>
      </w:pPr>
      <w:r>
        <w:rPr>
          <w:rFonts w:hint="eastAsia" w:ascii="仿宋" w:hAnsi="仿宋" w:eastAsia="仿宋" w:cs="方正仿宋_GBK"/>
          <w:sz w:val="32"/>
          <w:szCs w:val="32"/>
        </w:rPr>
        <w:t>4</w:t>
      </w:r>
      <w:r>
        <w:rPr>
          <w:rFonts w:ascii="仿宋" w:hAnsi="仿宋" w:eastAsia="仿宋" w:cs="方正仿宋_GBK"/>
          <w:sz w:val="32"/>
          <w:szCs w:val="32"/>
        </w:rPr>
        <w:t>.</w:t>
      </w:r>
      <w:r>
        <w:rPr>
          <w:rFonts w:hint="eastAsia" w:ascii="仿宋" w:hAnsi="仿宋" w:eastAsia="仿宋" w:cs="方正仿宋_GBK"/>
          <w:color w:val="000000"/>
          <w:sz w:val="32"/>
          <w:szCs w:val="32"/>
        </w:rPr>
        <w:t>长城企业股份公司的《迈出高质量发展新步伐》案例</w:t>
      </w:r>
      <w:r>
        <w:rPr>
          <w:rFonts w:ascii="仿宋" w:hAnsi="仿宋" w:eastAsia="仿宋" w:cs="方正仿宋_GBK"/>
          <w:color w:val="000000"/>
          <w:sz w:val="32"/>
          <w:szCs w:val="32"/>
        </w:rPr>
        <w:t>，</w:t>
      </w:r>
      <w:r>
        <w:rPr>
          <w:rFonts w:hint="eastAsia" w:ascii="仿宋" w:hAnsi="仿宋" w:eastAsia="仿宋" w:cs="方正仿宋_GBK"/>
          <w:color w:val="000000"/>
          <w:sz w:val="32"/>
          <w:szCs w:val="32"/>
        </w:rPr>
        <w:t>被河北省市场监管局评为“推广企业首席质量官质量变革创新典型案例”</w:t>
      </w:r>
      <w:r>
        <w:rPr>
          <w:rFonts w:ascii="仿宋" w:hAnsi="仿宋" w:eastAsia="仿宋" w:cs="方正仿宋_GBK"/>
          <w:color w:val="000000"/>
          <w:sz w:val="32"/>
          <w:szCs w:val="32"/>
        </w:rPr>
        <w:t>。</w:t>
      </w:r>
    </w:p>
    <w:p>
      <w:pPr>
        <w:overflowPunct w:val="0"/>
        <w:spacing w:line="560" w:lineRule="exact"/>
        <w:ind w:firstLine="640" w:firstLineChars="200"/>
        <w:rPr>
          <w:rFonts w:ascii="仿宋" w:hAnsi="仿宋" w:eastAsia="仿宋" w:cs="方正仿宋_GBK"/>
          <w:color w:val="000000"/>
          <w:sz w:val="32"/>
          <w:szCs w:val="32"/>
        </w:rPr>
      </w:pPr>
      <w:r>
        <w:rPr>
          <w:rFonts w:hint="eastAsia" w:ascii="仿宋" w:hAnsi="仿宋" w:eastAsia="仿宋" w:cs="方正仿宋_GBK"/>
          <w:color w:val="000000"/>
          <w:sz w:val="32"/>
          <w:szCs w:val="32"/>
        </w:rPr>
        <w:t>5</w:t>
      </w:r>
      <w:r>
        <w:rPr>
          <w:rFonts w:ascii="仿宋" w:hAnsi="仿宋" w:eastAsia="仿宋" w:cs="方正仿宋_GBK"/>
          <w:color w:val="000000"/>
          <w:sz w:val="32"/>
          <w:szCs w:val="32"/>
        </w:rPr>
        <w:t>.</w:t>
      </w:r>
      <w:r>
        <w:rPr>
          <w:rFonts w:hint="eastAsia" w:ascii="仿宋" w:hAnsi="仿宋" w:eastAsia="仿宋" w:cs="方正仿宋_GBK"/>
          <w:color w:val="000000"/>
          <w:sz w:val="32"/>
          <w:szCs w:val="32"/>
        </w:rPr>
        <w:t>蜂巢传动科技河北有限公司在2024中国·雄安高价值专利大赛暨京津冀专利转化活动中获得优秀奖。</w:t>
      </w:r>
    </w:p>
    <w:p>
      <w:pPr>
        <w:overflowPunct w:val="0"/>
        <w:spacing w:line="560" w:lineRule="exact"/>
        <w:ind w:firstLine="640" w:firstLineChars="200"/>
        <w:rPr>
          <w:rFonts w:ascii="仿宋" w:hAnsi="仿宋" w:eastAsia="仿宋" w:cs="方正仿宋_GBK"/>
          <w:sz w:val="32"/>
          <w:szCs w:val="32"/>
        </w:rPr>
      </w:pPr>
      <w:r>
        <w:rPr>
          <w:rFonts w:hint="eastAsia" w:ascii="仿宋" w:hAnsi="仿宋" w:eastAsia="仿宋" w:cs="方正仿宋_GBK"/>
          <w:color w:val="000000"/>
          <w:sz w:val="32"/>
          <w:szCs w:val="32"/>
        </w:rPr>
        <w:t>6</w:t>
      </w:r>
      <w:r>
        <w:rPr>
          <w:rFonts w:ascii="仿宋" w:hAnsi="仿宋" w:eastAsia="仿宋" w:cs="方正仿宋_GBK"/>
          <w:color w:val="000000"/>
          <w:sz w:val="32"/>
          <w:szCs w:val="32"/>
        </w:rPr>
        <w:t>.</w:t>
      </w:r>
      <w:r>
        <w:rPr>
          <w:rFonts w:hint="eastAsia" w:ascii="仿宋" w:hAnsi="仿宋" w:eastAsia="仿宋" w:cs="方正仿宋_GBK"/>
          <w:sz w:val="32"/>
          <w:szCs w:val="32"/>
        </w:rPr>
        <w:t>长城汽车股份有限公司在首届河北品牌企业认定工作中被建议认定为“河北省品牌示范企业”，</w:t>
      </w:r>
    </w:p>
    <w:p>
      <w:pPr>
        <w:overflowPunct w:val="0"/>
        <w:spacing w:line="56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7</w:t>
      </w:r>
      <w:r>
        <w:rPr>
          <w:rFonts w:ascii="仿宋" w:hAnsi="仿宋" w:eastAsia="仿宋" w:cs="方正仿宋_GBK"/>
          <w:sz w:val="32"/>
          <w:szCs w:val="32"/>
        </w:rPr>
        <w:t>.</w:t>
      </w:r>
      <w:r>
        <w:rPr>
          <w:rFonts w:hint="eastAsia" w:ascii="仿宋" w:hAnsi="仿宋" w:eastAsia="仿宋" w:cs="方正仿宋_GBK"/>
          <w:sz w:val="32"/>
          <w:szCs w:val="32"/>
        </w:rPr>
        <w:t>河北保定翼之翼儿童康复医院有限公司党支部作为河北省党建示范点观摩推进会暨社会组织党组织书记示范培训班观摩交流单位。</w:t>
      </w:r>
    </w:p>
    <w:p>
      <w:pPr>
        <w:overflowPunct w:val="0"/>
        <w:spacing w:line="560" w:lineRule="exact"/>
        <w:ind w:firstLine="643" w:firstLineChars="200"/>
        <w:rPr>
          <w:rFonts w:ascii="仿宋" w:hAnsi="仿宋" w:eastAsia="仿宋" w:cs="方正楷体_GBK"/>
          <w:b/>
          <w:bCs/>
          <w:sz w:val="32"/>
          <w:szCs w:val="32"/>
        </w:rPr>
      </w:pPr>
      <w:r>
        <w:rPr>
          <w:rFonts w:hint="eastAsia" w:ascii="仿宋" w:hAnsi="仿宋" w:eastAsia="仿宋" w:cs="方正楷体_GBK"/>
          <w:b/>
          <w:bCs/>
          <w:sz w:val="32"/>
          <w:szCs w:val="32"/>
        </w:rPr>
        <w:t>（三）受到市级肯定的工作成效</w:t>
      </w:r>
      <w:r>
        <w:rPr>
          <w:rFonts w:ascii="仿宋" w:hAnsi="仿宋" w:eastAsia="仿宋" w:cs="方正楷体_GBK"/>
          <w:b/>
          <w:bCs/>
          <w:sz w:val="32"/>
          <w:szCs w:val="32"/>
        </w:rPr>
        <w:t>有六项</w:t>
      </w:r>
    </w:p>
    <w:p>
      <w:pPr>
        <w:overflowPunct w:val="0"/>
        <w:spacing w:line="560" w:lineRule="exact"/>
        <w:ind w:firstLine="640" w:firstLineChars="200"/>
        <w:rPr>
          <w:rFonts w:ascii="仿宋" w:hAnsi="仿宋" w:eastAsia="仿宋" w:cs="方正仿宋_GBK"/>
          <w:sz w:val="32"/>
          <w:szCs w:val="32"/>
        </w:rPr>
      </w:pPr>
      <w:r>
        <w:rPr>
          <w:rFonts w:ascii="仿宋" w:hAnsi="仿宋" w:eastAsia="仿宋" w:cs="方正仿宋_GBK"/>
          <w:sz w:val="32"/>
          <w:szCs w:val="32"/>
        </w:rPr>
        <w:t>1.</w:t>
      </w:r>
      <w:r>
        <w:rPr>
          <w:rFonts w:hint="eastAsia" w:ascii="仿宋" w:hAnsi="仿宋" w:eastAsia="仿宋" w:cs="方正仿宋_GBK"/>
          <w:sz w:val="32"/>
          <w:szCs w:val="32"/>
        </w:rPr>
        <w:t>河北保定翼之翼儿童康复医院有限公司党支部</w:t>
      </w:r>
      <w:r>
        <w:rPr>
          <w:rFonts w:ascii="仿宋" w:hAnsi="仿宋" w:eastAsia="仿宋" w:cs="方正仿宋_GBK"/>
          <w:sz w:val="32"/>
          <w:szCs w:val="32"/>
        </w:rPr>
        <w:t>、</w:t>
      </w:r>
      <w:r>
        <w:rPr>
          <w:rFonts w:hint="eastAsia" w:ascii="仿宋" w:hAnsi="仿宋" w:eastAsia="仿宋" w:cs="方正仿宋_GBK"/>
          <w:color w:val="000000"/>
          <w:sz w:val="32"/>
          <w:szCs w:val="32"/>
        </w:rPr>
        <w:t>保定唤哆哆企业管理咨询有限公司党支部</w:t>
      </w:r>
      <w:r>
        <w:rPr>
          <w:rFonts w:ascii="仿宋" w:hAnsi="仿宋" w:eastAsia="仿宋" w:cs="方正仿宋_GBK"/>
          <w:color w:val="000000"/>
          <w:sz w:val="32"/>
          <w:szCs w:val="32"/>
        </w:rPr>
        <w:t>、</w:t>
      </w:r>
      <w:r>
        <w:rPr>
          <w:rFonts w:hint="eastAsia" w:ascii="仿宋" w:hAnsi="仿宋" w:eastAsia="仿宋" w:cs="方正仿宋_GBK"/>
          <w:color w:val="000000"/>
          <w:sz w:val="32"/>
          <w:szCs w:val="32"/>
        </w:rPr>
        <w:t>保定市行运汽车检测服务有限公司党支部</w:t>
      </w:r>
      <w:r>
        <w:rPr>
          <w:rFonts w:hint="eastAsia" w:ascii="仿宋" w:hAnsi="仿宋" w:eastAsia="仿宋" w:cs="方正仿宋_GBK"/>
          <w:sz w:val="32"/>
          <w:szCs w:val="32"/>
        </w:rPr>
        <w:t>被保定市市场监管局</w:t>
      </w:r>
      <w:r>
        <w:rPr>
          <w:rFonts w:ascii="仿宋" w:hAnsi="仿宋" w:eastAsia="仿宋" w:cs="方正仿宋_GBK"/>
          <w:sz w:val="32"/>
          <w:szCs w:val="32"/>
        </w:rPr>
        <w:t>命名</w:t>
      </w:r>
      <w:r>
        <w:rPr>
          <w:rFonts w:hint="eastAsia" w:ascii="仿宋" w:hAnsi="仿宋" w:eastAsia="仿宋" w:cs="方正仿宋_GBK"/>
          <w:sz w:val="32"/>
          <w:szCs w:val="32"/>
        </w:rPr>
        <w:t>为“保定市"小个专"党建示范点</w:t>
      </w:r>
    </w:p>
    <w:p>
      <w:pPr>
        <w:overflowPunct w:val="0"/>
        <w:spacing w:line="560" w:lineRule="exact"/>
        <w:ind w:firstLine="640"/>
        <w:rPr>
          <w:rFonts w:ascii="仿宋" w:hAnsi="仿宋" w:eastAsia="仿宋" w:cs="方正仿宋_GBK"/>
          <w:color w:val="000000"/>
          <w:sz w:val="32"/>
          <w:szCs w:val="32"/>
        </w:rPr>
      </w:pPr>
      <w:r>
        <w:rPr>
          <w:rFonts w:ascii="仿宋" w:hAnsi="仿宋" w:eastAsia="仿宋" w:cs="方正仿宋_GBK"/>
          <w:color w:val="000000"/>
          <w:sz w:val="32"/>
          <w:szCs w:val="32"/>
        </w:rPr>
        <w:t>2.</w:t>
      </w:r>
      <w:r>
        <w:rPr>
          <w:rFonts w:hint="eastAsia" w:ascii="仿宋" w:hAnsi="仿宋" w:eastAsia="仿宋" w:cs="方正仿宋_GBK"/>
          <w:color w:val="000000"/>
          <w:sz w:val="32"/>
          <w:szCs w:val="32"/>
        </w:rPr>
        <w:t>在</w:t>
      </w:r>
      <w:r>
        <w:rPr>
          <w:rFonts w:ascii="仿宋" w:hAnsi="仿宋" w:eastAsia="仿宋" w:cs="方正仿宋_GBK"/>
          <w:color w:val="000000"/>
          <w:sz w:val="32"/>
          <w:szCs w:val="32"/>
        </w:rPr>
        <w:t>市局组织的</w:t>
      </w:r>
      <w:r>
        <w:rPr>
          <w:rFonts w:hint="eastAsia" w:ascii="仿宋" w:hAnsi="仿宋" w:eastAsia="仿宋" w:cs="方正仿宋_GBK"/>
          <w:color w:val="000000"/>
          <w:sz w:val="32"/>
          <w:szCs w:val="32"/>
        </w:rPr>
        <w:t>“全市系统市场监管所（股队）执法标准化现场会暨执法质量提升培训会”上</w:t>
      </w:r>
      <w:r>
        <w:rPr>
          <w:rFonts w:ascii="仿宋" w:hAnsi="仿宋" w:eastAsia="仿宋" w:cs="方正仿宋_GBK"/>
          <w:color w:val="000000"/>
          <w:sz w:val="32"/>
          <w:szCs w:val="32"/>
        </w:rPr>
        <w:t>，莲池区局</w:t>
      </w:r>
      <w:r>
        <w:rPr>
          <w:rFonts w:hint="eastAsia" w:ascii="仿宋" w:hAnsi="仿宋" w:eastAsia="仿宋" w:cs="方正仿宋_GBK"/>
          <w:color w:val="000000"/>
          <w:sz w:val="32"/>
          <w:szCs w:val="32"/>
        </w:rPr>
        <w:t>作典型发言</w:t>
      </w:r>
      <w:r>
        <w:rPr>
          <w:rFonts w:ascii="仿宋" w:hAnsi="仿宋" w:eastAsia="仿宋" w:cs="方正仿宋_GBK"/>
          <w:color w:val="000000"/>
          <w:sz w:val="32"/>
          <w:szCs w:val="32"/>
        </w:rPr>
        <w:t>。</w:t>
      </w:r>
    </w:p>
    <w:p>
      <w:pPr>
        <w:overflowPunct w:val="0"/>
        <w:spacing w:line="560" w:lineRule="exact"/>
        <w:ind w:firstLine="640" w:firstLineChars="200"/>
        <w:rPr>
          <w:rFonts w:ascii="仿宋" w:hAnsi="仿宋" w:eastAsia="仿宋" w:cs="方正仿宋_GBK"/>
          <w:sz w:val="32"/>
          <w:szCs w:val="32"/>
        </w:rPr>
      </w:pPr>
      <w:r>
        <w:rPr>
          <w:rFonts w:ascii="仿宋" w:hAnsi="仿宋" w:eastAsia="仿宋" w:cs="方正仿宋_GBK"/>
          <w:sz w:val="32"/>
          <w:szCs w:val="32"/>
        </w:rPr>
        <w:t>3.</w:t>
      </w:r>
      <w:r>
        <w:rPr>
          <w:rFonts w:hint="eastAsia" w:ascii="仿宋" w:hAnsi="仿宋" w:eastAsia="仿宋" w:cs="方正仿宋_GBK"/>
          <w:color w:val="000000"/>
          <w:sz w:val="32"/>
          <w:szCs w:val="32"/>
        </w:rPr>
        <w:t>韩庄市场监管所被市局评为“</w:t>
      </w:r>
      <w:r>
        <w:rPr>
          <w:rFonts w:ascii="仿宋" w:hAnsi="仿宋" w:eastAsia="仿宋" w:cs="方正仿宋_GBK"/>
          <w:color w:val="000000"/>
          <w:sz w:val="32"/>
          <w:szCs w:val="32"/>
        </w:rPr>
        <w:t>三</w:t>
      </w:r>
      <w:r>
        <w:rPr>
          <w:rFonts w:hint="eastAsia" w:ascii="仿宋" w:hAnsi="仿宋" w:eastAsia="仿宋" w:cs="方正仿宋_GBK"/>
          <w:color w:val="000000"/>
          <w:sz w:val="32"/>
          <w:szCs w:val="32"/>
        </w:rPr>
        <w:t>星市场监督管理所”</w:t>
      </w:r>
      <w:r>
        <w:rPr>
          <w:rFonts w:ascii="仿宋" w:hAnsi="仿宋" w:eastAsia="仿宋" w:cs="方正仿宋_GBK"/>
          <w:sz w:val="32"/>
          <w:szCs w:val="32"/>
        </w:rPr>
        <w:t>。</w:t>
      </w:r>
    </w:p>
    <w:p>
      <w:pPr>
        <w:overflowPunct w:val="0"/>
        <w:spacing w:line="560" w:lineRule="exact"/>
        <w:ind w:firstLine="640" w:firstLineChars="200"/>
        <w:rPr>
          <w:rFonts w:ascii="仿宋" w:hAnsi="仿宋" w:eastAsia="仿宋" w:cs="方正仿宋_GBK"/>
          <w:sz w:val="32"/>
          <w:szCs w:val="32"/>
        </w:rPr>
      </w:pPr>
      <w:r>
        <w:rPr>
          <w:rFonts w:ascii="仿宋" w:hAnsi="仿宋" w:eastAsia="仿宋" w:cs="方正仿宋_GBK"/>
          <w:sz w:val="32"/>
          <w:szCs w:val="32"/>
        </w:rPr>
        <w:t>4.</w:t>
      </w:r>
      <w:r>
        <w:rPr>
          <w:rFonts w:hint="eastAsia" w:ascii="仿宋" w:hAnsi="仿宋" w:eastAsia="仿宋" w:cs="方正仿宋_GBK"/>
          <w:sz w:val="32"/>
          <w:szCs w:val="32"/>
        </w:rPr>
        <w:t>2024年4月23日</w:t>
      </w:r>
      <w:r>
        <w:rPr>
          <w:rFonts w:ascii="仿宋" w:hAnsi="仿宋" w:eastAsia="仿宋" w:cs="方正仿宋_GBK"/>
          <w:sz w:val="32"/>
          <w:szCs w:val="32"/>
        </w:rPr>
        <w:t>，莲池区局与市局联合主办了</w:t>
      </w:r>
      <w:r>
        <w:rPr>
          <w:rFonts w:hint="eastAsia" w:ascii="仿宋" w:hAnsi="仿宋" w:eastAsia="仿宋" w:cs="方正仿宋_GBK"/>
          <w:sz w:val="32"/>
          <w:szCs w:val="32"/>
        </w:rPr>
        <w:t>“知识产权赋能产业高质量发展研讨会”</w:t>
      </w:r>
      <w:r>
        <w:rPr>
          <w:rFonts w:ascii="仿宋" w:hAnsi="仿宋" w:eastAsia="仿宋" w:cs="方正仿宋_GBK"/>
          <w:sz w:val="32"/>
          <w:szCs w:val="32"/>
        </w:rPr>
        <w:t>。</w:t>
      </w:r>
    </w:p>
    <w:p>
      <w:pPr>
        <w:overflowPunct w:val="0"/>
        <w:spacing w:line="560" w:lineRule="exact"/>
        <w:ind w:firstLine="640" w:firstLineChars="200"/>
        <w:rPr>
          <w:rFonts w:ascii="仿宋" w:hAnsi="仿宋" w:eastAsia="仿宋" w:cs="方正仿宋_GBK"/>
          <w:sz w:val="32"/>
          <w:szCs w:val="32"/>
        </w:rPr>
      </w:pPr>
      <w:r>
        <w:rPr>
          <w:rFonts w:ascii="仿宋" w:hAnsi="仿宋" w:eastAsia="仿宋" w:cs="方正仿宋_GBK"/>
          <w:sz w:val="32"/>
          <w:szCs w:val="32"/>
        </w:rPr>
        <w:t>5.</w:t>
      </w:r>
      <w:r>
        <w:rPr>
          <w:rFonts w:hint="eastAsia" w:ascii="仿宋" w:hAnsi="仿宋" w:eastAsia="仿宋" w:cs="方正仿宋_GBK"/>
          <w:sz w:val="32"/>
          <w:szCs w:val="32"/>
        </w:rPr>
        <w:t>2024年07月01日</w:t>
      </w:r>
      <w:r>
        <w:rPr>
          <w:rFonts w:ascii="仿宋" w:hAnsi="仿宋" w:eastAsia="仿宋" w:cs="方正仿宋_GBK"/>
          <w:sz w:val="32"/>
          <w:szCs w:val="32"/>
        </w:rPr>
        <w:t>，莲池区局</w:t>
      </w:r>
      <w:r>
        <w:rPr>
          <w:rFonts w:hint="eastAsia" w:ascii="仿宋" w:hAnsi="仿宋" w:eastAsia="仿宋" w:cs="方正仿宋_GBK"/>
          <w:sz w:val="32"/>
          <w:szCs w:val="32"/>
        </w:rPr>
        <w:t>承接组织</w:t>
      </w:r>
      <w:r>
        <w:rPr>
          <w:rFonts w:ascii="仿宋" w:hAnsi="仿宋" w:eastAsia="仿宋" w:cs="方正仿宋_GBK"/>
          <w:sz w:val="32"/>
          <w:szCs w:val="32"/>
        </w:rPr>
        <w:t>了</w:t>
      </w:r>
      <w:r>
        <w:rPr>
          <w:rFonts w:hint="eastAsia" w:ascii="仿宋" w:hAnsi="仿宋" w:eastAsia="仿宋" w:cs="方正仿宋_GBK"/>
          <w:sz w:val="32"/>
          <w:szCs w:val="32"/>
        </w:rPr>
        <w:t>全市“特种设备安全日”宣传活动。</w:t>
      </w:r>
    </w:p>
    <w:p>
      <w:pPr>
        <w:overflowPunct w:val="0"/>
        <w:spacing w:line="560" w:lineRule="exact"/>
        <w:ind w:firstLine="640" w:firstLineChars="200"/>
        <w:rPr>
          <w:rFonts w:ascii="仿宋" w:hAnsi="仿宋" w:eastAsia="仿宋" w:cs="方正仿宋_GBK"/>
          <w:sz w:val="32"/>
          <w:szCs w:val="32"/>
        </w:rPr>
      </w:pPr>
      <w:r>
        <w:rPr>
          <w:rFonts w:ascii="仿宋" w:hAnsi="仿宋" w:eastAsia="仿宋" w:cs="方正仿宋_GBK"/>
          <w:sz w:val="32"/>
          <w:szCs w:val="32"/>
        </w:rPr>
        <w:t>6.</w:t>
      </w:r>
      <w:r>
        <w:rPr>
          <w:rFonts w:hint="eastAsia" w:ascii="仿宋" w:hAnsi="仿宋" w:eastAsia="仿宋" w:cs="方正仿宋_GBK"/>
          <w:sz w:val="32"/>
          <w:szCs w:val="32"/>
        </w:rPr>
        <w:t>2024年9月28日</w:t>
      </w:r>
      <w:r>
        <w:rPr>
          <w:rFonts w:ascii="仿宋" w:hAnsi="仿宋" w:eastAsia="仿宋" w:cs="方正仿宋_GBK"/>
          <w:sz w:val="32"/>
          <w:szCs w:val="32"/>
        </w:rPr>
        <w:t>，莲池区局</w:t>
      </w:r>
      <w:r>
        <w:rPr>
          <w:rFonts w:hint="eastAsia" w:ascii="仿宋" w:hAnsi="仿宋" w:eastAsia="仿宋" w:cs="方正仿宋_GBK"/>
          <w:sz w:val="32"/>
          <w:szCs w:val="32"/>
        </w:rPr>
        <w:t>承接组织</w:t>
      </w:r>
      <w:r>
        <w:rPr>
          <w:rFonts w:ascii="仿宋" w:hAnsi="仿宋" w:eastAsia="仿宋" w:cs="方正仿宋_GBK"/>
          <w:sz w:val="32"/>
          <w:szCs w:val="32"/>
        </w:rPr>
        <w:t>了</w:t>
      </w:r>
      <w:r>
        <w:rPr>
          <w:rFonts w:hint="eastAsia" w:ascii="仿宋" w:hAnsi="仿宋" w:eastAsia="仿宋" w:cs="方正仿宋_GBK"/>
          <w:sz w:val="32"/>
          <w:szCs w:val="32"/>
        </w:rPr>
        <w:t>全市“诚信尚俭、共享食安，2024年食品安全宣传周启动仪式暨农特产品展示展销活动”</w:t>
      </w:r>
      <w:r>
        <w:rPr>
          <w:rFonts w:ascii="仿宋" w:hAnsi="仿宋" w:eastAsia="仿宋" w:cs="方正仿宋_GBK"/>
          <w:sz w:val="32"/>
          <w:szCs w:val="32"/>
        </w:rPr>
        <w:t>。</w:t>
      </w:r>
    </w:p>
    <w:p>
      <w:pPr>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在今后的工作中，我们继续坚持“法治工作全局化、全局工作法治化”工作思路，不断完善市场监管体系建设，进一步加强执法队伍建设，优化法治营商环境，提升执法效能，打造高素质专业化执法队伍,以优异的成绩助力莲池区市场监管工作再</w:t>
      </w:r>
      <w:r>
        <w:rPr>
          <w:rFonts w:hint="eastAsia" w:ascii="仿宋" w:hAnsi="仿宋" w:eastAsia="仿宋" w:cs="仿宋_GB2312"/>
          <w:sz w:val="32"/>
          <w:szCs w:val="32"/>
        </w:rPr>
        <w:t>上新台阶</w:t>
      </w:r>
      <w:r>
        <w:rPr>
          <w:rFonts w:hint="eastAsia" w:ascii="仿宋" w:hAnsi="仿宋" w:eastAsia="仿宋" w:cs="仿宋"/>
          <w:sz w:val="32"/>
          <w:szCs w:val="32"/>
        </w:rPr>
        <w:t>。</w:t>
      </w:r>
    </w:p>
    <w:p>
      <w:pPr>
        <w:spacing w:line="560" w:lineRule="exact"/>
        <w:ind w:firstLine="480" w:firstLineChars="150"/>
        <w:rPr>
          <w:rFonts w:ascii="仿宋" w:hAnsi="仿宋" w:eastAsia="仿宋" w:cs="仿宋"/>
          <w:sz w:val="32"/>
          <w:szCs w:val="32"/>
        </w:rPr>
      </w:pPr>
    </w:p>
    <w:p>
      <w:pPr>
        <w:spacing w:line="560" w:lineRule="exact"/>
        <w:ind w:firstLine="480" w:firstLineChars="150"/>
        <w:rPr>
          <w:rFonts w:ascii="仿宋" w:hAnsi="仿宋" w:eastAsia="仿宋" w:cs="仿宋"/>
          <w:sz w:val="32"/>
          <w:szCs w:val="32"/>
        </w:rPr>
      </w:pPr>
    </w:p>
    <w:p>
      <w:pPr>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 xml:space="preserve">                     保定市莲池区市场监督管理局</w:t>
      </w:r>
    </w:p>
    <w:p>
      <w:pPr>
        <w:spacing w:line="560" w:lineRule="exact"/>
        <w:ind w:firstLine="480" w:firstLineChars="150"/>
        <w:rPr>
          <w:rFonts w:ascii="仿宋" w:hAnsi="仿宋" w:eastAsia="仿宋" w:cs="宋体"/>
          <w:kern w:val="0"/>
          <w:sz w:val="32"/>
          <w:szCs w:val="32"/>
        </w:rPr>
      </w:pPr>
      <w:r>
        <w:rPr>
          <w:rFonts w:hint="eastAsia" w:ascii="仿宋" w:hAnsi="仿宋" w:eastAsia="仿宋" w:cs="仿宋"/>
          <w:sz w:val="32"/>
          <w:szCs w:val="32"/>
        </w:rPr>
        <w:t xml:space="preserve">                          2025年2月10日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82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roman"/>
    <w:pitch w:val="default"/>
    <w:sig w:usb0="00000000" w:usb1="00000000" w:usb2="00000000" w:usb3="00000000" w:csb0="00000000" w:csb1="00000000"/>
  </w:font>
  <w:font w:name="方正楷体_GBK">
    <w:altName w:val="微软雅黑"/>
    <w:panose1 w:val="00000000000000000000"/>
    <w:charset w:val="86"/>
    <w:family w:val="script"/>
    <w:pitch w:val="default"/>
    <w:sig w:usb0="00000000" w:usb1="00000000" w:usb2="00082016" w:usb3="00000000" w:csb0="00040001" w:csb1="00000000"/>
  </w:font>
  <w:font w:name="方正黑体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NTYyNjg0MDAzM2RmYWIxZmZhNDBkMmY4Y2M5NmMifQ=="/>
  </w:docVars>
  <w:rsids>
    <w:rsidRoot w:val="001A1EE8"/>
    <w:rsid w:val="00004536"/>
    <w:rsid w:val="00025278"/>
    <w:rsid w:val="000266FE"/>
    <w:rsid w:val="00036814"/>
    <w:rsid w:val="0003737A"/>
    <w:rsid w:val="00050348"/>
    <w:rsid w:val="00071697"/>
    <w:rsid w:val="00071AAF"/>
    <w:rsid w:val="00071DFE"/>
    <w:rsid w:val="00072DE4"/>
    <w:rsid w:val="000801F7"/>
    <w:rsid w:val="000A1CA0"/>
    <w:rsid w:val="000A2C0F"/>
    <w:rsid w:val="000A3C04"/>
    <w:rsid w:val="000C4099"/>
    <w:rsid w:val="000D5A5B"/>
    <w:rsid w:val="000E698F"/>
    <w:rsid w:val="000F0F5D"/>
    <w:rsid w:val="000F304D"/>
    <w:rsid w:val="000F51F9"/>
    <w:rsid w:val="00106A4E"/>
    <w:rsid w:val="001331F1"/>
    <w:rsid w:val="00141CAC"/>
    <w:rsid w:val="001469A0"/>
    <w:rsid w:val="001712C2"/>
    <w:rsid w:val="00182756"/>
    <w:rsid w:val="00186A7D"/>
    <w:rsid w:val="00191094"/>
    <w:rsid w:val="00196161"/>
    <w:rsid w:val="001A1EE8"/>
    <w:rsid w:val="001A5E50"/>
    <w:rsid w:val="001A7D22"/>
    <w:rsid w:val="001B1278"/>
    <w:rsid w:val="001B44B7"/>
    <w:rsid w:val="001B57D1"/>
    <w:rsid w:val="001B6D3A"/>
    <w:rsid w:val="001D11FF"/>
    <w:rsid w:val="001E2A9B"/>
    <w:rsid w:val="001E4A29"/>
    <w:rsid w:val="001F1FB5"/>
    <w:rsid w:val="00204562"/>
    <w:rsid w:val="002045A1"/>
    <w:rsid w:val="00204F33"/>
    <w:rsid w:val="00216E96"/>
    <w:rsid w:val="0021769B"/>
    <w:rsid w:val="0021783A"/>
    <w:rsid w:val="00227A23"/>
    <w:rsid w:val="00236067"/>
    <w:rsid w:val="00241764"/>
    <w:rsid w:val="00244205"/>
    <w:rsid w:val="002446E9"/>
    <w:rsid w:val="002461DD"/>
    <w:rsid w:val="002532E6"/>
    <w:rsid w:val="002640BE"/>
    <w:rsid w:val="002704B0"/>
    <w:rsid w:val="00286FDF"/>
    <w:rsid w:val="00287E10"/>
    <w:rsid w:val="002962BE"/>
    <w:rsid w:val="002A1C2A"/>
    <w:rsid w:val="002A449F"/>
    <w:rsid w:val="002A7052"/>
    <w:rsid w:val="002B0331"/>
    <w:rsid w:val="002B4716"/>
    <w:rsid w:val="002C40B9"/>
    <w:rsid w:val="002C7745"/>
    <w:rsid w:val="002D2EDE"/>
    <w:rsid w:val="002D5E32"/>
    <w:rsid w:val="002E496B"/>
    <w:rsid w:val="002E6F5B"/>
    <w:rsid w:val="003010AF"/>
    <w:rsid w:val="003104F0"/>
    <w:rsid w:val="00326F2D"/>
    <w:rsid w:val="003319DA"/>
    <w:rsid w:val="0033274E"/>
    <w:rsid w:val="00332873"/>
    <w:rsid w:val="003334C7"/>
    <w:rsid w:val="00345DD1"/>
    <w:rsid w:val="00362DF2"/>
    <w:rsid w:val="00367A1B"/>
    <w:rsid w:val="00371040"/>
    <w:rsid w:val="00371383"/>
    <w:rsid w:val="00373DFF"/>
    <w:rsid w:val="00383F16"/>
    <w:rsid w:val="00385AED"/>
    <w:rsid w:val="0038678A"/>
    <w:rsid w:val="003912C0"/>
    <w:rsid w:val="003B344B"/>
    <w:rsid w:val="003B73CB"/>
    <w:rsid w:val="003C25A6"/>
    <w:rsid w:val="003C4F75"/>
    <w:rsid w:val="003C6DC3"/>
    <w:rsid w:val="003D7C44"/>
    <w:rsid w:val="003E11B8"/>
    <w:rsid w:val="003E2776"/>
    <w:rsid w:val="003F6F34"/>
    <w:rsid w:val="00402D6A"/>
    <w:rsid w:val="004116F0"/>
    <w:rsid w:val="00415286"/>
    <w:rsid w:val="004155EB"/>
    <w:rsid w:val="00420667"/>
    <w:rsid w:val="00434959"/>
    <w:rsid w:val="0044399E"/>
    <w:rsid w:val="00461D85"/>
    <w:rsid w:val="004672B3"/>
    <w:rsid w:val="00470351"/>
    <w:rsid w:val="00477C07"/>
    <w:rsid w:val="004800C1"/>
    <w:rsid w:val="00487B15"/>
    <w:rsid w:val="0049318D"/>
    <w:rsid w:val="00493566"/>
    <w:rsid w:val="004A12FB"/>
    <w:rsid w:val="004A4748"/>
    <w:rsid w:val="004A535B"/>
    <w:rsid w:val="004C3230"/>
    <w:rsid w:val="004C5758"/>
    <w:rsid w:val="004C5B44"/>
    <w:rsid w:val="004D0FF2"/>
    <w:rsid w:val="004D3D01"/>
    <w:rsid w:val="004E4FE5"/>
    <w:rsid w:val="004E6FC0"/>
    <w:rsid w:val="004F576D"/>
    <w:rsid w:val="0050014C"/>
    <w:rsid w:val="00504B8E"/>
    <w:rsid w:val="00517429"/>
    <w:rsid w:val="00521C25"/>
    <w:rsid w:val="0052487B"/>
    <w:rsid w:val="00527111"/>
    <w:rsid w:val="00533E45"/>
    <w:rsid w:val="00571A89"/>
    <w:rsid w:val="00572608"/>
    <w:rsid w:val="00573275"/>
    <w:rsid w:val="00575D77"/>
    <w:rsid w:val="00587972"/>
    <w:rsid w:val="0059422F"/>
    <w:rsid w:val="00594E2D"/>
    <w:rsid w:val="00596163"/>
    <w:rsid w:val="005A13ED"/>
    <w:rsid w:val="005D3A90"/>
    <w:rsid w:val="005D6B0A"/>
    <w:rsid w:val="005E035F"/>
    <w:rsid w:val="005E1CB8"/>
    <w:rsid w:val="005E2011"/>
    <w:rsid w:val="005E38F2"/>
    <w:rsid w:val="005E725B"/>
    <w:rsid w:val="00604103"/>
    <w:rsid w:val="00604D27"/>
    <w:rsid w:val="0062146E"/>
    <w:rsid w:val="00634B99"/>
    <w:rsid w:val="00646D26"/>
    <w:rsid w:val="0065026F"/>
    <w:rsid w:val="00654192"/>
    <w:rsid w:val="0066203E"/>
    <w:rsid w:val="00662B17"/>
    <w:rsid w:val="00666DBD"/>
    <w:rsid w:val="00674C69"/>
    <w:rsid w:val="006750C6"/>
    <w:rsid w:val="00680FBA"/>
    <w:rsid w:val="00684EB0"/>
    <w:rsid w:val="00686581"/>
    <w:rsid w:val="00687233"/>
    <w:rsid w:val="00696615"/>
    <w:rsid w:val="0069666C"/>
    <w:rsid w:val="006A419F"/>
    <w:rsid w:val="006B78E4"/>
    <w:rsid w:val="006C06BE"/>
    <w:rsid w:val="006C40A9"/>
    <w:rsid w:val="006C70AE"/>
    <w:rsid w:val="006D1CF5"/>
    <w:rsid w:val="006E505E"/>
    <w:rsid w:val="00711D05"/>
    <w:rsid w:val="00714197"/>
    <w:rsid w:val="00724F17"/>
    <w:rsid w:val="007262A6"/>
    <w:rsid w:val="00726FD0"/>
    <w:rsid w:val="007272EF"/>
    <w:rsid w:val="00737D62"/>
    <w:rsid w:val="00743175"/>
    <w:rsid w:val="00744E11"/>
    <w:rsid w:val="007543D4"/>
    <w:rsid w:val="00766D43"/>
    <w:rsid w:val="00770EBF"/>
    <w:rsid w:val="00784284"/>
    <w:rsid w:val="00790B76"/>
    <w:rsid w:val="00792F27"/>
    <w:rsid w:val="007A111A"/>
    <w:rsid w:val="007B2200"/>
    <w:rsid w:val="007C444D"/>
    <w:rsid w:val="007C58A3"/>
    <w:rsid w:val="007C73E0"/>
    <w:rsid w:val="007D05A8"/>
    <w:rsid w:val="007D229B"/>
    <w:rsid w:val="007E683D"/>
    <w:rsid w:val="00803077"/>
    <w:rsid w:val="00812BAA"/>
    <w:rsid w:val="008173AD"/>
    <w:rsid w:val="00830370"/>
    <w:rsid w:val="00830526"/>
    <w:rsid w:val="00850234"/>
    <w:rsid w:val="00853160"/>
    <w:rsid w:val="00857E38"/>
    <w:rsid w:val="00862AF6"/>
    <w:rsid w:val="008635E6"/>
    <w:rsid w:val="00867A04"/>
    <w:rsid w:val="00871826"/>
    <w:rsid w:val="00871DA0"/>
    <w:rsid w:val="00885C35"/>
    <w:rsid w:val="008860F4"/>
    <w:rsid w:val="00887B4E"/>
    <w:rsid w:val="00891AF0"/>
    <w:rsid w:val="00892B93"/>
    <w:rsid w:val="008A35A9"/>
    <w:rsid w:val="008B5980"/>
    <w:rsid w:val="008C4460"/>
    <w:rsid w:val="008D332B"/>
    <w:rsid w:val="008D4A0A"/>
    <w:rsid w:val="008D5387"/>
    <w:rsid w:val="008E47A2"/>
    <w:rsid w:val="008F70DB"/>
    <w:rsid w:val="00905496"/>
    <w:rsid w:val="00910040"/>
    <w:rsid w:val="009350B1"/>
    <w:rsid w:val="009420FE"/>
    <w:rsid w:val="00944551"/>
    <w:rsid w:val="00954404"/>
    <w:rsid w:val="0097532D"/>
    <w:rsid w:val="00977D1C"/>
    <w:rsid w:val="00980F76"/>
    <w:rsid w:val="0098442B"/>
    <w:rsid w:val="00984EE4"/>
    <w:rsid w:val="00990ECA"/>
    <w:rsid w:val="00991DD8"/>
    <w:rsid w:val="009927C3"/>
    <w:rsid w:val="00992AF1"/>
    <w:rsid w:val="00996EE3"/>
    <w:rsid w:val="009A31E1"/>
    <w:rsid w:val="009B47B6"/>
    <w:rsid w:val="009B725B"/>
    <w:rsid w:val="009E358C"/>
    <w:rsid w:val="009F4B40"/>
    <w:rsid w:val="009F66C6"/>
    <w:rsid w:val="00A07AD6"/>
    <w:rsid w:val="00A1484D"/>
    <w:rsid w:val="00A200DD"/>
    <w:rsid w:val="00A21157"/>
    <w:rsid w:val="00A359A1"/>
    <w:rsid w:val="00A4286A"/>
    <w:rsid w:val="00A440FD"/>
    <w:rsid w:val="00A50F8C"/>
    <w:rsid w:val="00A54261"/>
    <w:rsid w:val="00A56B2A"/>
    <w:rsid w:val="00A60245"/>
    <w:rsid w:val="00A72C5E"/>
    <w:rsid w:val="00A7555E"/>
    <w:rsid w:val="00A763AF"/>
    <w:rsid w:val="00A80BDB"/>
    <w:rsid w:val="00A80C37"/>
    <w:rsid w:val="00A821A1"/>
    <w:rsid w:val="00A84EE9"/>
    <w:rsid w:val="00A95A92"/>
    <w:rsid w:val="00AA0FCF"/>
    <w:rsid w:val="00AA1362"/>
    <w:rsid w:val="00AA19B4"/>
    <w:rsid w:val="00AC0383"/>
    <w:rsid w:val="00AC3493"/>
    <w:rsid w:val="00AD1260"/>
    <w:rsid w:val="00AE43FB"/>
    <w:rsid w:val="00AF0A89"/>
    <w:rsid w:val="00AF253E"/>
    <w:rsid w:val="00AF7DD5"/>
    <w:rsid w:val="00B07CC2"/>
    <w:rsid w:val="00B14C17"/>
    <w:rsid w:val="00B2026A"/>
    <w:rsid w:val="00B21991"/>
    <w:rsid w:val="00B2266E"/>
    <w:rsid w:val="00B27E7F"/>
    <w:rsid w:val="00B32669"/>
    <w:rsid w:val="00B400DF"/>
    <w:rsid w:val="00B43EA6"/>
    <w:rsid w:val="00B47CB9"/>
    <w:rsid w:val="00B61DB6"/>
    <w:rsid w:val="00B64B21"/>
    <w:rsid w:val="00B71FAB"/>
    <w:rsid w:val="00B7353D"/>
    <w:rsid w:val="00B752CA"/>
    <w:rsid w:val="00B76FF8"/>
    <w:rsid w:val="00B8661B"/>
    <w:rsid w:val="00B94B6D"/>
    <w:rsid w:val="00BA5261"/>
    <w:rsid w:val="00BB2C08"/>
    <w:rsid w:val="00BB328C"/>
    <w:rsid w:val="00BB51C6"/>
    <w:rsid w:val="00BC298B"/>
    <w:rsid w:val="00BC3319"/>
    <w:rsid w:val="00BC3EF1"/>
    <w:rsid w:val="00BC5F3D"/>
    <w:rsid w:val="00BD1689"/>
    <w:rsid w:val="00BE1DEE"/>
    <w:rsid w:val="00BF3578"/>
    <w:rsid w:val="00C0652E"/>
    <w:rsid w:val="00C31971"/>
    <w:rsid w:val="00C36AEB"/>
    <w:rsid w:val="00C64E5A"/>
    <w:rsid w:val="00C66A18"/>
    <w:rsid w:val="00C72D31"/>
    <w:rsid w:val="00C867A8"/>
    <w:rsid w:val="00C90110"/>
    <w:rsid w:val="00C91582"/>
    <w:rsid w:val="00C97B0A"/>
    <w:rsid w:val="00CB3AE0"/>
    <w:rsid w:val="00CD4C46"/>
    <w:rsid w:val="00CD6FD3"/>
    <w:rsid w:val="00CF37A8"/>
    <w:rsid w:val="00CF3FDE"/>
    <w:rsid w:val="00CF495D"/>
    <w:rsid w:val="00CF49F8"/>
    <w:rsid w:val="00D046F0"/>
    <w:rsid w:val="00D05832"/>
    <w:rsid w:val="00D066F2"/>
    <w:rsid w:val="00D20752"/>
    <w:rsid w:val="00D31573"/>
    <w:rsid w:val="00D3579D"/>
    <w:rsid w:val="00D36D7C"/>
    <w:rsid w:val="00D5031E"/>
    <w:rsid w:val="00D543B2"/>
    <w:rsid w:val="00D550A1"/>
    <w:rsid w:val="00D561ED"/>
    <w:rsid w:val="00D60D49"/>
    <w:rsid w:val="00D62FD0"/>
    <w:rsid w:val="00D64FCF"/>
    <w:rsid w:val="00D7135C"/>
    <w:rsid w:val="00D734C7"/>
    <w:rsid w:val="00D92AA8"/>
    <w:rsid w:val="00D9745A"/>
    <w:rsid w:val="00DB3B2B"/>
    <w:rsid w:val="00DB72DD"/>
    <w:rsid w:val="00DD0200"/>
    <w:rsid w:val="00DD1714"/>
    <w:rsid w:val="00DD5198"/>
    <w:rsid w:val="00DD758E"/>
    <w:rsid w:val="00DE4DBA"/>
    <w:rsid w:val="00DF3BF7"/>
    <w:rsid w:val="00E001E7"/>
    <w:rsid w:val="00E006E0"/>
    <w:rsid w:val="00E07346"/>
    <w:rsid w:val="00E07B00"/>
    <w:rsid w:val="00E07B38"/>
    <w:rsid w:val="00E07FB2"/>
    <w:rsid w:val="00E232EF"/>
    <w:rsid w:val="00E238D9"/>
    <w:rsid w:val="00E2517A"/>
    <w:rsid w:val="00E30F2D"/>
    <w:rsid w:val="00E32827"/>
    <w:rsid w:val="00E43884"/>
    <w:rsid w:val="00E51900"/>
    <w:rsid w:val="00E55015"/>
    <w:rsid w:val="00E56321"/>
    <w:rsid w:val="00E63332"/>
    <w:rsid w:val="00E715BD"/>
    <w:rsid w:val="00E74D08"/>
    <w:rsid w:val="00E80154"/>
    <w:rsid w:val="00E82114"/>
    <w:rsid w:val="00E827DC"/>
    <w:rsid w:val="00E86958"/>
    <w:rsid w:val="00E97230"/>
    <w:rsid w:val="00EA3730"/>
    <w:rsid w:val="00EA3FC7"/>
    <w:rsid w:val="00EA6282"/>
    <w:rsid w:val="00EB13AE"/>
    <w:rsid w:val="00EB1EC3"/>
    <w:rsid w:val="00EB5D8E"/>
    <w:rsid w:val="00EC0060"/>
    <w:rsid w:val="00ED32B4"/>
    <w:rsid w:val="00ED7991"/>
    <w:rsid w:val="00EE0851"/>
    <w:rsid w:val="00EF2939"/>
    <w:rsid w:val="00EF55FA"/>
    <w:rsid w:val="00EF751F"/>
    <w:rsid w:val="00F006B3"/>
    <w:rsid w:val="00F04922"/>
    <w:rsid w:val="00F202E8"/>
    <w:rsid w:val="00F44CE2"/>
    <w:rsid w:val="00F52D4D"/>
    <w:rsid w:val="00F607A9"/>
    <w:rsid w:val="00F60E4D"/>
    <w:rsid w:val="00F70119"/>
    <w:rsid w:val="00F703E1"/>
    <w:rsid w:val="00F71428"/>
    <w:rsid w:val="00F7279E"/>
    <w:rsid w:val="00F839A9"/>
    <w:rsid w:val="00F90145"/>
    <w:rsid w:val="00FC1336"/>
    <w:rsid w:val="00FC4BA9"/>
    <w:rsid w:val="00FD101D"/>
    <w:rsid w:val="00FE02C1"/>
    <w:rsid w:val="00FF1A97"/>
    <w:rsid w:val="00FF289C"/>
    <w:rsid w:val="3D167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8"/>
    <w:qFormat/>
    <w:uiPriority w:val="99"/>
    <w:pPr>
      <w:spacing w:after="120"/>
    </w:pPr>
    <w:rPr>
      <w:rFonts w:ascii="Calibri" w:hAnsi="Calibri" w:eastAsia="宋体" w:cs="Times New Roman"/>
      <w:szCs w:val="24"/>
    </w:rPr>
  </w:style>
  <w:style w:type="paragraph" w:styleId="3">
    <w:name w:val="Subtitle"/>
    <w:basedOn w:val="1"/>
    <w:next w:val="1"/>
    <w:link w:val="1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4">
    <w:name w:val="Body Text Indent"/>
    <w:basedOn w:val="1"/>
    <w:link w:val="22"/>
    <w:semiHidden/>
    <w:unhideWhenUsed/>
    <w:uiPriority w:val="99"/>
    <w:pPr>
      <w:spacing w:after="120"/>
      <w:ind w:left="420" w:leftChars="200"/>
    </w:pPr>
  </w:style>
  <w:style w:type="paragraph" w:styleId="5">
    <w:name w:val="Date"/>
    <w:basedOn w:val="1"/>
    <w:next w:val="1"/>
    <w:link w:val="17"/>
    <w:semiHidden/>
    <w:unhideWhenUsed/>
    <w:uiPriority w:val="99"/>
    <w:pPr>
      <w:ind w:left="100" w:leftChars="2500"/>
    </w:pPr>
  </w:style>
  <w:style w:type="paragraph" w:styleId="6">
    <w:name w:val="Balloon Text"/>
    <w:basedOn w:val="1"/>
    <w:link w:val="21"/>
    <w:semiHidden/>
    <w:unhideWhenUsed/>
    <w:uiPriority w:val="99"/>
    <w:rPr>
      <w:sz w:val="18"/>
      <w:szCs w:val="18"/>
    </w:rPr>
  </w:style>
  <w:style w:type="paragraph" w:styleId="7">
    <w:name w:val="footer"/>
    <w:basedOn w:val="1"/>
    <w:link w:val="16"/>
    <w:unhideWhenUsed/>
    <w:uiPriority w:val="99"/>
    <w:pPr>
      <w:tabs>
        <w:tab w:val="center" w:pos="4153"/>
        <w:tab w:val="right" w:pos="8306"/>
      </w:tabs>
      <w:snapToGrid w:val="0"/>
      <w:jc w:val="left"/>
    </w:pPr>
    <w:rPr>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0"/>
    <w:pPr>
      <w:ind w:left="420" w:leftChars="200"/>
    </w:pPr>
    <w:rPr>
      <w:rFonts w:ascii="Calibri" w:hAnsi="Calibri"/>
      <w:szCs w:val="24"/>
    </w:rPr>
  </w:style>
  <w:style w:type="paragraph" w:styleId="10">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4"/>
    <w:link w:val="23"/>
    <w:unhideWhenUsed/>
    <w:uiPriority w:val="99"/>
    <w:pPr>
      <w:ind w:firstLine="420" w:firstLineChars="200"/>
    </w:pPr>
  </w:style>
  <w:style w:type="paragraph" w:styleId="14">
    <w:name w:val="List Paragraph"/>
    <w:basedOn w:val="1"/>
    <w:qFormat/>
    <w:uiPriority w:val="34"/>
    <w:pPr>
      <w:ind w:firstLine="420" w:firstLineChars="200"/>
    </w:pPr>
  </w:style>
  <w:style w:type="character" w:customStyle="1" w:styleId="15">
    <w:name w:val="页眉 Char"/>
    <w:basedOn w:val="13"/>
    <w:link w:val="8"/>
    <w:uiPriority w:val="99"/>
    <w:rPr>
      <w:sz w:val="18"/>
      <w:szCs w:val="18"/>
    </w:rPr>
  </w:style>
  <w:style w:type="character" w:customStyle="1" w:styleId="16">
    <w:name w:val="页脚 Char"/>
    <w:basedOn w:val="13"/>
    <w:link w:val="7"/>
    <w:uiPriority w:val="99"/>
    <w:rPr>
      <w:sz w:val="18"/>
      <w:szCs w:val="18"/>
    </w:rPr>
  </w:style>
  <w:style w:type="character" w:customStyle="1" w:styleId="17">
    <w:name w:val="日期 Char"/>
    <w:basedOn w:val="13"/>
    <w:link w:val="5"/>
    <w:semiHidden/>
    <w:uiPriority w:val="99"/>
  </w:style>
  <w:style w:type="character" w:customStyle="1" w:styleId="18">
    <w:name w:val="正文文本 Char"/>
    <w:basedOn w:val="13"/>
    <w:link w:val="2"/>
    <w:uiPriority w:val="99"/>
    <w:rPr>
      <w:rFonts w:ascii="Calibri" w:hAnsi="Calibri" w:eastAsia="宋体" w:cs="Times New Roman"/>
      <w:szCs w:val="24"/>
    </w:rPr>
  </w:style>
  <w:style w:type="character" w:customStyle="1" w:styleId="19">
    <w:name w:val="副标题 Char"/>
    <w:basedOn w:val="13"/>
    <w:link w:val="3"/>
    <w:uiPriority w:val="11"/>
    <w:rPr>
      <w:rFonts w:eastAsia="宋体" w:asciiTheme="majorHAnsi" w:hAnsiTheme="majorHAnsi" w:cstheme="majorBidi"/>
      <w:b/>
      <w:bCs/>
      <w:kern w:val="28"/>
      <w:sz w:val="32"/>
      <w:szCs w:val="32"/>
    </w:rPr>
  </w:style>
  <w:style w:type="character" w:customStyle="1" w:styleId="20">
    <w:name w:val="NormalCharacter"/>
    <w:qFormat/>
    <w:uiPriority w:val="0"/>
  </w:style>
  <w:style w:type="character" w:customStyle="1" w:styleId="21">
    <w:name w:val="批注框文本 Char"/>
    <w:basedOn w:val="13"/>
    <w:link w:val="6"/>
    <w:semiHidden/>
    <w:uiPriority w:val="99"/>
    <w:rPr>
      <w:sz w:val="18"/>
      <w:szCs w:val="18"/>
    </w:rPr>
  </w:style>
  <w:style w:type="character" w:customStyle="1" w:styleId="22">
    <w:name w:val="正文文本缩进 Char"/>
    <w:basedOn w:val="13"/>
    <w:link w:val="4"/>
    <w:semiHidden/>
    <w:uiPriority w:val="99"/>
  </w:style>
  <w:style w:type="character" w:customStyle="1" w:styleId="23">
    <w:name w:val="正文首行缩进 2 Char"/>
    <w:basedOn w:val="22"/>
    <w:link w:val="11"/>
    <w:uiPriority w:val="99"/>
  </w:style>
  <w:style w:type="paragraph" w:customStyle="1" w:styleId="24">
    <w:name w:val="Plain Text_c71713fd-25cf-44fa-9a44-5ece08887186"/>
    <w:basedOn w:val="1"/>
    <w:qFormat/>
    <w:uiPriority w:val="0"/>
    <w:rPr>
      <w:rFonts w:ascii="宋体" w:hAnsi="Courier New" w:eastAsia="宋体" w:cs="Courier New"/>
      <w:szCs w:val="21"/>
    </w:rPr>
  </w:style>
  <w:style w:type="paragraph" w:customStyle="1" w:styleId="25">
    <w:name w:val="正文2"/>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E0B9B-733F-4B18-91E9-084EDD2F8312}">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12</Pages>
  <Words>957</Words>
  <Characters>5461</Characters>
  <Lines>45</Lines>
  <Paragraphs>12</Paragraphs>
  <TotalTime>8</TotalTime>
  <ScaleCrop>false</ScaleCrop>
  <LinksUpToDate>false</LinksUpToDate>
  <CharactersWithSpaces>6406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2025-02-28T07:56:00Z</dcterms:created>
  <dc:creator>Administrator</dc:creator>
  <cp:lastModifiedBy>火</cp:lastModifiedBy>
  <cp:lastPrinted>2025-02-28T06:10:00Z</cp:lastPrinted>
  <dcterms:modified xsi:type="dcterms:W3CDTF">2025-05-30T09:12:11Z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73B727D43D1E43D794AF3FA8CF4E8859_12</vt:lpwstr>
  </property>
</Properties>
</file>