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ind w:firstLineChars="100" w:firstLine="440"/>
        <w:rPr>
          <w:rFonts w:ascii="黑体" w:eastAsia="黑体" w:cs="黑体" w:hAnsi="黑体" w:hint="eastAsia"/>
          <w:sz w:val="44"/>
          <w:szCs w:val="44"/>
          <w:lang w:val="en-US" w:eastAsia="zh-CN"/>
        </w:rPr>
      </w:pPr>
      <w:r>
        <w:rPr>
          <w:rFonts w:ascii="黑体" w:eastAsia="黑体" w:cs="黑体" w:hAnsi="黑体" w:hint="eastAsia"/>
          <w:sz w:val="44"/>
          <w:szCs w:val="44"/>
          <w:lang w:val="en-US" w:eastAsia="zh-CN"/>
        </w:rPr>
        <w:t>保定市莲池区住房和城乡建设局</w:t>
      </w:r>
    </w:p>
    <w:p>
      <w:pPr>
        <w:pStyle w:val="15"/>
        <w:ind w:firstLineChars="100" w:firstLine="440"/>
        <w:rPr>
          <w:rFonts w:ascii="黑体" w:eastAsia="黑体" w:cs="黑体" w:hAnsi="黑体" w:hint="eastAsia"/>
          <w:sz w:val="44"/>
          <w:szCs w:val="44"/>
          <w:lang w:val="en-US" w:eastAsia="zh-CN"/>
        </w:rPr>
      </w:pPr>
      <w:r>
        <w:rPr>
          <w:rFonts w:ascii="黑体" w:eastAsia="黑体" w:cs="黑体" w:hAnsi="黑体" w:hint="eastAsia"/>
          <w:sz w:val="44"/>
          <w:szCs w:val="44"/>
          <w:lang w:val="en-US" w:eastAsia="zh-CN"/>
        </w:rPr>
        <w:t>法治政府建设2024年度工作总结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eastAsia="zh-CN"/>
        </w:rPr>
        <w:t>按照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区委全面依法治区委员会2024年工作要点总体要求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，在区委、区政府的领导下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,我局认真贯彻落实党中央关于全面依法治国的决策部署和市委、区委工作要求，深入学习贯彻党的二十大精神和习近平法治思想，多措并举推进住建系统法治建设，提升法治化水平，为莲池区住房建设事业提供法治保障。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cs="仿宋" w:hAnsi="仿宋" w:hint="eastAsia"/>
          <w:b/>
          <w:bCs/>
          <w:color w:val="000000"/>
          <w:sz w:val="32"/>
          <w:szCs w:val="32"/>
        </w:rPr>
        <w:t>加强组织领导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  <w:lang w:eastAsia="zh-CN"/>
        </w:rPr>
        <w:t>，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</w:rPr>
        <w:t>健全体制机制</w:t>
      </w:r>
    </w:p>
    <w:p>
      <w:pPr>
        <w:ind w:left="0" w:firstLineChars="200" w:firstLine="640"/>
        <w:rPr>
          <w:rFonts w:ascii="仿宋" w:eastAsia="仿宋" w:cs="仿宋" w:hAnsi="仿宋" w:hint="eastAsia"/>
          <w:color w:val="000000"/>
          <w:sz w:val="32"/>
          <w:szCs w:val="32"/>
        </w:rPr>
      </w:pPr>
      <w:r>
        <w:rPr>
          <w:rFonts w:ascii="仿宋" w:eastAsia="仿宋" w:cs="仿宋" w:hAnsi="仿宋" w:hint="eastAsia"/>
          <w:color w:val="000000"/>
          <w:sz w:val="32"/>
          <w:szCs w:val="32"/>
          <w:lang w:eastAsia="zh-CN"/>
        </w:rPr>
        <w:t>党组书记切实履行第一责任人职责，统筹法治建设工作。</w:t>
      </w:r>
      <w:r>
        <w:rPr>
          <w:rFonts w:ascii="仿宋" w:eastAsia="仿宋" w:cs="仿宋" w:hAnsi="仿宋" w:hint="eastAsia"/>
          <w:color w:val="000000"/>
          <w:sz w:val="32"/>
          <w:szCs w:val="32"/>
        </w:rPr>
        <w:t>制定了全年的普法工作计划，</w:t>
      </w:r>
      <w:r>
        <w:rPr>
          <w:rFonts w:ascii="仿宋" w:eastAsia="仿宋" w:cs="仿宋" w:hAnsi="仿宋" w:hint="eastAsia"/>
          <w:color w:val="000000"/>
          <w:sz w:val="32"/>
          <w:szCs w:val="32"/>
          <w:lang w:eastAsia="zh-CN"/>
        </w:rPr>
        <w:t>明确成员分工与责任，将法治建设履职情况纳入年终述职，对照区法治政府建设工作要点，结合住建实际细化措施，</w:t>
      </w:r>
      <w:r>
        <w:rPr>
          <w:rFonts w:ascii="仿宋" w:eastAsia="仿宋" w:cs="仿宋" w:hAnsi="仿宋" w:hint="eastAsia"/>
          <w:color w:val="000000"/>
          <w:sz w:val="32"/>
          <w:szCs w:val="32"/>
        </w:rPr>
        <w:t>为我局普法工作</w:t>
      </w:r>
      <w:r>
        <w:rPr>
          <w:rFonts w:ascii="仿宋" w:eastAsia="仿宋" w:cs="仿宋" w:hAnsi="仿宋" w:hint="eastAsia"/>
          <w:color w:val="000000"/>
          <w:sz w:val="32"/>
          <w:szCs w:val="32"/>
          <w:lang w:val="en-US" w:eastAsia="zh-CN"/>
        </w:rPr>
        <w:t>和依法执政</w:t>
      </w:r>
      <w:r>
        <w:rPr>
          <w:rFonts w:ascii="仿宋" w:eastAsia="仿宋" w:cs="仿宋" w:hAnsi="仿宋" w:hint="eastAsia"/>
          <w:color w:val="000000"/>
          <w:sz w:val="32"/>
          <w:szCs w:val="32"/>
        </w:rPr>
        <w:t>的顺利开展提供了保障。</w:t>
      </w:r>
    </w:p>
    <w:p>
      <w:pPr>
        <w:ind w:leftChars="200" w:left="420" w:firstLineChars="100" w:firstLine="320"/>
        <w:rPr>
          <w:rFonts w:ascii="仿宋" w:eastAsia="仿宋" w:cs="仿宋" w:hAnsi="仿宋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  <w:lang w:eastAsia="zh-CN"/>
        </w:rPr>
        <w:t>大力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</w:rPr>
        <w:t>宣传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  <w:lang w:eastAsia="zh-CN"/>
        </w:rPr>
        <w:t>学习，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</w:rPr>
        <w:t>增强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  <w:lang w:eastAsia="zh-CN"/>
        </w:rPr>
        <w:t>法治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</w:rPr>
        <w:t>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2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b w:val="0"/>
          <w:bCs w:val="0"/>
          <w:color w:val="000000"/>
          <w:sz w:val="32"/>
          <w:szCs w:val="32"/>
          <w:lang w:val="en-US" w:eastAsia="zh-CN"/>
        </w:rPr>
        <w:t>深入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参与全区“八五”普法、“12.4”国家宪法日集中宣传活动，采取多种形式广泛宣传房地产预售、物业服务等规章条例，不断提高群众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法治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意识。</w:t>
      </w:r>
    </w:p>
    <w:p>
      <w:pPr>
        <w:keepNext w:val="0"/>
        <w:keepLines w:val="0"/>
        <w:widowControl/>
        <w:suppressLineNumbers w:val="0"/>
        <w:ind w:firstLineChars="200" w:firstLine="640"/>
        <w:jc w:val="left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按要求连续10天组织全体工作人员学习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有关法律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。充分发挥了法治宣传教育的服务引导作用，不断增强全民国家安全意识和素养，营造共同维护国家安全的浓厚氛围。</w:t>
      </w:r>
    </w:p>
    <w:p>
      <w:pPr>
        <w:keepNext w:val="0"/>
        <w:keepLines w:val="0"/>
        <w:widowControl/>
        <w:suppressLineNumbers w:val="0"/>
        <w:ind w:firstLineChars="200" w:firstLine="640"/>
        <w:jc w:val="left"/>
        <w:rPr>
          <w:rFonts w:ascii="仿宋" w:eastAsia="仿宋" w:cs="仿宋" w:hAnsi="仿宋" w:hint="eastAsia"/>
          <w:color w:val="000000"/>
          <w:sz w:val="32"/>
          <w:szCs w:val="32"/>
        </w:rPr>
      </w:pPr>
    </w:p>
    <w:p>
      <w:pPr>
        <w:ind w:leftChars="200" w:left="420" w:firstLineChars="100" w:firstLine="320"/>
        <w:rPr>
          <w:rFonts w:ascii="仿宋" w:eastAsia="仿宋" w:cs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cs="仿宋" w:hAnsi="仿宋" w:hint="eastAsia"/>
          <w:b/>
          <w:bCs/>
          <w:color w:val="000000"/>
          <w:sz w:val="32"/>
          <w:szCs w:val="32"/>
          <w:lang w:eastAsia="zh-CN"/>
        </w:rPr>
        <w:t>三、借助专业力量，强化法律顾问制度实施</w:t>
      </w:r>
    </w:p>
    <w:p>
      <w:pPr>
        <w:tabs>
          <w:tab w:val="left" w:pos="5428"/>
        </w:tabs>
        <w:bidi w:val="0"/>
        <w:ind w:left="0" w:firstLineChars="200" w:firstLine="640"/>
        <w:jc w:val="left"/>
        <w:rPr>
          <w:rFonts w:ascii="仿宋" w:eastAsia="仿宋" w:cs="仿宋" w:hAnsi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聘用专业律师为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法律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审核参与人员，配合在重大决策咨询、规范性文件审核、行政复议、行政诉讼等多方面提供专业的法律咨询意见和建议，从源头上减少后续行政纠纷的发生和行政败诉风险。多次</w:t>
      </w:r>
      <w:r>
        <w:rPr>
          <w:rFonts w:ascii="仿宋" w:eastAsia="仿宋" w:cs="仿宋" w:hAnsi="仿宋" w:hint="eastAsia"/>
          <w:color w:val="000000"/>
          <w:sz w:val="32"/>
          <w:szCs w:val="32"/>
          <w:lang w:val="en-US" w:eastAsia="zh-CN"/>
        </w:rPr>
        <w:t>组织律师对我局工作人员进行《政务信息公开》、《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公平竞争审查条例》等法律法规</w:t>
      </w:r>
      <w:r>
        <w:rPr>
          <w:rFonts w:ascii="仿宋" w:eastAsia="仿宋" w:cs="仿宋" w:hAnsi="仿宋" w:hint="eastAsia"/>
          <w:color w:val="000000"/>
          <w:sz w:val="32"/>
          <w:szCs w:val="32"/>
          <w:lang w:val="en-US" w:eastAsia="zh-CN"/>
        </w:rPr>
        <w:t>培训，提高政务公开服务水平</w:t>
      </w:r>
      <w:r>
        <w:rPr>
          <w:rFonts w:ascii="仿宋" w:eastAsia="仿宋" w:cs="仿宋" w:hAnsi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。</w:t>
      </w:r>
    </w:p>
    <w:p>
      <w:pPr>
        <w:pStyle w:val="16"/>
        <w:ind w:left="0" w:firstLineChars="200" w:firstLine="640"/>
        <w:rPr>
          <w:rFonts w:ascii="仿宋" w:eastAsia="仿宋" w:cs="仿宋" w:hAnsi="仿宋" w:hint="eastAsia"/>
          <w:b/>
          <w:bCs/>
          <w:sz w:val="32"/>
          <w:szCs w:val="32"/>
        </w:rPr>
      </w:pPr>
      <w:r>
        <w:rPr>
          <w:rFonts w:ascii="仿宋" w:eastAsia="仿宋" w:cs="仿宋" w:hAnsi="仿宋" w:hint="eastAsia"/>
          <w:b/>
          <w:bCs/>
          <w:sz w:val="32"/>
          <w:szCs w:val="32"/>
          <w:lang w:eastAsia="zh-CN"/>
        </w:rPr>
        <w:t>四、</w:t>
      </w:r>
      <w:r>
        <w:rPr>
          <w:rFonts w:ascii="仿宋" w:eastAsia="仿宋" w:cs="仿宋" w:hAnsi="仿宋" w:hint="eastAsia"/>
          <w:b/>
          <w:bCs/>
          <w:sz w:val="32"/>
          <w:szCs w:val="32"/>
        </w:rPr>
        <w:t>强化生态环境法治，依法保护生态环境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持续开展“碧水、蓝天、净土”保卫战，我局负责建筑工地扬尘治理，</w:t>
      </w:r>
      <w:r>
        <w:rPr>
          <w:rFonts w:ascii="仿宋" w:eastAsia="仿宋" w:cs="仿宋" w:hAnsi="仿宋" w:hint="eastAsia"/>
          <w:color w:val="000000"/>
          <w:sz w:val="32"/>
          <w:szCs w:val="32"/>
        </w:rPr>
        <w:t>贯彻落实《大气污染防治法》，多次组织房屋建筑施工企业召开扬尘治理调度部署会，</w:t>
      </w:r>
      <w:r>
        <w:rPr>
          <w:rFonts w:ascii="仿宋" w:eastAsia="仿宋" w:cs="仿宋" w:hAnsi="仿宋" w:hint="eastAsia"/>
          <w:sz w:val="32"/>
          <w:szCs w:val="32"/>
        </w:rPr>
        <w:t>加强环保联合执法，严厉查处破坏生态环境行为。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color w:val="000000"/>
          <w:sz w:val="32"/>
          <w:szCs w:val="32"/>
        </w:rPr>
        <w:t>严格落实“六个百分百和两个全覆盖”及保定市最新印发的《保定市中心城区扬尘污染管控操作守</w:t>
      </w:r>
      <w:r>
        <w:rPr>
          <w:rFonts w:ascii="仿宋" w:eastAsia="仿宋" w:cs="仿宋" w:hAnsi="仿宋"/>
          <w:color w:val="000000"/>
          <w:sz w:val="32"/>
          <w:szCs w:val="32"/>
        </w:rPr>
        <w:t>》</w:t>
      </w:r>
      <w:r>
        <w:rPr>
          <w:rFonts w:ascii="仿宋" w:eastAsia="仿宋" w:cs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cs="仿宋" w:hAnsi="仿宋" w:hint="eastAsia"/>
          <w:sz w:val="32"/>
          <w:szCs w:val="32"/>
        </w:rPr>
        <w:t xml:space="preserve">持续采取日巡夜查，五加二的工作模式，对发现的扬尘问题现场督促整改。 </w:t>
      </w:r>
    </w:p>
    <w:p>
      <w:pPr>
        <w:ind w:firstLineChars="200" w:firstLine="640"/>
        <w:rPr>
          <w:rFonts w:ascii="仿宋" w:eastAsia="仿宋" w:cs="仿宋" w:hAnsi="仿宋" w:hint="eastAsia"/>
          <w:b/>
          <w:bCs/>
          <w:sz w:val="32"/>
          <w:szCs w:val="32"/>
        </w:rPr>
      </w:pPr>
      <w:r>
        <w:rPr>
          <w:rFonts w:ascii="仿宋" w:eastAsia="仿宋" w:cs="仿宋" w:hAnsi="仿宋" w:hint="eastAsia"/>
          <w:b/>
          <w:bCs/>
          <w:sz w:val="32"/>
          <w:szCs w:val="32"/>
          <w:lang w:eastAsia="zh-CN"/>
        </w:rPr>
        <w:t>五</w:t>
      </w:r>
      <w:r>
        <w:rPr>
          <w:rFonts w:ascii="仿宋" w:eastAsia="仿宋" w:cs="仿宋" w:hAnsi="仿宋" w:hint="eastAsia"/>
          <w:b/>
          <w:bCs/>
          <w:sz w:val="32"/>
          <w:szCs w:val="32"/>
        </w:rPr>
        <w:t>、优化法治营商环境，更好发挥政府作用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深入推进“放管服”改革，执行“双随机 一公开”，加快转变政府职能，提高政务服务效能。全面提升政务服务水平，完善首问负责、一次告知、一窗受理等制度。</w:t>
      </w:r>
    </w:p>
    <w:p>
      <w:pPr>
        <w:ind w:firstLineChars="200" w:firstLine="640"/>
        <w:rPr>
          <w:rFonts w:ascii="仿宋" w:eastAsia="仿宋" w:cs="仿宋" w:hAnsi="仿宋" w:hint="eastAsia"/>
          <w:color w:val="000000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严格落实《河北省优化营商环境条例》，各科室制作业务办理流程及明白纸，能当下办理的绝不拖延，对资料不齐全的实行一次告知，让企业和群众少跑路，数据多走路，提高满意度，营造良好的营商环境氛围。</w:t>
      </w:r>
    </w:p>
    <w:p>
      <w:pPr>
        <w:ind w:left="0" w:firstLineChars="200" w:firstLine="640"/>
        <w:jc w:val="both"/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b/>
          <w:bCs/>
          <w:kern w:val="2"/>
          <w:sz w:val="32"/>
          <w:szCs w:val="32"/>
          <w:lang w:val="en-US" w:eastAsia="zh-CN" w:bidi="ar-SA"/>
        </w:rPr>
        <w:t>六、</w:t>
      </w:r>
      <w:r>
        <w:rPr>
          <w:rFonts w:ascii="仿宋" w:eastAsia="仿宋" w:cs="仿宋" w:hAnsi="仿宋" w:hint="eastAsia"/>
          <w:b/>
          <w:bCs/>
          <w:color w:val="000000"/>
          <w:sz w:val="32"/>
          <w:szCs w:val="32"/>
          <w:lang w:val="en-US" w:eastAsia="zh-CN"/>
        </w:rPr>
        <w:t>下一步工作计划</w:t>
      </w:r>
    </w:p>
    <w:p>
      <w:pPr>
        <w:ind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我局将继续以习近平法治思想为指导，全面贯彻依法治区，重点做好以下几项工作：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1、加强法治宣传和培训，提升干部职工法律素养，增强依法行政能力。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2、围绕法治建设核心目标，着力构建完善的行政执法体系，规范市场秩序。</w:t>
      </w:r>
    </w:p>
    <w:p>
      <w:pPr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5"/>
        <w:rPr>
          <w:rFonts w:ascii="仿宋" w:eastAsia="仿宋" w:cs="仿宋" w:hAnsi="仿宋" w:hint="eastAsia"/>
          <w:sz w:val="32"/>
          <w:szCs w:val="32"/>
          <w:lang w:val="en-US" w:eastAsia="zh-CN"/>
        </w:rPr>
      </w:pPr>
    </w:p>
    <w:p>
      <w:pPr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                           2025年2月6日</w:t>
      </w:r>
    </w:p>
    <w:p>
      <w:pPr>
        <w:rPr>
          <w:rFonts w:ascii="仿宋" w:eastAsia="仿宋" w:cs="仿宋" w:hAnsi="仿宋" w:hint="eastAsia"/>
          <w:sz w:val="32"/>
          <w:szCs w:val="32"/>
        </w:rPr>
      </w:pPr>
    </w:p>
    <w:p>
      <w:pPr>
        <w:rPr>
          <w:rFonts w:ascii="仿宋" w:eastAsia="仿宋" w:cs="仿宋" w:hAnsi="仿宋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华文细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宋体">
    <w:altName w:val="华文宋体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45E4851"/>
    <w:multiLevelType w:val="singleLevel"/>
    <w:tmpl w:val="345E4851"/>
    <w:lvl w:ilvl="0">
      <w:start w:val="1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2"/>
    <w:basedOn w:val="0"/>
    <w:next w:val="0"/>
    <w:pPr>
      <w:ind w:leftChars="200" w:left="200"/>
    </w:pPr>
  </w:style>
  <w:style w:type="paragraph" w:styleId="16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C4A2439-965F-4EFA-90FE-8484119D5B7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23</TotalTime>
  <Application>Yozo_Office27021597764231179</Application>
  <Pages>3</Pages>
  <Words>0</Words>
  <Characters>867</Characters>
  <Lines>0</Lines>
  <Paragraphs>26</Paragraphs>
  <CharactersWithSpaces>1157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QHTF</cp:lastModifiedBy>
  <cp:revision>1</cp:revision>
  <dcterms:created xsi:type="dcterms:W3CDTF">2024-12-03T03:27:00Z</dcterms:created>
  <dcterms:modified xsi:type="dcterms:W3CDTF">2025-02-28T09:20:02Z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0A4E72B21D4E41C1A8DF58FB635D1424_11</vt:lpwstr>
  </property>
  <property fmtid="{D5CDD505-2E9C-101B-9397-08002B2CF9AE}" pid="4" name="KSOTemplateDocerSaveRecord">
    <vt:lpwstr>eyJoZGlkIjoiYzRkY2U1NGNhZmQyNTg4NjhhZjkyNjhiMDEwYmQ1ZjQifQ==</vt:lpwstr>
  </property>
</Properties>
</file>