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eastAsia="黑体" w:cs="黑体"/>
          <w:b/>
          <w:color w:val="000000"/>
          <w:sz w:val="44"/>
        </w:rPr>
        <w:t>2024年部门预算信息公开目录</w:t>
      </w:r>
    </w:p>
    <w:p>
      <w:pPr>
        <w:jc w:val="center"/>
      </w:pPr>
    </w:p>
    <w:p>
      <w:pPr>
        <w:jc w:val="center"/>
      </w:pPr>
      <w:r>
        <w:rPr>
          <w:rFonts w:ascii="黑体" w:eastAsia="黑体" w:cs="黑体"/>
          <w:b/>
          <w:color w:val="000000"/>
          <w:sz w:val="30"/>
        </w:rPr>
        <w:t>第一部分  部门预算</w:t>
      </w:r>
    </w:p>
    <w:p>
      <w:r>
        <w:rPr>
          <w:rFonts w:ascii="方正楷体_GBK" w:eastAsia="方正楷体_GBK" w:cs="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eastAsia="方正楷体_GBK" w:cs="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pPr>
        <w:pStyle w:val="3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pPr>
        <w:pStyle w:val="3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pPr>
        <w:pStyle w:val="3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r>
        <w:fldChar w:fldCharType="end"/>
      </w:r>
    </w:p>
    <w:p>
      <w:pPr>
        <w:jc w:val="center"/>
      </w:pPr>
      <w:r>
        <w:rPr>
          <w:rFonts w:ascii="黑体" w:eastAsia="黑体" w:cs="黑体"/>
          <w:b/>
          <w:color w:val="000000"/>
          <w:sz w:val="30"/>
        </w:rPr>
        <w:t>第二部分  部门所属单位预算</w:t>
      </w:r>
    </w:p>
    <w:p>
      <w:pPr>
        <w:pStyle w:val="35"/>
        <w:tabs>
          <w:tab w:val="right" w:leader="dot" w:pos="14562"/>
        </w:tabs>
      </w:pPr>
      <w:r>
        <w:fldChar w:fldCharType="begin"/>
      </w:r>
      <w:r>
        <w:instrText xml:space="preserve">TOC \o "4-4" \h \z \u </w:instrText>
      </w:r>
      <w:r>
        <w:fldChar w:fldCharType="separate"/>
      </w:r>
      <w:r>
        <w:fldChar w:fldCharType="begin"/>
      </w:r>
      <w:r>
        <w:instrText xml:space="preserve"> HYPERLINK \l "_Toc_4_4_0000000021" </w:instrText>
      </w:r>
      <w:r>
        <w:fldChar w:fldCharType="separate"/>
      </w:r>
      <w:r>
        <w:t>一、中国共产党保定市莲池区委政法委员会本级收支预算</w:t>
      </w:r>
      <w:r>
        <w:tab/>
      </w:r>
      <w:r>
        <w:fldChar w:fldCharType="begin"/>
      </w:r>
      <w:r>
        <w:instrText xml:space="preserve">PAGEREF _Toc_4_4_0000000021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docGrid w:linePitch="326" w:charSpace="0"/>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r>
        <w:rPr>
          <w:rFonts w:ascii="方正小标宋_GBK" w:eastAsia="方正小标宋_GBK" w:cs="方正小标宋_GBK"/>
          <w:color w:val="000000"/>
          <w:sz w:val="72"/>
        </w:rPr>
        <w:t>第一部分  部门预算</w:t>
      </w:r>
    </w:p>
    <w:p>
      <w:pPr>
        <w:jc w:val="center"/>
        <w:outlineLvl w:val="1"/>
      </w:pPr>
      <w:bookmarkStart w:id="0" w:name="_Toc_2_2_0000000001"/>
      <w:r>
        <w:rPr>
          <w:rFonts w:asci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216中国共产党保定市莲池区委政法委员会</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rPr>
                <w:lang w:eastAsia="zh-CN"/>
              </w:rPr>
            </w:pPr>
            <w:r>
              <w:rPr>
                <w:rFonts w:hint="eastAsia"/>
                <w:lang w:eastAsia="zh-CN"/>
              </w:rPr>
              <w:t>862.71</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r>
              <w:rPr>
                <w:rFonts w:hint="eastAsia"/>
                <w:lang w:eastAsia="zh-CN"/>
              </w:rPr>
              <w:t>716.4</w:t>
            </w: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38.27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rPr>
                <w:rFonts w:hint="eastAsia"/>
                <w:lang w:eastAsia="zh-CN"/>
              </w:rPr>
              <w:t>862.71</w:t>
            </w:r>
          </w:p>
        </w:tc>
        <w:tc>
          <w:tcPr>
            <w:tcW w:w="4535" w:type="dxa"/>
            <w:vAlign w:val="center"/>
          </w:tcPr>
          <w:p>
            <w:pPr>
              <w:pStyle w:val="17"/>
            </w:pPr>
            <w:r>
              <w:t>本年支出合计</w:t>
            </w:r>
          </w:p>
        </w:tc>
        <w:tc>
          <w:tcPr>
            <w:tcW w:w="2126" w:type="dxa"/>
            <w:vAlign w:val="center"/>
          </w:tcPr>
          <w:p>
            <w:pPr>
              <w:pStyle w:val="18"/>
            </w:pPr>
            <w:r>
              <w:rPr>
                <w:rFonts w:hint="eastAsia"/>
                <w:lang w:eastAsia="zh-CN"/>
              </w:rPr>
              <w:t>862.71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rPr>
                <w:rFonts w:hint="eastAsia"/>
                <w:lang w:eastAsia="zh-CN"/>
              </w:rPr>
              <w:t>862.71</w:t>
            </w:r>
          </w:p>
        </w:tc>
        <w:tc>
          <w:tcPr>
            <w:tcW w:w="4535" w:type="dxa"/>
            <w:vAlign w:val="center"/>
          </w:tcPr>
          <w:p>
            <w:pPr>
              <w:pStyle w:val="17"/>
            </w:pPr>
            <w:r>
              <w:t>支出总计</w:t>
            </w:r>
          </w:p>
        </w:tc>
        <w:tc>
          <w:tcPr>
            <w:tcW w:w="2126" w:type="dxa"/>
            <w:vAlign w:val="center"/>
          </w:tcPr>
          <w:p>
            <w:pPr>
              <w:pStyle w:val="18"/>
            </w:pPr>
            <w:r>
              <w:rPr>
                <w:rFonts w:hint="eastAsia"/>
                <w:lang w:eastAsia="zh-CN"/>
              </w:rPr>
              <w:t>862.71</w:t>
            </w: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1" w:name="_Toc_2_2_0000000002"/>
      <w:r>
        <w:rPr>
          <w:rFonts w:asci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216中国共产党保定市莲池区委政法委员会</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rPr>
                <w:lang w:eastAsia="zh-CN"/>
              </w:rPr>
            </w:pPr>
            <w:r>
              <w:rPr>
                <w:rFonts w:hint="eastAsia"/>
                <w:lang w:eastAsia="zh-CN"/>
              </w:rPr>
              <w:t>862.71</w:t>
            </w:r>
          </w:p>
        </w:tc>
        <w:tc>
          <w:tcPr>
            <w:tcW w:w="1134" w:type="dxa"/>
            <w:vAlign w:val="center"/>
          </w:tcPr>
          <w:p>
            <w:pPr>
              <w:pStyle w:val="18"/>
            </w:pPr>
            <w:r>
              <w:rPr>
                <w:rFonts w:hint="eastAsia"/>
                <w:lang w:eastAsia="zh-CN"/>
              </w:rPr>
              <w:t>862.71</w:t>
            </w:r>
          </w:p>
        </w:tc>
        <w:tc>
          <w:tcPr>
            <w:tcW w:w="1134" w:type="dxa"/>
            <w:vAlign w:val="center"/>
          </w:tcPr>
          <w:p>
            <w:pPr>
              <w:pStyle w:val="18"/>
            </w:pPr>
            <w:r>
              <w:rPr>
                <w:rFonts w:hint="eastAsia"/>
                <w:lang w:eastAsia="zh-CN"/>
              </w:rPr>
              <w:t>862.71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204</w:t>
            </w:r>
          </w:p>
        </w:tc>
        <w:tc>
          <w:tcPr>
            <w:tcW w:w="1559" w:type="dxa"/>
            <w:vAlign w:val="center"/>
          </w:tcPr>
          <w:p>
            <w:pPr>
              <w:pStyle w:val="15"/>
            </w:pPr>
            <w:r>
              <w:t>公共安全支出</w:t>
            </w:r>
          </w:p>
        </w:tc>
        <w:tc>
          <w:tcPr>
            <w:tcW w:w="1134" w:type="dxa"/>
            <w:vAlign w:val="center"/>
          </w:tcPr>
          <w:p>
            <w:pPr>
              <w:pStyle w:val="14"/>
            </w:pPr>
            <w:r>
              <w:rPr>
                <w:rFonts w:hint="eastAsia"/>
                <w:lang w:eastAsia="zh-CN"/>
              </w:rPr>
              <w:t>716.4</w:t>
            </w:r>
            <w:r>
              <w:t>4</w:t>
            </w:r>
          </w:p>
        </w:tc>
        <w:tc>
          <w:tcPr>
            <w:tcW w:w="1134" w:type="dxa"/>
            <w:vAlign w:val="center"/>
          </w:tcPr>
          <w:p>
            <w:pPr>
              <w:pStyle w:val="14"/>
            </w:pPr>
            <w:r>
              <w:rPr>
                <w:rFonts w:hint="eastAsia"/>
                <w:lang w:eastAsia="zh-CN"/>
              </w:rPr>
              <w:t>716.4</w:t>
            </w:r>
            <w:r>
              <w:t>4</w:t>
            </w:r>
          </w:p>
        </w:tc>
        <w:tc>
          <w:tcPr>
            <w:tcW w:w="1134" w:type="dxa"/>
            <w:vAlign w:val="center"/>
          </w:tcPr>
          <w:p>
            <w:pPr>
              <w:pStyle w:val="14"/>
            </w:pPr>
            <w:r>
              <w:rPr>
                <w:rFonts w:hint="eastAsia"/>
                <w:lang w:eastAsia="zh-CN"/>
              </w:rPr>
              <w:t>716.4</w:t>
            </w:r>
            <w:r>
              <w:t>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20402</w:t>
            </w:r>
          </w:p>
        </w:tc>
        <w:tc>
          <w:tcPr>
            <w:tcW w:w="1559" w:type="dxa"/>
            <w:vAlign w:val="center"/>
          </w:tcPr>
          <w:p>
            <w:pPr>
              <w:pStyle w:val="15"/>
            </w:pPr>
            <w:r>
              <w:t>公安</w:t>
            </w:r>
          </w:p>
        </w:tc>
        <w:tc>
          <w:tcPr>
            <w:tcW w:w="1134" w:type="dxa"/>
            <w:vAlign w:val="center"/>
          </w:tcPr>
          <w:p>
            <w:pPr>
              <w:pStyle w:val="14"/>
            </w:pPr>
            <w:r>
              <w:rPr>
                <w:rFonts w:hint="eastAsia"/>
                <w:lang w:eastAsia="zh-CN"/>
              </w:rPr>
              <w:t>716.4</w:t>
            </w:r>
            <w:r>
              <w:t>4</w:t>
            </w:r>
          </w:p>
        </w:tc>
        <w:tc>
          <w:tcPr>
            <w:tcW w:w="1134" w:type="dxa"/>
            <w:vAlign w:val="center"/>
          </w:tcPr>
          <w:p>
            <w:pPr>
              <w:pStyle w:val="14"/>
            </w:pPr>
            <w:r>
              <w:rPr>
                <w:rFonts w:hint="eastAsia"/>
                <w:lang w:eastAsia="zh-CN"/>
              </w:rPr>
              <w:t>716.4</w:t>
            </w:r>
            <w:r>
              <w:t>4</w:t>
            </w:r>
          </w:p>
        </w:tc>
        <w:tc>
          <w:tcPr>
            <w:tcW w:w="1134" w:type="dxa"/>
            <w:vAlign w:val="center"/>
          </w:tcPr>
          <w:p>
            <w:pPr>
              <w:pStyle w:val="14"/>
            </w:pPr>
            <w:r>
              <w:rPr>
                <w:rFonts w:hint="eastAsia"/>
                <w:lang w:eastAsia="zh-CN"/>
              </w:rPr>
              <w:t>716.4</w:t>
            </w:r>
            <w:r>
              <w:t>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2040201</w:t>
            </w:r>
          </w:p>
        </w:tc>
        <w:tc>
          <w:tcPr>
            <w:tcW w:w="1559" w:type="dxa"/>
            <w:vAlign w:val="center"/>
          </w:tcPr>
          <w:p>
            <w:pPr>
              <w:pStyle w:val="15"/>
            </w:pPr>
            <w:r>
              <w:t>行政运行</w:t>
            </w:r>
          </w:p>
        </w:tc>
        <w:tc>
          <w:tcPr>
            <w:tcW w:w="1134" w:type="dxa"/>
            <w:vAlign w:val="center"/>
          </w:tcPr>
          <w:p>
            <w:pPr>
              <w:pStyle w:val="14"/>
            </w:pPr>
            <w:r>
              <w:t>563.14</w:t>
            </w:r>
          </w:p>
        </w:tc>
        <w:tc>
          <w:tcPr>
            <w:tcW w:w="1134" w:type="dxa"/>
            <w:vAlign w:val="center"/>
          </w:tcPr>
          <w:p>
            <w:pPr>
              <w:pStyle w:val="14"/>
            </w:pPr>
            <w:r>
              <w:t>563.14</w:t>
            </w:r>
          </w:p>
        </w:tc>
        <w:tc>
          <w:tcPr>
            <w:tcW w:w="1134" w:type="dxa"/>
            <w:vAlign w:val="center"/>
          </w:tcPr>
          <w:p>
            <w:pPr>
              <w:pStyle w:val="14"/>
            </w:pPr>
            <w:r>
              <w:t>563.14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2040202</w:t>
            </w:r>
          </w:p>
        </w:tc>
        <w:tc>
          <w:tcPr>
            <w:tcW w:w="1559" w:type="dxa"/>
            <w:vAlign w:val="center"/>
          </w:tcPr>
          <w:p>
            <w:pPr>
              <w:pStyle w:val="15"/>
            </w:pPr>
            <w:r>
              <w:t>一般行政管理事务</w:t>
            </w:r>
          </w:p>
        </w:tc>
        <w:tc>
          <w:tcPr>
            <w:tcW w:w="1134" w:type="dxa"/>
            <w:vAlign w:val="center"/>
          </w:tcPr>
          <w:p>
            <w:pPr>
              <w:pStyle w:val="14"/>
            </w:pPr>
            <w:r>
              <w:rPr>
                <w:rFonts w:hint="eastAsia"/>
                <w:lang w:eastAsia="zh-CN"/>
              </w:rPr>
              <w:t>153.3</w:t>
            </w:r>
            <w:r>
              <w:t>0</w:t>
            </w:r>
          </w:p>
        </w:tc>
        <w:tc>
          <w:tcPr>
            <w:tcW w:w="1134" w:type="dxa"/>
            <w:vAlign w:val="center"/>
          </w:tcPr>
          <w:p>
            <w:pPr>
              <w:pStyle w:val="14"/>
            </w:pPr>
            <w:r>
              <w:rPr>
                <w:rFonts w:hint="eastAsia"/>
                <w:lang w:eastAsia="zh-CN"/>
              </w:rPr>
              <w:t>153.3</w:t>
            </w:r>
            <w:r>
              <w:t>0</w:t>
            </w:r>
          </w:p>
        </w:tc>
        <w:tc>
          <w:tcPr>
            <w:tcW w:w="1134" w:type="dxa"/>
            <w:vAlign w:val="center"/>
          </w:tcPr>
          <w:p>
            <w:pPr>
              <w:pStyle w:val="14"/>
            </w:pPr>
            <w:r>
              <w:rPr>
                <w:rFonts w:hint="eastAsia"/>
                <w:lang w:eastAsia="zh-CN"/>
              </w:rPr>
              <w:t>153.3</w:t>
            </w:r>
            <w:r>
              <w:t>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60.00</w:t>
            </w:r>
          </w:p>
        </w:tc>
        <w:tc>
          <w:tcPr>
            <w:tcW w:w="1134" w:type="dxa"/>
            <w:vAlign w:val="center"/>
          </w:tcPr>
          <w:p>
            <w:pPr>
              <w:pStyle w:val="14"/>
            </w:pPr>
            <w:r>
              <w:t>60.00</w:t>
            </w:r>
          </w:p>
        </w:tc>
        <w:tc>
          <w:tcPr>
            <w:tcW w:w="1134" w:type="dxa"/>
            <w:vAlign w:val="center"/>
          </w:tcPr>
          <w:p>
            <w:pPr>
              <w:pStyle w:val="14"/>
            </w:pPr>
            <w:r>
              <w:t>60.00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60.00</w:t>
            </w:r>
          </w:p>
        </w:tc>
        <w:tc>
          <w:tcPr>
            <w:tcW w:w="1134" w:type="dxa"/>
            <w:vAlign w:val="center"/>
          </w:tcPr>
          <w:p>
            <w:pPr>
              <w:pStyle w:val="14"/>
            </w:pPr>
            <w:r>
              <w:t>60.00</w:t>
            </w:r>
          </w:p>
        </w:tc>
        <w:tc>
          <w:tcPr>
            <w:tcW w:w="1134" w:type="dxa"/>
            <w:vAlign w:val="center"/>
          </w:tcPr>
          <w:p>
            <w:pPr>
              <w:pStyle w:val="14"/>
            </w:pPr>
            <w:r>
              <w:t>60.00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60.00</w:t>
            </w:r>
          </w:p>
        </w:tc>
        <w:tc>
          <w:tcPr>
            <w:tcW w:w="1134" w:type="dxa"/>
            <w:vAlign w:val="center"/>
          </w:tcPr>
          <w:p>
            <w:pPr>
              <w:pStyle w:val="14"/>
            </w:pPr>
            <w:r>
              <w:t>60.00</w:t>
            </w:r>
          </w:p>
        </w:tc>
        <w:tc>
          <w:tcPr>
            <w:tcW w:w="1134" w:type="dxa"/>
            <w:vAlign w:val="center"/>
          </w:tcPr>
          <w:p>
            <w:pPr>
              <w:pStyle w:val="14"/>
            </w:pPr>
            <w:r>
              <w:t>60.00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38.27</w:t>
            </w:r>
          </w:p>
        </w:tc>
        <w:tc>
          <w:tcPr>
            <w:tcW w:w="1134" w:type="dxa"/>
            <w:vAlign w:val="center"/>
          </w:tcPr>
          <w:p>
            <w:pPr>
              <w:pStyle w:val="14"/>
            </w:pPr>
            <w:r>
              <w:t>38.27</w:t>
            </w:r>
          </w:p>
        </w:tc>
        <w:tc>
          <w:tcPr>
            <w:tcW w:w="1134" w:type="dxa"/>
            <w:vAlign w:val="center"/>
          </w:tcPr>
          <w:p>
            <w:pPr>
              <w:pStyle w:val="14"/>
            </w:pPr>
            <w:r>
              <w:t>38.27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38.27</w:t>
            </w:r>
          </w:p>
        </w:tc>
        <w:tc>
          <w:tcPr>
            <w:tcW w:w="1134" w:type="dxa"/>
            <w:vAlign w:val="center"/>
          </w:tcPr>
          <w:p>
            <w:pPr>
              <w:pStyle w:val="14"/>
            </w:pPr>
            <w:r>
              <w:t>38.27</w:t>
            </w:r>
          </w:p>
        </w:tc>
        <w:tc>
          <w:tcPr>
            <w:tcW w:w="1134" w:type="dxa"/>
            <w:vAlign w:val="center"/>
          </w:tcPr>
          <w:p>
            <w:pPr>
              <w:pStyle w:val="14"/>
            </w:pPr>
            <w:r>
              <w:t>38.27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20.27</w:t>
            </w:r>
          </w:p>
        </w:tc>
        <w:tc>
          <w:tcPr>
            <w:tcW w:w="1134" w:type="dxa"/>
            <w:vAlign w:val="center"/>
          </w:tcPr>
          <w:p>
            <w:pPr>
              <w:pStyle w:val="14"/>
            </w:pPr>
            <w:r>
              <w:t>20.27</w:t>
            </w:r>
          </w:p>
        </w:tc>
        <w:tc>
          <w:tcPr>
            <w:tcW w:w="1134" w:type="dxa"/>
            <w:vAlign w:val="center"/>
          </w:tcPr>
          <w:p>
            <w:pPr>
              <w:pStyle w:val="14"/>
            </w:pPr>
            <w:r>
              <w:t>20.27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18.00</w:t>
            </w:r>
          </w:p>
        </w:tc>
        <w:tc>
          <w:tcPr>
            <w:tcW w:w="1134" w:type="dxa"/>
            <w:vAlign w:val="center"/>
          </w:tcPr>
          <w:p>
            <w:pPr>
              <w:pStyle w:val="14"/>
            </w:pPr>
            <w:r>
              <w:t>18.00</w:t>
            </w:r>
          </w:p>
        </w:tc>
        <w:tc>
          <w:tcPr>
            <w:tcW w:w="1134" w:type="dxa"/>
            <w:vAlign w:val="center"/>
          </w:tcPr>
          <w:p>
            <w:pPr>
              <w:pStyle w:val="14"/>
            </w:pPr>
            <w:r>
              <w:t>18.00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48.00</w:t>
            </w:r>
          </w:p>
        </w:tc>
        <w:tc>
          <w:tcPr>
            <w:tcW w:w="1134" w:type="dxa"/>
            <w:vAlign w:val="center"/>
          </w:tcPr>
          <w:p>
            <w:pPr>
              <w:pStyle w:val="14"/>
            </w:pPr>
            <w:r>
              <w:t>48.00</w:t>
            </w:r>
          </w:p>
        </w:tc>
        <w:tc>
          <w:tcPr>
            <w:tcW w:w="1134" w:type="dxa"/>
            <w:vAlign w:val="center"/>
          </w:tcPr>
          <w:p>
            <w:pPr>
              <w:pStyle w:val="14"/>
            </w:pPr>
            <w:r>
              <w:t>48.00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48.00</w:t>
            </w:r>
          </w:p>
        </w:tc>
        <w:tc>
          <w:tcPr>
            <w:tcW w:w="1134" w:type="dxa"/>
            <w:vAlign w:val="center"/>
          </w:tcPr>
          <w:p>
            <w:pPr>
              <w:pStyle w:val="14"/>
            </w:pPr>
            <w:r>
              <w:t>48.00</w:t>
            </w:r>
          </w:p>
        </w:tc>
        <w:tc>
          <w:tcPr>
            <w:tcW w:w="1134" w:type="dxa"/>
            <w:vAlign w:val="center"/>
          </w:tcPr>
          <w:p>
            <w:pPr>
              <w:pStyle w:val="14"/>
            </w:pPr>
            <w:r>
              <w:t>48.00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48.00</w:t>
            </w:r>
          </w:p>
        </w:tc>
        <w:tc>
          <w:tcPr>
            <w:tcW w:w="1134" w:type="dxa"/>
            <w:vAlign w:val="center"/>
          </w:tcPr>
          <w:p>
            <w:pPr>
              <w:pStyle w:val="14"/>
            </w:pPr>
            <w:r>
              <w:t>48.00</w:t>
            </w:r>
          </w:p>
        </w:tc>
        <w:tc>
          <w:tcPr>
            <w:tcW w:w="1134" w:type="dxa"/>
            <w:vAlign w:val="center"/>
          </w:tcPr>
          <w:p>
            <w:pPr>
              <w:pStyle w:val="14"/>
            </w:pPr>
            <w:r>
              <w:t>48.00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2" w:name="_Toc_2_2_0000000003"/>
      <w:r>
        <w:rPr>
          <w:rFonts w:asci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216中国共产党保定市莲池区委政法委员会</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rPr>
                <w:lang w:eastAsia="zh-CN"/>
              </w:rPr>
            </w:pPr>
            <w:r>
              <w:rPr>
                <w:rFonts w:hint="eastAsia"/>
                <w:lang w:eastAsia="zh-CN"/>
              </w:rPr>
              <w:t>862.71</w:t>
            </w:r>
          </w:p>
        </w:tc>
        <w:tc>
          <w:tcPr>
            <w:tcW w:w="1361" w:type="dxa"/>
            <w:vAlign w:val="center"/>
          </w:tcPr>
          <w:p>
            <w:pPr>
              <w:pStyle w:val="18"/>
            </w:pPr>
            <w:r>
              <w:t>709.41</w:t>
            </w:r>
          </w:p>
        </w:tc>
        <w:tc>
          <w:tcPr>
            <w:tcW w:w="1361" w:type="dxa"/>
            <w:vAlign w:val="center"/>
          </w:tcPr>
          <w:p>
            <w:pPr>
              <w:pStyle w:val="18"/>
            </w:pPr>
            <w:r>
              <w:rPr>
                <w:rFonts w:hint="eastAsia"/>
                <w:lang w:eastAsia="zh-CN"/>
              </w:rPr>
              <w:t>153.3</w:t>
            </w:r>
            <w:r>
              <w:t>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204</w:t>
            </w:r>
          </w:p>
        </w:tc>
        <w:tc>
          <w:tcPr>
            <w:tcW w:w="4535" w:type="dxa"/>
            <w:vAlign w:val="center"/>
          </w:tcPr>
          <w:p>
            <w:pPr>
              <w:pStyle w:val="15"/>
            </w:pPr>
            <w:r>
              <w:t>公共安全支出</w:t>
            </w:r>
          </w:p>
        </w:tc>
        <w:tc>
          <w:tcPr>
            <w:tcW w:w="1361" w:type="dxa"/>
            <w:vAlign w:val="center"/>
          </w:tcPr>
          <w:p>
            <w:pPr>
              <w:pStyle w:val="14"/>
            </w:pPr>
            <w:r>
              <w:rPr>
                <w:rFonts w:hint="eastAsia"/>
                <w:lang w:eastAsia="zh-CN"/>
              </w:rPr>
              <w:t>716.4</w:t>
            </w:r>
            <w:r>
              <w:t>4</w:t>
            </w:r>
          </w:p>
        </w:tc>
        <w:tc>
          <w:tcPr>
            <w:tcW w:w="1361" w:type="dxa"/>
            <w:vAlign w:val="center"/>
          </w:tcPr>
          <w:p>
            <w:pPr>
              <w:pStyle w:val="14"/>
            </w:pPr>
            <w:r>
              <w:t>563.14</w:t>
            </w:r>
          </w:p>
        </w:tc>
        <w:tc>
          <w:tcPr>
            <w:tcW w:w="1361" w:type="dxa"/>
            <w:vAlign w:val="center"/>
          </w:tcPr>
          <w:p>
            <w:pPr>
              <w:pStyle w:val="14"/>
            </w:pPr>
            <w:r>
              <w:rPr>
                <w:rFonts w:hint="eastAsia"/>
                <w:lang w:eastAsia="zh-CN"/>
              </w:rPr>
              <w:t>153.3</w:t>
            </w:r>
            <w:r>
              <w:t>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20402</w:t>
            </w:r>
          </w:p>
        </w:tc>
        <w:tc>
          <w:tcPr>
            <w:tcW w:w="4535" w:type="dxa"/>
            <w:vAlign w:val="center"/>
          </w:tcPr>
          <w:p>
            <w:pPr>
              <w:pStyle w:val="15"/>
            </w:pPr>
            <w:r>
              <w:t>公安</w:t>
            </w:r>
          </w:p>
        </w:tc>
        <w:tc>
          <w:tcPr>
            <w:tcW w:w="1361" w:type="dxa"/>
            <w:vAlign w:val="center"/>
          </w:tcPr>
          <w:p>
            <w:pPr>
              <w:pStyle w:val="14"/>
            </w:pPr>
            <w:r>
              <w:rPr>
                <w:rFonts w:hint="eastAsia"/>
                <w:lang w:eastAsia="zh-CN"/>
              </w:rPr>
              <w:t>716.4</w:t>
            </w:r>
            <w:r>
              <w:t>4</w:t>
            </w:r>
          </w:p>
        </w:tc>
        <w:tc>
          <w:tcPr>
            <w:tcW w:w="1361" w:type="dxa"/>
            <w:vAlign w:val="center"/>
          </w:tcPr>
          <w:p>
            <w:pPr>
              <w:pStyle w:val="14"/>
            </w:pPr>
            <w:r>
              <w:t>563.14</w:t>
            </w:r>
          </w:p>
        </w:tc>
        <w:tc>
          <w:tcPr>
            <w:tcW w:w="1361" w:type="dxa"/>
            <w:vAlign w:val="center"/>
          </w:tcPr>
          <w:p>
            <w:pPr>
              <w:pStyle w:val="14"/>
            </w:pPr>
            <w:r>
              <w:rPr>
                <w:rFonts w:hint="eastAsia"/>
                <w:lang w:eastAsia="zh-CN"/>
              </w:rPr>
              <w:t>153.3</w:t>
            </w:r>
            <w:r>
              <w:t>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2040201</w:t>
            </w:r>
          </w:p>
        </w:tc>
        <w:tc>
          <w:tcPr>
            <w:tcW w:w="4535" w:type="dxa"/>
            <w:vAlign w:val="center"/>
          </w:tcPr>
          <w:p>
            <w:pPr>
              <w:pStyle w:val="15"/>
            </w:pPr>
            <w:r>
              <w:t>行政运行</w:t>
            </w:r>
          </w:p>
        </w:tc>
        <w:tc>
          <w:tcPr>
            <w:tcW w:w="1361" w:type="dxa"/>
            <w:vAlign w:val="center"/>
          </w:tcPr>
          <w:p>
            <w:pPr>
              <w:pStyle w:val="14"/>
            </w:pPr>
            <w:r>
              <w:t>563.14</w:t>
            </w:r>
          </w:p>
        </w:tc>
        <w:tc>
          <w:tcPr>
            <w:tcW w:w="1361" w:type="dxa"/>
            <w:vAlign w:val="center"/>
          </w:tcPr>
          <w:p>
            <w:pPr>
              <w:pStyle w:val="14"/>
            </w:pPr>
            <w:r>
              <w:t>563.14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2040202</w:t>
            </w:r>
          </w:p>
        </w:tc>
        <w:tc>
          <w:tcPr>
            <w:tcW w:w="4535" w:type="dxa"/>
            <w:vAlign w:val="center"/>
          </w:tcPr>
          <w:p>
            <w:pPr>
              <w:pStyle w:val="15"/>
            </w:pPr>
            <w:r>
              <w:t>一般行政管理事务</w:t>
            </w:r>
          </w:p>
        </w:tc>
        <w:tc>
          <w:tcPr>
            <w:tcW w:w="1361" w:type="dxa"/>
            <w:vAlign w:val="center"/>
          </w:tcPr>
          <w:p>
            <w:pPr>
              <w:pStyle w:val="14"/>
            </w:pPr>
            <w:r>
              <w:rPr>
                <w:rFonts w:hint="eastAsia"/>
                <w:lang w:eastAsia="zh-CN"/>
              </w:rPr>
              <w:t>153.3</w:t>
            </w:r>
            <w:r>
              <w:t>0</w:t>
            </w:r>
          </w:p>
        </w:tc>
        <w:tc>
          <w:tcPr>
            <w:tcW w:w="1361" w:type="dxa"/>
            <w:vAlign w:val="center"/>
          </w:tcPr>
          <w:p>
            <w:pPr>
              <w:pStyle w:val="14"/>
            </w:pPr>
          </w:p>
        </w:tc>
        <w:tc>
          <w:tcPr>
            <w:tcW w:w="1361" w:type="dxa"/>
            <w:vAlign w:val="center"/>
          </w:tcPr>
          <w:p>
            <w:pPr>
              <w:pStyle w:val="14"/>
            </w:pPr>
            <w:r>
              <w:rPr>
                <w:rFonts w:hint="eastAsia"/>
                <w:lang w:eastAsia="zh-CN"/>
              </w:rPr>
              <w:t>153.3</w:t>
            </w:r>
            <w:r>
              <w:t>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60.00</w:t>
            </w:r>
          </w:p>
        </w:tc>
        <w:tc>
          <w:tcPr>
            <w:tcW w:w="1361" w:type="dxa"/>
            <w:vAlign w:val="center"/>
          </w:tcPr>
          <w:p>
            <w:pPr>
              <w:pStyle w:val="14"/>
            </w:pPr>
            <w:r>
              <w:t>60.00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60.00</w:t>
            </w:r>
          </w:p>
        </w:tc>
        <w:tc>
          <w:tcPr>
            <w:tcW w:w="1361" w:type="dxa"/>
            <w:vAlign w:val="center"/>
          </w:tcPr>
          <w:p>
            <w:pPr>
              <w:pStyle w:val="14"/>
            </w:pPr>
            <w:r>
              <w:t>60.00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60.00</w:t>
            </w:r>
          </w:p>
        </w:tc>
        <w:tc>
          <w:tcPr>
            <w:tcW w:w="1361" w:type="dxa"/>
            <w:vAlign w:val="center"/>
          </w:tcPr>
          <w:p>
            <w:pPr>
              <w:pStyle w:val="14"/>
            </w:pPr>
            <w:r>
              <w:t>60.00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38.27</w:t>
            </w:r>
          </w:p>
        </w:tc>
        <w:tc>
          <w:tcPr>
            <w:tcW w:w="1361" w:type="dxa"/>
            <w:vAlign w:val="center"/>
          </w:tcPr>
          <w:p>
            <w:pPr>
              <w:pStyle w:val="14"/>
            </w:pPr>
            <w:r>
              <w:t>38.27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38.27</w:t>
            </w:r>
          </w:p>
        </w:tc>
        <w:tc>
          <w:tcPr>
            <w:tcW w:w="1361" w:type="dxa"/>
            <w:vAlign w:val="center"/>
          </w:tcPr>
          <w:p>
            <w:pPr>
              <w:pStyle w:val="14"/>
            </w:pPr>
            <w:r>
              <w:t>38.27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20.27</w:t>
            </w:r>
          </w:p>
        </w:tc>
        <w:tc>
          <w:tcPr>
            <w:tcW w:w="1361" w:type="dxa"/>
            <w:vAlign w:val="center"/>
          </w:tcPr>
          <w:p>
            <w:pPr>
              <w:pStyle w:val="14"/>
            </w:pPr>
            <w:r>
              <w:t>20.27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2101103</w:t>
            </w:r>
          </w:p>
        </w:tc>
        <w:tc>
          <w:tcPr>
            <w:tcW w:w="4535" w:type="dxa"/>
            <w:vAlign w:val="center"/>
          </w:tcPr>
          <w:p>
            <w:pPr>
              <w:pStyle w:val="15"/>
            </w:pPr>
            <w:r>
              <w:t>公务员医疗补助</w:t>
            </w:r>
          </w:p>
        </w:tc>
        <w:tc>
          <w:tcPr>
            <w:tcW w:w="1361" w:type="dxa"/>
            <w:vAlign w:val="center"/>
          </w:tcPr>
          <w:p>
            <w:pPr>
              <w:pStyle w:val="14"/>
            </w:pPr>
            <w:r>
              <w:t>18.00</w:t>
            </w:r>
          </w:p>
        </w:tc>
        <w:tc>
          <w:tcPr>
            <w:tcW w:w="1361" w:type="dxa"/>
            <w:vAlign w:val="center"/>
          </w:tcPr>
          <w:p>
            <w:pPr>
              <w:pStyle w:val="14"/>
            </w:pPr>
            <w:r>
              <w:t>18.00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48.00</w:t>
            </w:r>
          </w:p>
        </w:tc>
        <w:tc>
          <w:tcPr>
            <w:tcW w:w="1361" w:type="dxa"/>
            <w:vAlign w:val="center"/>
          </w:tcPr>
          <w:p>
            <w:pPr>
              <w:pStyle w:val="14"/>
            </w:pPr>
            <w:r>
              <w:t>48.00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48.00</w:t>
            </w:r>
          </w:p>
        </w:tc>
        <w:tc>
          <w:tcPr>
            <w:tcW w:w="1361" w:type="dxa"/>
            <w:vAlign w:val="center"/>
          </w:tcPr>
          <w:p>
            <w:pPr>
              <w:pStyle w:val="14"/>
            </w:pPr>
            <w:r>
              <w:t>48.00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48.00</w:t>
            </w:r>
          </w:p>
        </w:tc>
        <w:tc>
          <w:tcPr>
            <w:tcW w:w="1361" w:type="dxa"/>
            <w:vAlign w:val="center"/>
          </w:tcPr>
          <w:p>
            <w:pPr>
              <w:pStyle w:val="14"/>
            </w:pPr>
            <w:r>
              <w:t>48.00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216中国共产党保定市莲池区委政法委员会</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rPr>
                <w:rFonts w:hint="default"/>
                <w:lang w:val="en-US"/>
              </w:rPr>
            </w:pPr>
            <w:r>
              <w:rPr>
                <w:rFonts w:hint="eastAsia"/>
                <w:lang w:eastAsia="zh-CN"/>
              </w:rPr>
              <w:t>862.</w:t>
            </w:r>
            <w:r>
              <w:rPr>
                <w:rFonts w:hint="eastAsia"/>
                <w:lang w:val="en-US" w:eastAsia="zh-CN"/>
              </w:rPr>
              <w:t>71</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rPr>
                <w:lang w:eastAsia="zh-CN"/>
              </w:rPr>
            </w:pPr>
            <w:r>
              <w:rPr>
                <w:rFonts w:hint="eastAsia"/>
                <w:lang w:eastAsia="zh-CN"/>
              </w:rPr>
              <w:t>716.44</w:t>
            </w:r>
          </w:p>
        </w:tc>
        <w:tc>
          <w:tcPr>
            <w:tcW w:w="1474" w:type="dxa"/>
            <w:vAlign w:val="center"/>
          </w:tcPr>
          <w:p>
            <w:pPr>
              <w:pStyle w:val="14"/>
              <w:rPr>
                <w:lang w:eastAsia="zh-CN"/>
              </w:rPr>
            </w:pPr>
            <w:r>
              <w:rPr>
                <w:rFonts w:hint="eastAsia"/>
                <w:lang w:eastAsia="zh-CN"/>
              </w:rPr>
              <w:t>716.44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60.00</w:t>
            </w:r>
          </w:p>
        </w:tc>
        <w:tc>
          <w:tcPr>
            <w:tcW w:w="1474" w:type="dxa"/>
            <w:vAlign w:val="center"/>
          </w:tcPr>
          <w:p>
            <w:pPr>
              <w:pStyle w:val="14"/>
            </w:pPr>
            <w:r>
              <w:t>60.00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38.27</w:t>
            </w:r>
          </w:p>
        </w:tc>
        <w:tc>
          <w:tcPr>
            <w:tcW w:w="1474" w:type="dxa"/>
            <w:vAlign w:val="center"/>
          </w:tcPr>
          <w:p>
            <w:pPr>
              <w:pStyle w:val="14"/>
            </w:pPr>
            <w:r>
              <w:t>38.27</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48.00</w:t>
            </w:r>
          </w:p>
        </w:tc>
        <w:tc>
          <w:tcPr>
            <w:tcW w:w="1474" w:type="dxa"/>
            <w:vAlign w:val="center"/>
          </w:tcPr>
          <w:p>
            <w:pPr>
              <w:pStyle w:val="14"/>
            </w:pPr>
            <w:r>
              <w:t>48.00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rPr>
                <w:lang w:eastAsia="zh-CN"/>
              </w:rPr>
            </w:pPr>
            <w:r>
              <w:rPr>
                <w:rFonts w:hint="eastAsia"/>
                <w:lang w:eastAsia="zh-CN"/>
              </w:rPr>
              <w:t>862.71</w:t>
            </w:r>
          </w:p>
        </w:tc>
        <w:tc>
          <w:tcPr>
            <w:tcW w:w="3402" w:type="dxa"/>
            <w:vAlign w:val="center"/>
          </w:tcPr>
          <w:p>
            <w:pPr>
              <w:pStyle w:val="17"/>
            </w:pPr>
            <w:r>
              <w:t>本年支出合计</w:t>
            </w:r>
          </w:p>
        </w:tc>
        <w:tc>
          <w:tcPr>
            <w:tcW w:w="1474" w:type="dxa"/>
            <w:vAlign w:val="center"/>
          </w:tcPr>
          <w:p>
            <w:pPr>
              <w:pStyle w:val="18"/>
              <w:rPr>
                <w:lang w:eastAsia="zh-CN"/>
              </w:rPr>
            </w:pPr>
            <w:r>
              <w:rPr>
                <w:rFonts w:hint="eastAsia"/>
                <w:lang w:eastAsia="zh-CN"/>
              </w:rPr>
              <w:t>862.71</w:t>
            </w:r>
          </w:p>
        </w:tc>
        <w:tc>
          <w:tcPr>
            <w:tcW w:w="1474" w:type="dxa"/>
            <w:vAlign w:val="center"/>
          </w:tcPr>
          <w:p>
            <w:pPr>
              <w:pStyle w:val="18"/>
              <w:rPr>
                <w:lang w:eastAsia="zh-CN"/>
              </w:rPr>
            </w:pPr>
            <w:r>
              <w:rPr>
                <w:rFonts w:hint="eastAsia"/>
                <w:lang w:eastAsia="zh-CN"/>
              </w:rPr>
              <w:t>862.71</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rPr>
                <w:lang w:eastAsia="zh-CN"/>
              </w:rPr>
            </w:pPr>
            <w:r>
              <w:rPr>
                <w:rFonts w:hint="eastAsia"/>
                <w:lang w:eastAsia="zh-CN"/>
              </w:rPr>
              <w:t>862.71</w:t>
            </w:r>
          </w:p>
        </w:tc>
        <w:tc>
          <w:tcPr>
            <w:tcW w:w="3402" w:type="dxa"/>
            <w:vAlign w:val="center"/>
          </w:tcPr>
          <w:p>
            <w:pPr>
              <w:pStyle w:val="17"/>
            </w:pPr>
            <w:r>
              <w:t>支出总计</w:t>
            </w:r>
          </w:p>
        </w:tc>
        <w:tc>
          <w:tcPr>
            <w:tcW w:w="1474" w:type="dxa"/>
            <w:vAlign w:val="center"/>
          </w:tcPr>
          <w:p>
            <w:pPr>
              <w:pStyle w:val="18"/>
              <w:rPr>
                <w:lang w:eastAsia="zh-CN"/>
              </w:rPr>
            </w:pPr>
            <w:r>
              <w:rPr>
                <w:rFonts w:hint="eastAsia"/>
                <w:lang w:eastAsia="zh-CN"/>
              </w:rPr>
              <w:t>862.71</w:t>
            </w:r>
          </w:p>
        </w:tc>
        <w:tc>
          <w:tcPr>
            <w:tcW w:w="1474" w:type="dxa"/>
            <w:vAlign w:val="center"/>
          </w:tcPr>
          <w:p>
            <w:pPr>
              <w:pStyle w:val="18"/>
              <w:rPr>
                <w:lang w:eastAsia="zh-CN"/>
              </w:rPr>
            </w:pPr>
            <w:r>
              <w:rPr>
                <w:rFonts w:hint="eastAsia"/>
                <w:lang w:eastAsia="zh-CN"/>
              </w:rPr>
              <w:t>862.71</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216中国共产党保定市莲池区委政法委员会</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rPr>
                <w:lang w:eastAsia="zh-CN"/>
              </w:rPr>
            </w:pPr>
            <w:r>
              <w:rPr>
                <w:rFonts w:hint="eastAsia"/>
                <w:lang w:eastAsia="zh-CN"/>
              </w:rPr>
              <w:t>862.71</w:t>
            </w:r>
          </w:p>
        </w:tc>
        <w:tc>
          <w:tcPr>
            <w:tcW w:w="2551" w:type="dxa"/>
            <w:vAlign w:val="center"/>
          </w:tcPr>
          <w:p>
            <w:pPr>
              <w:pStyle w:val="18"/>
            </w:pPr>
            <w:r>
              <w:t>709.41</w:t>
            </w:r>
          </w:p>
        </w:tc>
        <w:tc>
          <w:tcPr>
            <w:tcW w:w="2551" w:type="dxa"/>
            <w:vAlign w:val="center"/>
          </w:tcPr>
          <w:p>
            <w:pPr>
              <w:pStyle w:val="18"/>
              <w:rPr>
                <w:lang w:eastAsia="zh-CN"/>
              </w:rPr>
            </w:pPr>
            <w:r>
              <w:rPr>
                <w:rFonts w:hint="eastAsia"/>
                <w:lang w:eastAsia="zh-CN"/>
              </w:rPr>
              <w:t>153.30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204</w:t>
            </w:r>
          </w:p>
        </w:tc>
        <w:tc>
          <w:tcPr>
            <w:tcW w:w="4535" w:type="dxa"/>
            <w:vAlign w:val="center"/>
          </w:tcPr>
          <w:p>
            <w:pPr>
              <w:pStyle w:val="15"/>
            </w:pPr>
            <w:r>
              <w:t>公共安全支出</w:t>
            </w:r>
          </w:p>
        </w:tc>
        <w:tc>
          <w:tcPr>
            <w:tcW w:w="2551" w:type="dxa"/>
            <w:vAlign w:val="center"/>
          </w:tcPr>
          <w:p>
            <w:pPr>
              <w:pStyle w:val="14"/>
              <w:rPr>
                <w:lang w:eastAsia="zh-CN"/>
              </w:rPr>
            </w:pPr>
            <w:r>
              <w:rPr>
                <w:rFonts w:hint="eastAsia"/>
                <w:lang w:eastAsia="zh-CN"/>
              </w:rPr>
              <w:t>716.44</w:t>
            </w:r>
          </w:p>
        </w:tc>
        <w:tc>
          <w:tcPr>
            <w:tcW w:w="2551" w:type="dxa"/>
            <w:vAlign w:val="center"/>
          </w:tcPr>
          <w:p>
            <w:pPr>
              <w:pStyle w:val="14"/>
            </w:pPr>
            <w:r>
              <w:t>563.14</w:t>
            </w:r>
          </w:p>
        </w:tc>
        <w:tc>
          <w:tcPr>
            <w:tcW w:w="2551" w:type="dxa"/>
            <w:vAlign w:val="center"/>
          </w:tcPr>
          <w:p>
            <w:pPr>
              <w:pStyle w:val="14"/>
              <w:rPr>
                <w:lang w:eastAsia="zh-CN"/>
              </w:rPr>
            </w:pPr>
            <w:r>
              <w:rPr>
                <w:rFonts w:hint="eastAsia"/>
                <w:lang w:eastAsia="zh-CN"/>
              </w:rPr>
              <w:t>153.30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20402</w:t>
            </w:r>
          </w:p>
        </w:tc>
        <w:tc>
          <w:tcPr>
            <w:tcW w:w="4535" w:type="dxa"/>
            <w:vAlign w:val="center"/>
          </w:tcPr>
          <w:p>
            <w:pPr>
              <w:pStyle w:val="15"/>
            </w:pPr>
            <w:r>
              <w:t>公安</w:t>
            </w:r>
          </w:p>
        </w:tc>
        <w:tc>
          <w:tcPr>
            <w:tcW w:w="2551" w:type="dxa"/>
            <w:vAlign w:val="center"/>
          </w:tcPr>
          <w:p>
            <w:pPr>
              <w:pStyle w:val="14"/>
              <w:rPr>
                <w:lang w:eastAsia="zh-CN"/>
              </w:rPr>
            </w:pPr>
            <w:r>
              <w:rPr>
                <w:rFonts w:hint="eastAsia"/>
                <w:lang w:eastAsia="zh-CN"/>
              </w:rPr>
              <w:t>716.44</w:t>
            </w:r>
          </w:p>
        </w:tc>
        <w:tc>
          <w:tcPr>
            <w:tcW w:w="2551" w:type="dxa"/>
            <w:vAlign w:val="center"/>
          </w:tcPr>
          <w:p>
            <w:pPr>
              <w:pStyle w:val="14"/>
            </w:pPr>
            <w:r>
              <w:t>563.14</w:t>
            </w:r>
          </w:p>
        </w:tc>
        <w:tc>
          <w:tcPr>
            <w:tcW w:w="2551" w:type="dxa"/>
            <w:vAlign w:val="center"/>
          </w:tcPr>
          <w:p>
            <w:pPr>
              <w:pStyle w:val="14"/>
              <w:rPr>
                <w:lang w:eastAsia="zh-CN"/>
              </w:rPr>
            </w:pPr>
            <w:r>
              <w:rPr>
                <w:rFonts w:hint="eastAsia"/>
                <w:lang w:eastAsia="zh-CN"/>
              </w:rPr>
              <w:t>153.30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2040201</w:t>
            </w:r>
          </w:p>
        </w:tc>
        <w:tc>
          <w:tcPr>
            <w:tcW w:w="4535" w:type="dxa"/>
            <w:vAlign w:val="center"/>
          </w:tcPr>
          <w:p>
            <w:pPr>
              <w:pStyle w:val="15"/>
            </w:pPr>
            <w:r>
              <w:t>行政运行</w:t>
            </w:r>
          </w:p>
        </w:tc>
        <w:tc>
          <w:tcPr>
            <w:tcW w:w="2551" w:type="dxa"/>
            <w:vAlign w:val="center"/>
          </w:tcPr>
          <w:p>
            <w:pPr>
              <w:pStyle w:val="14"/>
            </w:pPr>
            <w:r>
              <w:t>563.14</w:t>
            </w:r>
          </w:p>
        </w:tc>
        <w:tc>
          <w:tcPr>
            <w:tcW w:w="2551" w:type="dxa"/>
            <w:vAlign w:val="center"/>
          </w:tcPr>
          <w:p>
            <w:pPr>
              <w:pStyle w:val="14"/>
            </w:pPr>
            <w:r>
              <w:t>563.14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2040202</w:t>
            </w:r>
          </w:p>
        </w:tc>
        <w:tc>
          <w:tcPr>
            <w:tcW w:w="4535" w:type="dxa"/>
            <w:vAlign w:val="center"/>
          </w:tcPr>
          <w:p>
            <w:pPr>
              <w:pStyle w:val="15"/>
            </w:pPr>
            <w:r>
              <w:t>一般行政管理事务</w:t>
            </w:r>
          </w:p>
        </w:tc>
        <w:tc>
          <w:tcPr>
            <w:tcW w:w="2551" w:type="dxa"/>
            <w:vAlign w:val="center"/>
          </w:tcPr>
          <w:p>
            <w:pPr>
              <w:pStyle w:val="14"/>
            </w:pPr>
            <w:r>
              <w:t>464.60</w:t>
            </w:r>
          </w:p>
        </w:tc>
        <w:tc>
          <w:tcPr>
            <w:tcW w:w="2551" w:type="dxa"/>
            <w:vAlign w:val="center"/>
          </w:tcPr>
          <w:p>
            <w:pPr>
              <w:pStyle w:val="14"/>
            </w:pPr>
          </w:p>
        </w:tc>
        <w:tc>
          <w:tcPr>
            <w:tcW w:w="2551" w:type="dxa"/>
            <w:vAlign w:val="center"/>
          </w:tcPr>
          <w:p>
            <w:pPr>
              <w:pStyle w:val="14"/>
              <w:rPr>
                <w:lang w:eastAsia="zh-CN"/>
              </w:rPr>
            </w:pPr>
            <w:r>
              <w:rPr>
                <w:rFonts w:hint="eastAsia"/>
                <w:lang w:eastAsia="zh-CN"/>
              </w:rPr>
              <w:t>153.30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60.00</w:t>
            </w:r>
          </w:p>
        </w:tc>
        <w:tc>
          <w:tcPr>
            <w:tcW w:w="2551" w:type="dxa"/>
            <w:vAlign w:val="center"/>
          </w:tcPr>
          <w:p>
            <w:pPr>
              <w:pStyle w:val="14"/>
            </w:pPr>
            <w:r>
              <w:t>60.00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60.00</w:t>
            </w:r>
          </w:p>
        </w:tc>
        <w:tc>
          <w:tcPr>
            <w:tcW w:w="2551" w:type="dxa"/>
            <w:vAlign w:val="center"/>
          </w:tcPr>
          <w:p>
            <w:pPr>
              <w:pStyle w:val="14"/>
            </w:pPr>
            <w:r>
              <w:t>60.00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60.00</w:t>
            </w:r>
          </w:p>
        </w:tc>
        <w:tc>
          <w:tcPr>
            <w:tcW w:w="2551" w:type="dxa"/>
            <w:vAlign w:val="center"/>
          </w:tcPr>
          <w:p>
            <w:pPr>
              <w:pStyle w:val="14"/>
            </w:pPr>
            <w:r>
              <w:t>60.00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38.27</w:t>
            </w:r>
          </w:p>
        </w:tc>
        <w:tc>
          <w:tcPr>
            <w:tcW w:w="2551" w:type="dxa"/>
            <w:vAlign w:val="center"/>
          </w:tcPr>
          <w:p>
            <w:pPr>
              <w:pStyle w:val="14"/>
            </w:pPr>
            <w:r>
              <w:t>38.27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38.27</w:t>
            </w:r>
          </w:p>
        </w:tc>
        <w:tc>
          <w:tcPr>
            <w:tcW w:w="2551" w:type="dxa"/>
            <w:vAlign w:val="center"/>
          </w:tcPr>
          <w:p>
            <w:pPr>
              <w:pStyle w:val="14"/>
            </w:pPr>
            <w:r>
              <w:t>38.27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20.27</w:t>
            </w:r>
          </w:p>
        </w:tc>
        <w:tc>
          <w:tcPr>
            <w:tcW w:w="2551" w:type="dxa"/>
            <w:vAlign w:val="center"/>
          </w:tcPr>
          <w:p>
            <w:pPr>
              <w:pStyle w:val="14"/>
            </w:pPr>
            <w:r>
              <w:t>20.27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18.00</w:t>
            </w:r>
          </w:p>
        </w:tc>
        <w:tc>
          <w:tcPr>
            <w:tcW w:w="2551" w:type="dxa"/>
            <w:vAlign w:val="center"/>
          </w:tcPr>
          <w:p>
            <w:pPr>
              <w:pStyle w:val="14"/>
            </w:pPr>
            <w:r>
              <w:t>18.00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48.00</w:t>
            </w:r>
          </w:p>
        </w:tc>
        <w:tc>
          <w:tcPr>
            <w:tcW w:w="2551" w:type="dxa"/>
            <w:vAlign w:val="center"/>
          </w:tcPr>
          <w:p>
            <w:pPr>
              <w:pStyle w:val="14"/>
            </w:pPr>
            <w:r>
              <w:t>48.00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48.00</w:t>
            </w:r>
          </w:p>
        </w:tc>
        <w:tc>
          <w:tcPr>
            <w:tcW w:w="2551" w:type="dxa"/>
            <w:vAlign w:val="center"/>
          </w:tcPr>
          <w:p>
            <w:pPr>
              <w:pStyle w:val="14"/>
            </w:pPr>
            <w:r>
              <w:t>48.00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48.00</w:t>
            </w:r>
          </w:p>
        </w:tc>
        <w:tc>
          <w:tcPr>
            <w:tcW w:w="2551" w:type="dxa"/>
            <w:vAlign w:val="center"/>
          </w:tcPr>
          <w:p>
            <w:pPr>
              <w:pStyle w:val="14"/>
            </w:pPr>
            <w:r>
              <w:t>48.00</w:t>
            </w:r>
          </w:p>
        </w:tc>
        <w:tc>
          <w:tcPr>
            <w:tcW w:w="2551" w:type="dxa"/>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216中国共产党保定市莲池区委政法委员会</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709.41</w:t>
            </w:r>
          </w:p>
        </w:tc>
        <w:tc>
          <w:tcPr>
            <w:tcW w:w="2551" w:type="dxa"/>
            <w:vAlign w:val="center"/>
          </w:tcPr>
          <w:p>
            <w:pPr>
              <w:pStyle w:val="18"/>
            </w:pPr>
            <w:r>
              <w:t>654.36</w:t>
            </w:r>
          </w:p>
        </w:tc>
        <w:tc>
          <w:tcPr>
            <w:tcW w:w="2551" w:type="dxa"/>
            <w:vAlign w:val="center"/>
          </w:tcPr>
          <w:p>
            <w:pPr>
              <w:pStyle w:val="18"/>
            </w:pPr>
            <w:r>
              <w:t>55.05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626.28</w:t>
            </w:r>
          </w:p>
        </w:tc>
        <w:tc>
          <w:tcPr>
            <w:tcW w:w="2551" w:type="dxa"/>
            <w:vAlign w:val="center"/>
          </w:tcPr>
          <w:p>
            <w:pPr>
              <w:pStyle w:val="14"/>
            </w:pPr>
            <w:r>
              <w:t>626.28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175.00</w:t>
            </w:r>
          </w:p>
        </w:tc>
        <w:tc>
          <w:tcPr>
            <w:tcW w:w="2551" w:type="dxa"/>
            <w:vAlign w:val="center"/>
          </w:tcPr>
          <w:p>
            <w:pPr>
              <w:pStyle w:val="14"/>
            </w:pPr>
            <w:r>
              <w:t>175.00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149.01</w:t>
            </w:r>
          </w:p>
        </w:tc>
        <w:tc>
          <w:tcPr>
            <w:tcW w:w="2551" w:type="dxa"/>
            <w:vAlign w:val="center"/>
          </w:tcPr>
          <w:p>
            <w:pPr>
              <w:pStyle w:val="14"/>
            </w:pPr>
            <w:r>
              <w:t>149.01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113.00</w:t>
            </w:r>
          </w:p>
        </w:tc>
        <w:tc>
          <w:tcPr>
            <w:tcW w:w="2551" w:type="dxa"/>
            <w:vAlign w:val="center"/>
          </w:tcPr>
          <w:p>
            <w:pPr>
              <w:pStyle w:val="14"/>
            </w:pPr>
            <w:r>
              <w:t>113.00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40.00</w:t>
            </w:r>
          </w:p>
        </w:tc>
        <w:tc>
          <w:tcPr>
            <w:tcW w:w="2551" w:type="dxa"/>
            <w:vAlign w:val="center"/>
          </w:tcPr>
          <w:p>
            <w:pPr>
              <w:pStyle w:val="14"/>
            </w:pPr>
            <w:r>
              <w:t>40.00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60.00</w:t>
            </w:r>
          </w:p>
        </w:tc>
        <w:tc>
          <w:tcPr>
            <w:tcW w:w="2551" w:type="dxa"/>
            <w:vAlign w:val="center"/>
          </w:tcPr>
          <w:p>
            <w:pPr>
              <w:pStyle w:val="14"/>
            </w:pPr>
            <w:r>
              <w:t>60.00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20.00</w:t>
            </w:r>
          </w:p>
        </w:tc>
        <w:tc>
          <w:tcPr>
            <w:tcW w:w="2551" w:type="dxa"/>
            <w:vAlign w:val="center"/>
          </w:tcPr>
          <w:p>
            <w:pPr>
              <w:pStyle w:val="14"/>
            </w:pPr>
            <w:r>
              <w:t>20.00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18.00</w:t>
            </w:r>
          </w:p>
        </w:tc>
        <w:tc>
          <w:tcPr>
            <w:tcW w:w="2551" w:type="dxa"/>
            <w:vAlign w:val="center"/>
          </w:tcPr>
          <w:p>
            <w:pPr>
              <w:pStyle w:val="14"/>
            </w:pPr>
            <w:r>
              <w:t>18.00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3.27</w:t>
            </w:r>
          </w:p>
        </w:tc>
        <w:tc>
          <w:tcPr>
            <w:tcW w:w="2551" w:type="dxa"/>
            <w:vAlign w:val="center"/>
          </w:tcPr>
          <w:p>
            <w:pPr>
              <w:pStyle w:val="14"/>
            </w:pPr>
            <w:r>
              <w:t>3.27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48.00</w:t>
            </w:r>
          </w:p>
        </w:tc>
        <w:tc>
          <w:tcPr>
            <w:tcW w:w="2551" w:type="dxa"/>
            <w:vAlign w:val="center"/>
          </w:tcPr>
          <w:p>
            <w:pPr>
              <w:pStyle w:val="14"/>
            </w:pPr>
            <w:r>
              <w:t>48.00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55.05</w:t>
            </w:r>
          </w:p>
        </w:tc>
        <w:tc>
          <w:tcPr>
            <w:tcW w:w="2551" w:type="dxa"/>
            <w:vAlign w:val="center"/>
          </w:tcPr>
          <w:p>
            <w:pPr>
              <w:pStyle w:val="14"/>
            </w:pPr>
          </w:p>
        </w:tc>
        <w:tc>
          <w:tcPr>
            <w:tcW w:w="2551" w:type="dxa"/>
            <w:vAlign w:val="center"/>
          </w:tcPr>
          <w:p>
            <w:pPr>
              <w:pStyle w:val="14"/>
            </w:pPr>
            <w:r>
              <w:t>55.05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6.48</w:t>
            </w:r>
          </w:p>
        </w:tc>
        <w:tc>
          <w:tcPr>
            <w:tcW w:w="2551" w:type="dxa"/>
            <w:vAlign w:val="center"/>
          </w:tcPr>
          <w:p>
            <w:pPr>
              <w:pStyle w:val="14"/>
            </w:pPr>
          </w:p>
        </w:tc>
        <w:tc>
          <w:tcPr>
            <w:tcW w:w="2551" w:type="dxa"/>
            <w:vAlign w:val="center"/>
          </w:tcPr>
          <w:p>
            <w:pPr>
              <w:pStyle w:val="14"/>
            </w:pPr>
            <w:r>
              <w:t>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14.00</w:t>
            </w:r>
          </w:p>
        </w:tc>
        <w:tc>
          <w:tcPr>
            <w:tcW w:w="2551" w:type="dxa"/>
            <w:vAlign w:val="center"/>
          </w:tcPr>
          <w:p>
            <w:pPr>
              <w:pStyle w:val="14"/>
            </w:pPr>
          </w:p>
        </w:tc>
        <w:tc>
          <w:tcPr>
            <w:tcW w:w="2551" w:type="dxa"/>
            <w:vAlign w:val="center"/>
          </w:tcPr>
          <w:p>
            <w:pPr>
              <w:pStyle w:val="14"/>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3.35</w:t>
            </w:r>
          </w:p>
        </w:tc>
        <w:tc>
          <w:tcPr>
            <w:tcW w:w="2551" w:type="dxa"/>
            <w:vAlign w:val="center"/>
          </w:tcPr>
          <w:p>
            <w:pPr>
              <w:pStyle w:val="14"/>
            </w:pPr>
          </w:p>
        </w:tc>
        <w:tc>
          <w:tcPr>
            <w:tcW w:w="2551" w:type="dxa"/>
            <w:vAlign w:val="center"/>
          </w:tcPr>
          <w:p>
            <w:pPr>
              <w:pStyle w:val="14"/>
            </w:pPr>
            <w:r>
              <w:t>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5.03</w:t>
            </w:r>
          </w:p>
        </w:tc>
        <w:tc>
          <w:tcPr>
            <w:tcW w:w="2551" w:type="dxa"/>
            <w:vAlign w:val="center"/>
          </w:tcPr>
          <w:p>
            <w:pPr>
              <w:pStyle w:val="14"/>
            </w:pPr>
          </w:p>
        </w:tc>
        <w:tc>
          <w:tcPr>
            <w:tcW w:w="2551" w:type="dxa"/>
            <w:vAlign w:val="center"/>
          </w:tcPr>
          <w:p>
            <w:pPr>
              <w:pStyle w:val="14"/>
            </w:pPr>
            <w:r>
              <w:t>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6.00</w:t>
            </w:r>
          </w:p>
        </w:tc>
        <w:tc>
          <w:tcPr>
            <w:tcW w:w="2551" w:type="dxa"/>
            <w:vAlign w:val="center"/>
          </w:tcPr>
          <w:p>
            <w:pPr>
              <w:pStyle w:val="14"/>
            </w:pPr>
          </w:p>
        </w:tc>
        <w:tc>
          <w:tcPr>
            <w:tcW w:w="2551" w:type="dxa"/>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20.00</w:t>
            </w:r>
          </w:p>
        </w:tc>
        <w:tc>
          <w:tcPr>
            <w:tcW w:w="2551" w:type="dxa"/>
            <w:vAlign w:val="center"/>
          </w:tcPr>
          <w:p>
            <w:pPr>
              <w:pStyle w:val="14"/>
            </w:pPr>
          </w:p>
        </w:tc>
        <w:tc>
          <w:tcPr>
            <w:tcW w:w="2551" w:type="dxa"/>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0.19</w:t>
            </w:r>
          </w:p>
        </w:tc>
        <w:tc>
          <w:tcPr>
            <w:tcW w:w="2551" w:type="dxa"/>
            <w:vAlign w:val="center"/>
          </w:tcPr>
          <w:p>
            <w:pPr>
              <w:pStyle w:val="14"/>
            </w:pPr>
          </w:p>
        </w:tc>
        <w:tc>
          <w:tcPr>
            <w:tcW w:w="2551" w:type="dxa"/>
            <w:vAlign w:val="center"/>
          </w:tcPr>
          <w:p>
            <w:pPr>
              <w:pStyle w:val="14"/>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28.08</w:t>
            </w:r>
          </w:p>
        </w:tc>
        <w:tc>
          <w:tcPr>
            <w:tcW w:w="2551" w:type="dxa"/>
            <w:vAlign w:val="center"/>
          </w:tcPr>
          <w:p>
            <w:pPr>
              <w:pStyle w:val="14"/>
            </w:pPr>
            <w:r>
              <w:t>28.08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27.00</w:t>
            </w:r>
          </w:p>
        </w:tc>
        <w:tc>
          <w:tcPr>
            <w:tcW w:w="2551" w:type="dxa"/>
            <w:vAlign w:val="center"/>
          </w:tcPr>
          <w:p>
            <w:pPr>
              <w:pStyle w:val="14"/>
            </w:pPr>
            <w:r>
              <w:t>27.00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1.00</w:t>
            </w:r>
          </w:p>
        </w:tc>
        <w:tc>
          <w:tcPr>
            <w:tcW w:w="2551" w:type="dxa"/>
            <w:vAlign w:val="center"/>
          </w:tcPr>
          <w:p>
            <w:pPr>
              <w:pStyle w:val="14"/>
            </w:pPr>
            <w:r>
              <w:t>1.00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0.08</w:t>
            </w:r>
          </w:p>
        </w:tc>
        <w:tc>
          <w:tcPr>
            <w:tcW w:w="2551" w:type="dxa"/>
            <w:vAlign w:val="center"/>
          </w:tcPr>
          <w:p>
            <w:pPr>
              <w:pStyle w:val="14"/>
            </w:pPr>
            <w:r>
              <w:t>0.08</w:t>
            </w:r>
          </w:p>
        </w:tc>
        <w:tc>
          <w:tcPr>
            <w:tcW w:w="2551" w:type="dxa"/>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6" w:name="_Toc_2_2_0000000007"/>
      <w:r>
        <w:rPr>
          <w:rFonts w:asci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216中国共产党保定市莲池区委政法委员会</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216中国共产党保定市莲池区委政法委员会</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216中国共产党保定市莲池区委政法委员会</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6"/>
              <w:kinsoku w:val="0"/>
              <w:overflowPunct w:val="0"/>
              <w:spacing w:before="74"/>
              <w:ind w:left="11"/>
              <w:jc w:val="center"/>
              <w:rPr>
                <w:rFonts w:ascii="宋体" w:hAnsi="宋体" w:eastAsia="宋体" w:cs="宋体"/>
                <w:sz w:val="21"/>
                <w:szCs w:val="21"/>
              </w:rPr>
            </w:pPr>
            <w:r>
              <w:rPr>
                <w:rFonts w:hint="eastAsia" w:ascii="宋体" w:hAnsi="宋体" w:eastAsia="宋体" w:cs="宋体"/>
                <w:sz w:val="21"/>
                <w:szCs w:val="21"/>
              </w:rPr>
              <w:t>1</w:t>
            </w:r>
          </w:p>
        </w:tc>
        <w:tc>
          <w:tcPr>
            <w:tcW w:w="3798" w:type="dxa"/>
          </w:tcPr>
          <w:p>
            <w:pPr>
              <w:pStyle w:val="36"/>
              <w:kinsoku w:val="0"/>
              <w:overflowPunct w:val="0"/>
              <w:spacing w:before="70"/>
              <w:ind w:left="15"/>
              <w:jc w:val="center"/>
              <w:rPr>
                <w:rFonts w:ascii="宋体" w:hAnsi="宋体" w:eastAsia="宋体" w:cs="宋体"/>
                <w:b/>
                <w:bCs/>
                <w:sz w:val="21"/>
                <w:szCs w:val="21"/>
              </w:rPr>
            </w:pPr>
            <w:r>
              <w:rPr>
                <w:rFonts w:hint="eastAsia" w:ascii="宋体" w:hAnsi="宋体" w:eastAsia="宋体" w:cs="宋体"/>
                <w:b/>
                <w:bCs/>
                <w:sz w:val="21"/>
                <w:szCs w:val="21"/>
              </w:rPr>
              <w:t>合计</w:t>
            </w:r>
          </w:p>
        </w:tc>
        <w:tc>
          <w:tcPr>
            <w:tcW w:w="2382" w:type="dxa"/>
          </w:tcPr>
          <w:p>
            <w:pPr>
              <w:pStyle w:val="36"/>
              <w:kinsoku w:val="0"/>
              <w:overflowPunct w:val="0"/>
              <w:spacing w:before="70"/>
              <w:ind w:right="90"/>
              <w:jc w:val="right"/>
              <w:rPr>
                <w:rFonts w:ascii="宋体" w:hAnsi="宋体" w:eastAsia="宋体" w:cs="宋体"/>
                <w:b/>
                <w:bCs/>
                <w:sz w:val="21"/>
                <w:szCs w:val="21"/>
                <w:lang w:eastAsia="zh-CN"/>
              </w:rPr>
            </w:pPr>
            <w:r>
              <w:rPr>
                <w:rFonts w:hint="eastAsia" w:ascii="宋体" w:hAnsi="宋体" w:eastAsia="宋体" w:cs="宋体"/>
                <w:b/>
                <w:bCs/>
                <w:sz w:val="21"/>
                <w:szCs w:val="21"/>
              </w:rPr>
              <w:t>6</w:t>
            </w:r>
            <w:r>
              <w:rPr>
                <w:rFonts w:hint="eastAsia" w:ascii="宋体" w:hAnsi="宋体" w:eastAsia="宋体" w:cs="宋体"/>
                <w:b/>
                <w:bCs/>
                <w:sz w:val="21"/>
                <w:szCs w:val="21"/>
                <w:lang w:eastAsia="zh-CN"/>
              </w:rPr>
              <w:t>.00</w:t>
            </w:r>
          </w:p>
        </w:tc>
        <w:tc>
          <w:tcPr>
            <w:tcW w:w="2381" w:type="dxa"/>
          </w:tcPr>
          <w:p>
            <w:pPr>
              <w:pStyle w:val="36"/>
              <w:kinsoku w:val="0"/>
              <w:overflowPunct w:val="0"/>
              <w:spacing w:before="70"/>
              <w:ind w:right="91"/>
              <w:jc w:val="right"/>
              <w:rPr>
                <w:rFonts w:ascii="宋体" w:hAnsi="宋体" w:eastAsia="宋体" w:cs="宋体"/>
                <w:b/>
                <w:bCs/>
                <w:sz w:val="21"/>
                <w:szCs w:val="21"/>
                <w:lang w:eastAsia="zh-CN"/>
              </w:rPr>
            </w:pPr>
            <w:r>
              <w:rPr>
                <w:rFonts w:hint="eastAsia" w:ascii="宋体" w:hAnsi="宋体" w:eastAsia="宋体" w:cs="宋体"/>
                <w:b/>
                <w:bCs/>
                <w:sz w:val="21"/>
                <w:szCs w:val="21"/>
              </w:rPr>
              <w:t>6</w:t>
            </w:r>
            <w:r>
              <w:rPr>
                <w:rFonts w:hint="eastAsia" w:ascii="宋体" w:hAnsi="宋体" w:eastAsia="宋体" w:cs="宋体"/>
                <w:b/>
                <w:bCs/>
                <w:sz w:val="21"/>
                <w:szCs w:val="21"/>
                <w:lang w:eastAsia="zh-CN"/>
              </w:rPr>
              <w:t>.00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6"/>
              <w:kinsoku w:val="0"/>
              <w:overflowPunct w:val="0"/>
              <w:spacing w:before="74"/>
              <w:ind w:left="11"/>
              <w:jc w:val="center"/>
              <w:rPr>
                <w:rFonts w:ascii="宋体" w:hAnsi="宋体" w:eastAsia="宋体" w:cs="宋体"/>
                <w:sz w:val="21"/>
                <w:szCs w:val="21"/>
              </w:rPr>
            </w:pPr>
            <w:r>
              <w:rPr>
                <w:rFonts w:hint="eastAsia" w:ascii="宋体" w:hAnsi="宋体" w:eastAsia="宋体" w:cs="宋体"/>
                <w:sz w:val="21"/>
                <w:szCs w:val="21"/>
              </w:rPr>
              <w:t>2</w:t>
            </w:r>
          </w:p>
        </w:tc>
        <w:tc>
          <w:tcPr>
            <w:tcW w:w="3798" w:type="dxa"/>
          </w:tcPr>
          <w:p>
            <w:pPr>
              <w:pStyle w:val="36"/>
              <w:kinsoku w:val="0"/>
              <w:overflowPunct w:val="0"/>
              <w:spacing w:before="74"/>
              <w:ind w:left="108"/>
              <w:rPr>
                <w:rFonts w:ascii="宋体" w:hAnsi="宋体" w:eastAsia="宋体" w:cs="宋体"/>
                <w:sz w:val="21"/>
                <w:szCs w:val="21"/>
              </w:rPr>
            </w:pPr>
            <w:r>
              <w:rPr>
                <w:rFonts w:hint="eastAsia" w:ascii="宋体" w:hAnsi="宋体" w:eastAsia="宋体" w:cs="宋体"/>
                <w:sz w:val="21"/>
                <w:szCs w:val="21"/>
              </w:rPr>
              <w:t>一、因公出国（境）费</w:t>
            </w:r>
          </w:p>
        </w:tc>
        <w:tc>
          <w:tcPr>
            <w:tcW w:w="2382" w:type="dxa"/>
          </w:tcPr>
          <w:p>
            <w:pPr>
              <w:pStyle w:val="36"/>
              <w:kinsoku w:val="0"/>
              <w:overflowPunct w:val="0"/>
              <w:rPr>
                <w:rFonts w:ascii="宋体" w:hAnsi="宋体" w:eastAsia="宋体" w:cs="宋体"/>
                <w:sz w:val="21"/>
                <w:szCs w:val="21"/>
              </w:rPr>
            </w:pPr>
          </w:p>
        </w:tc>
        <w:tc>
          <w:tcPr>
            <w:tcW w:w="2381" w:type="dxa"/>
          </w:tcPr>
          <w:p>
            <w:pPr>
              <w:pStyle w:val="36"/>
              <w:kinsoku w:val="0"/>
              <w:overflowPunct w:val="0"/>
              <w:rPr>
                <w:rFonts w:ascii="宋体" w:hAnsi="宋体" w:eastAsia="宋体" w:cs="宋体"/>
                <w:sz w:val="21"/>
                <w:szCs w:val="21"/>
              </w:rPr>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6"/>
              <w:kinsoku w:val="0"/>
              <w:overflowPunct w:val="0"/>
              <w:spacing w:before="74"/>
              <w:ind w:left="11"/>
              <w:jc w:val="center"/>
              <w:rPr>
                <w:rFonts w:ascii="宋体" w:hAnsi="宋体" w:eastAsia="宋体" w:cs="宋体"/>
                <w:sz w:val="21"/>
                <w:szCs w:val="21"/>
              </w:rPr>
            </w:pPr>
            <w:r>
              <w:rPr>
                <w:rFonts w:hint="eastAsia" w:ascii="宋体" w:hAnsi="宋体" w:eastAsia="宋体" w:cs="宋体"/>
                <w:sz w:val="21"/>
                <w:szCs w:val="21"/>
              </w:rPr>
              <w:t>3</w:t>
            </w:r>
          </w:p>
        </w:tc>
        <w:tc>
          <w:tcPr>
            <w:tcW w:w="3798" w:type="dxa"/>
          </w:tcPr>
          <w:p>
            <w:pPr>
              <w:pStyle w:val="36"/>
              <w:kinsoku w:val="0"/>
              <w:overflowPunct w:val="0"/>
              <w:spacing w:before="74"/>
              <w:ind w:left="108"/>
              <w:rPr>
                <w:rFonts w:ascii="宋体" w:hAnsi="宋体" w:eastAsia="宋体" w:cs="宋体"/>
                <w:sz w:val="21"/>
                <w:szCs w:val="21"/>
              </w:rPr>
            </w:pPr>
            <w:r>
              <w:rPr>
                <w:rFonts w:hint="eastAsia" w:ascii="宋体" w:hAnsi="宋体" w:eastAsia="宋体" w:cs="宋体"/>
                <w:sz w:val="21"/>
                <w:szCs w:val="21"/>
              </w:rPr>
              <w:t>二、公务用车购置及运维费</w:t>
            </w:r>
          </w:p>
        </w:tc>
        <w:tc>
          <w:tcPr>
            <w:tcW w:w="2382" w:type="dxa"/>
          </w:tcPr>
          <w:p>
            <w:pPr>
              <w:pStyle w:val="36"/>
              <w:kinsoku w:val="0"/>
              <w:overflowPunct w:val="0"/>
              <w:spacing w:before="74"/>
              <w:ind w:right="90"/>
              <w:jc w:val="right"/>
              <w:rPr>
                <w:rFonts w:ascii="宋体" w:hAnsi="宋体" w:eastAsia="宋体" w:cs="宋体"/>
                <w:sz w:val="21"/>
                <w:szCs w:val="21"/>
                <w:lang w:eastAsia="zh-CN"/>
              </w:rPr>
            </w:pPr>
            <w:r>
              <w:rPr>
                <w:rFonts w:hint="eastAsia" w:ascii="宋体" w:hAnsi="宋体" w:eastAsia="宋体" w:cs="宋体"/>
                <w:sz w:val="21"/>
                <w:szCs w:val="21"/>
              </w:rPr>
              <w:t>6</w:t>
            </w:r>
            <w:r>
              <w:rPr>
                <w:rFonts w:hint="eastAsia" w:ascii="宋体" w:hAnsi="宋体" w:eastAsia="宋体" w:cs="宋体"/>
                <w:sz w:val="21"/>
                <w:szCs w:val="21"/>
                <w:lang w:eastAsia="zh-CN"/>
              </w:rPr>
              <w:t>.00</w:t>
            </w:r>
          </w:p>
        </w:tc>
        <w:tc>
          <w:tcPr>
            <w:tcW w:w="2381" w:type="dxa"/>
          </w:tcPr>
          <w:p>
            <w:pPr>
              <w:pStyle w:val="36"/>
              <w:kinsoku w:val="0"/>
              <w:overflowPunct w:val="0"/>
              <w:spacing w:before="74"/>
              <w:ind w:right="92"/>
              <w:jc w:val="right"/>
              <w:rPr>
                <w:rFonts w:ascii="宋体" w:hAnsi="宋体" w:eastAsia="宋体" w:cs="宋体"/>
                <w:sz w:val="21"/>
                <w:szCs w:val="21"/>
                <w:lang w:eastAsia="zh-CN"/>
              </w:rPr>
            </w:pPr>
            <w:r>
              <w:rPr>
                <w:rFonts w:hint="eastAsia" w:ascii="宋体" w:hAnsi="宋体" w:eastAsia="宋体" w:cs="宋体"/>
                <w:sz w:val="21"/>
                <w:szCs w:val="21"/>
              </w:rPr>
              <w:t>6</w:t>
            </w:r>
            <w:r>
              <w:rPr>
                <w:rFonts w:hint="eastAsia" w:ascii="宋体" w:hAnsi="宋体" w:eastAsia="宋体" w:cs="宋体"/>
                <w:sz w:val="21"/>
                <w:szCs w:val="21"/>
                <w:lang w:eastAsia="zh-CN"/>
              </w:rPr>
              <w:t>.00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6"/>
              <w:kinsoku w:val="0"/>
              <w:overflowPunct w:val="0"/>
              <w:spacing w:before="75"/>
              <w:ind w:left="11"/>
              <w:jc w:val="center"/>
              <w:rPr>
                <w:rFonts w:ascii="宋体" w:hAnsi="宋体" w:eastAsia="宋体" w:cs="宋体"/>
                <w:sz w:val="21"/>
                <w:szCs w:val="21"/>
              </w:rPr>
            </w:pPr>
            <w:r>
              <w:rPr>
                <w:rFonts w:hint="eastAsia" w:ascii="宋体" w:hAnsi="宋体" w:eastAsia="宋体" w:cs="宋体"/>
                <w:sz w:val="21"/>
                <w:szCs w:val="21"/>
              </w:rPr>
              <w:t>4</w:t>
            </w:r>
          </w:p>
        </w:tc>
        <w:tc>
          <w:tcPr>
            <w:tcW w:w="3798" w:type="dxa"/>
          </w:tcPr>
          <w:p>
            <w:pPr>
              <w:pStyle w:val="36"/>
              <w:kinsoku w:val="0"/>
              <w:overflowPunct w:val="0"/>
              <w:spacing w:before="75"/>
              <w:ind w:left="530"/>
              <w:rPr>
                <w:rFonts w:ascii="宋体" w:hAnsi="宋体" w:eastAsia="宋体" w:cs="宋体"/>
                <w:sz w:val="21"/>
                <w:szCs w:val="21"/>
              </w:rPr>
            </w:pPr>
            <w:r>
              <w:rPr>
                <w:rFonts w:hint="eastAsia" w:ascii="宋体" w:hAnsi="宋体" w:eastAsia="宋体" w:cs="宋体"/>
                <w:sz w:val="21"/>
                <w:szCs w:val="21"/>
              </w:rPr>
              <w:t>其中：公务用车购置费</w:t>
            </w:r>
          </w:p>
        </w:tc>
        <w:tc>
          <w:tcPr>
            <w:tcW w:w="2382" w:type="dxa"/>
          </w:tcPr>
          <w:p>
            <w:pPr>
              <w:pStyle w:val="36"/>
              <w:kinsoku w:val="0"/>
              <w:overflowPunct w:val="0"/>
              <w:rPr>
                <w:rFonts w:ascii="宋体" w:hAnsi="宋体" w:eastAsia="宋体" w:cs="宋体"/>
                <w:sz w:val="21"/>
                <w:szCs w:val="21"/>
              </w:rPr>
            </w:pPr>
          </w:p>
        </w:tc>
        <w:tc>
          <w:tcPr>
            <w:tcW w:w="2381" w:type="dxa"/>
          </w:tcPr>
          <w:p>
            <w:pPr>
              <w:pStyle w:val="36"/>
              <w:kinsoku w:val="0"/>
              <w:overflowPunct w:val="0"/>
              <w:rPr>
                <w:rFonts w:ascii="宋体" w:hAnsi="宋体" w:eastAsia="宋体" w:cs="宋体"/>
                <w:sz w:val="21"/>
                <w:szCs w:val="21"/>
              </w:rPr>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6"/>
              <w:kinsoku w:val="0"/>
              <w:overflowPunct w:val="0"/>
              <w:spacing w:before="74"/>
              <w:ind w:left="11"/>
              <w:jc w:val="center"/>
              <w:rPr>
                <w:rFonts w:ascii="宋体" w:hAnsi="宋体" w:eastAsia="宋体" w:cs="宋体"/>
                <w:sz w:val="21"/>
                <w:szCs w:val="21"/>
              </w:rPr>
            </w:pPr>
            <w:r>
              <w:rPr>
                <w:rFonts w:hint="eastAsia" w:ascii="宋体" w:hAnsi="宋体" w:eastAsia="宋体" w:cs="宋体"/>
                <w:sz w:val="21"/>
                <w:szCs w:val="21"/>
              </w:rPr>
              <w:t>5</w:t>
            </w:r>
          </w:p>
        </w:tc>
        <w:tc>
          <w:tcPr>
            <w:tcW w:w="3798" w:type="dxa"/>
          </w:tcPr>
          <w:p>
            <w:pPr>
              <w:pStyle w:val="36"/>
              <w:kinsoku w:val="0"/>
              <w:overflowPunct w:val="0"/>
              <w:spacing w:before="74"/>
              <w:ind w:left="1159"/>
              <w:rPr>
                <w:rFonts w:ascii="宋体" w:hAnsi="宋体" w:eastAsia="宋体" w:cs="宋体"/>
                <w:sz w:val="21"/>
                <w:szCs w:val="21"/>
              </w:rPr>
            </w:pPr>
            <w:r>
              <w:rPr>
                <w:rFonts w:hint="eastAsia" w:ascii="宋体" w:hAnsi="宋体" w:eastAsia="宋体" w:cs="宋体"/>
                <w:sz w:val="21"/>
                <w:szCs w:val="21"/>
              </w:rPr>
              <w:t>公务用车运行维护费</w:t>
            </w:r>
          </w:p>
        </w:tc>
        <w:tc>
          <w:tcPr>
            <w:tcW w:w="2382" w:type="dxa"/>
          </w:tcPr>
          <w:p>
            <w:pPr>
              <w:pStyle w:val="36"/>
              <w:kinsoku w:val="0"/>
              <w:overflowPunct w:val="0"/>
              <w:spacing w:before="74"/>
              <w:ind w:right="90"/>
              <w:jc w:val="right"/>
              <w:rPr>
                <w:rFonts w:ascii="宋体" w:hAnsi="宋体" w:eastAsia="宋体" w:cs="宋体"/>
                <w:sz w:val="21"/>
                <w:szCs w:val="21"/>
                <w:lang w:eastAsia="zh-CN"/>
              </w:rPr>
            </w:pPr>
            <w:r>
              <w:rPr>
                <w:rFonts w:hint="eastAsia" w:ascii="宋体" w:hAnsi="宋体" w:eastAsia="宋体" w:cs="宋体"/>
                <w:sz w:val="21"/>
                <w:szCs w:val="21"/>
              </w:rPr>
              <w:t>6</w:t>
            </w:r>
            <w:r>
              <w:rPr>
                <w:rFonts w:hint="eastAsia" w:ascii="宋体" w:hAnsi="宋体" w:eastAsia="宋体" w:cs="宋体"/>
                <w:sz w:val="21"/>
                <w:szCs w:val="21"/>
                <w:lang w:eastAsia="zh-CN"/>
              </w:rPr>
              <w:t>.00</w:t>
            </w:r>
          </w:p>
        </w:tc>
        <w:tc>
          <w:tcPr>
            <w:tcW w:w="2381" w:type="dxa"/>
          </w:tcPr>
          <w:p>
            <w:pPr>
              <w:pStyle w:val="36"/>
              <w:kinsoku w:val="0"/>
              <w:overflowPunct w:val="0"/>
              <w:spacing w:before="74"/>
              <w:ind w:right="92"/>
              <w:jc w:val="right"/>
              <w:rPr>
                <w:rFonts w:ascii="宋体" w:hAnsi="宋体" w:eastAsia="宋体" w:cs="宋体"/>
                <w:sz w:val="21"/>
                <w:szCs w:val="21"/>
                <w:lang w:eastAsia="zh-CN"/>
              </w:rPr>
            </w:pPr>
            <w:r>
              <w:rPr>
                <w:rFonts w:hint="eastAsia" w:ascii="宋体" w:hAnsi="宋体" w:eastAsia="宋体" w:cs="宋体"/>
                <w:sz w:val="21"/>
                <w:szCs w:val="21"/>
              </w:rPr>
              <w:t>6</w:t>
            </w:r>
            <w:r>
              <w:rPr>
                <w:rFonts w:hint="eastAsia" w:ascii="宋体" w:hAnsi="宋体" w:eastAsia="宋体" w:cs="宋体"/>
                <w:sz w:val="21"/>
                <w:szCs w:val="21"/>
                <w:lang w:eastAsia="zh-CN"/>
              </w:rPr>
              <w:t>.00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6"/>
              <w:kinsoku w:val="0"/>
              <w:overflowPunct w:val="0"/>
              <w:spacing w:before="74"/>
              <w:ind w:left="11"/>
              <w:jc w:val="center"/>
              <w:rPr>
                <w:rFonts w:ascii="宋体" w:hAnsi="宋体" w:eastAsia="宋体" w:cs="宋体"/>
                <w:sz w:val="21"/>
                <w:szCs w:val="21"/>
              </w:rPr>
            </w:pPr>
            <w:r>
              <w:rPr>
                <w:rFonts w:hint="eastAsia" w:ascii="宋体" w:hAnsi="宋体" w:eastAsia="宋体" w:cs="宋体"/>
                <w:sz w:val="21"/>
                <w:szCs w:val="21"/>
              </w:rPr>
              <w:t>6</w:t>
            </w:r>
          </w:p>
        </w:tc>
        <w:tc>
          <w:tcPr>
            <w:tcW w:w="3798" w:type="dxa"/>
          </w:tcPr>
          <w:p>
            <w:pPr>
              <w:pStyle w:val="36"/>
              <w:kinsoku w:val="0"/>
              <w:overflowPunct w:val="0"/>
              <w:spacing w:before="74"/>
              <w:ind w:left="108"/>
              <w:rPr>
                <w:rFonts w:ascii="宋体" w:hAnsi="宋体" w:eastAsia="宋体" w:cs="宋体"/>
                <w:sz w:val="21"/>
                <w:szCs w:val="21"/>
              </w:rPr>
            </w:pPr>
            <w:r>
              <w:rPr>
                <w:rFonts w:hint="eastAsia" w:ascii="宋体" w:hAnsi="宋体" w:eastAsia="宋体" w:cs="宋体"/>
                <w:sz w:val="21"/>
                <w:szCs w:val="21"/>
              </w:rPr>
              <w:t>三、公务接待费</w:t>
            </w:r>
          </w:p>
        </w:tc>
        <w:tc>
          <w:tcPr>
            <w:tcW w:w="2382" w:type="dxa"/>
          </w:tcPr>
          <w:p>
            <w:pPr>
              <w:pStyle w:val="36"/>
              <w:kinsoku w:val="0"/>
              <w:overflowPunct w:val="0"/>
              <w:spacing w:before="74"/>
              <w:ind w:right="89"/>
              <w:jc w:val="right"/>
              <w:rPr>
                <w:rFonts w:ascii="宋体" w:hAnsi="宋体" w:eastAsia="宋体" w:cs="宋体"/>
                <w:sz w:val="21"/>
                <w:szCs w:val="21"/>
              </w:rPr>
            </w:pPr>
          </w:p>
        </w:tc>
        <w:tc>
          <w:tcPr>
            <w:tcW w:w="2381" w:type="dxa"/>
          </w:tcPr>
          <w:p>
            <w:pPr>
              <w:pStyle w:val="36"/>
              <w:kinsoku w:val="0"/>
              <w:overflowPunct w:val="0"/>
              <w:spacing w:before="74"/>
              <w:ind w:right="90"/>
              <w:jc w:val="right"/>
              <w:rPr>
                <w:rFonts w:ascii="宋体" w:hAnsi="宋体" w:eastAsia="宋体" w:cs="宋体"/>
                <w:sz w:val="21"/>
                <w:szCs w:val="21"/>
              </w:rPr>
            </w:pPr>
          </w:p>
        </w:tc>
        <w:tc>
          <w:tcPr>
            <w:tcW w:w="2381" w:type="dxa"/>
            <w:vAlign w:val="center"/>
          </w:tcPr>
          <w:p>
            <w:pPr>
              <w:pStyle w:val="14"/>
            </w:pPr>
          </w:p>
        </w:tc>
        <w:tc>
          <w:tcPr>
            <w:tcW w:w="2381" w:type="dxa"/>
            <w:vAlign w:val="center"/>
          </w:tcPr>
          <w:p>
            <w:pPr>
              <w:pStyle w:val="14"/>
            </w:pPr>
          </w:p>
        </w:tc>
      </w:tr>
    </w:tbl>
    <w:p>
      <w:pPr>
        <w:ind w:firstLine="420"/>
      </w:pPr>
    </w:p>
    <w:p>
      <w:pPr>
        <w:jc w:val="center"/>
        <w:outlineLvl w:val="0"/>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FFFFFF"/>
          <w:sz w:val="21"/>
        </w:rPr>
        <w:t>第一部分  中国共产党保定市莲池区委政法委员会2024年部门预算信息公开情况说明</w:t>
      </w:r>
    </w:p>
    <w:p>
      <w:pPr>
        <w:jc w:val="center"/>
      </w:pPr>
      <w:r>
        <w:rPr>
          <w:rFonts w:ascii="方正小标宋_GBK" w:eastAsia="方正小标宋_GBK" w:cs="方正小标宋_GBK"/>
          <w:color w:val="000000"/>
          <w:sz w:val="44"/>
        </w:rPr>
        <w:t>中国共产党保定市莲池区委政法委员会2024年部门预算信息公开情况说明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按照《中华人民共和国预算法》、《地方预决算公开操作规程》和《关于进一步推进预算公开工作的实施意见》规定，现将中国共产党保定市莲池区委政法委员会2024年部门预算公开如下：</w:t>
      </w:r>
    </w:p>
    <w:p>
      <w:pPr>
        <w:spacing w:before="10" w:after="10" w:line="360" w:lineRule="auto"/>
        <w:ind w:firstLine="640"/>
        <w:outlineLvl w:val="2"/>
      </w:pPr>
      <w:bookmarkStart w:id="9" w:name="_Toc_3_3_0000000010"/>
      <w:r>
        <w:rPr>
          <w:rFonts w:ascii="黑体" w:eastAsia="黑体" w:cs="黑体"/>
          <w:color w:val="000000"/>
          <w:sz w:val="32"/>
        </w:rPr>
        <w:t>一、部门职责及机构设置情况</w:t>
      </w:r>
      <w:bookmarkEnd w:id="9"/>
    </w:p>
    <w:p>
      <w:pPr>
        <w:ind w:firstLine="640"/>
      </w:pPr>
      <w:r>
        <w:rPr>
          <w:rFonts w:ascii="方正楷体_GBK" w:eastAsia="方正楷体_GBK" w:cs="方正楷体_GBK"/>
          <w:b/>
          <w:color w:val="000000"/>
          <w:sz w:val="32"/>
        </w:rPr>
        <w:t>部门职责：</w:t>
      </w:r>
    </w:p>
    <w:p>
      <w:pPr>
        <w:pStyle w:val="37"/>
      </w:pPr>
      <w:r>
        <w:t>根据《中国共产党保定市莲池区委政法委员会职能配置、内设机构和人员编制规定》，中国共产党保定市莲池区委政法委员会的主要职责是：</w:t>
      </w:r>
    </w:p>
    <w:p>
      <w:pPr>
        <w:pStyle w:val="37"/>
      </w:pPr>
      <w:r>
        <w:t>（一）深入贯彻习近平新时代中国特色社会主义思想，坚持党对政法工作的绝对领导，坚决维护党中央权威和集中统一领导，坚决执行党的路线方针政策和党中央重大决策部署，推动完善和落实政治轮训和政治督察制度。</w:t>
      </w:r>
    </w:p>
    <w:p>
      <w:pPr>
        <w:pStyle w:val="37"/>
      </w:pPr>
      <w:r>
        <w:t>（二）贯彻党中央、省、市、区委决定，研究协调全区政法单位之间、政法单位和区直部门、乡镇（街道）之间有关重大事项，统一全区政法单位思想和行动，确保全区政法单位坚定正确的政治方向。</w:t>
      </w:r>
    </w:p>
    <w:p>
      <w:pPr>
        <w:pStyle w:val="37"/>
      </w:pPr>
      <w:r>
        <w:t>（三）对政法工作研究提出全局性部署，推进平安莲池、法治莲池建设，加强过硬队伍建设，深化智能化建设，坚决维护国家政治安全、确保社会大局稳定、促进社会公平正义、保障人民安居乐业。</w:t>
      </w:r>
    </w:p>
    <w:p>
      <w:pPr>
        <w:pStyle w:val="37"/>
      </w:pPr>
      <w:r>
        <w:t>（四）了解掌握和分析研判社会稳定形势、政法工作情况动态，创新完善多部门参与的平安建设工作协调机制，协调推动预防、化解影响稳定的社会矛盾和风险，协调应对和妥善处置重大突发事件，协调指导全区政法单位和相关部门做好反邪教、反暴恐工作。</w:t>
      </w:r>
    </w:p>
    <w:p>
      <w:pPr>
        <w:pStyle w:val="37"/>
      </w:pPr>
      <w:r>
        <w:t>（五）加强对全区政法工作的督查，统筹协调社会治安综合治理、维护社会稳定、反邪教、反暴恐等有关国家法律法规和政策的实施工作。</w:t>
      </w:r>
    </w:p>
    <w:p>
      <w:pPr>
        <w:pStyle w:val="37"/>
      </w:pPr>
      <w:r>
        <w:t>（六）支持和监督区政法单位依法行使职权，检查区政法单位执行党的路线方针政策、党中央重大决策部署和国家法律法规的情况，指导和协调区政法单位密切配合，完善与区纪委监委工作衔接和协作配合机制，推进严格执法、公正司法。</w:t>
      </w:r>
    </w:p>
    <w:p>
      <w:pPr>
        <w:pStyle w:val="37"/>
      </w:pPr>
      <w:r>
        <w:t>（七）组织开展政法领域的调查研究，研究拟订政法工作的重大措施，及时向区委提出建议。组织研究政法改革中带有方向性、倾向性和普遍性的重大问题，提出改革措施的意见和建议，协助区委统筹推进政法改革各项工作落实。</w:t>
      </w:r>
    </w:p>
    <w:p>
      <w:pPr>
        <w:pStyle w:val="37"/>
      </w:pPr>
      <w:r>
        <w:t>（八）指导和推动区政法单位党的建设和政法队伍建设，协调和指导全区见义勇为工作，协助区委及区委组织部加强区政法单位领导班子和干部队伍建设，协助区委和区纪委监委做好监督检查、审查调查工作，派员列席区政法单位党组（党委）民主生活会。</w:t>
      </w:r>
    </w:p>
    <w:p>
      <w:pPr>
        <w:pStyle w:val="37"/>
      </w:pPr>
      <w:r>
        <w:t>（九）落实中央和省、市、区国家安全领导机构、全面依法治国（省、市、区）领导机构的决策部署，支持配合其办事机构工作；指导区政法单位加强国家政治安全战略研究、法治莲池建设重大问题研究，提出建议和工作意见，指导和协调区政法单位维护政治安全工作和执法司法相关工作。</w:t>
      </w:r>
    </w:p>
    <w:p>
      <w:pPr>
        <w:pStyle w:val="37"/>
      </w:pPr>
      <w:r>
        <w:t>（十）掌握分析政法舆情动态，指导和协调区政法单位和有关区直部门做好依法办理、宣传报道和舆论引导等相关工作。统筹推动全区政法系统信息化工作，指导政法智能化建设。</w:t>
      </w:r>
    </w:p>
    <w:p>
      <w:pPr>
        <w:pStyle w:val="20"/>
        <w:rPr>
          <w:rFonts w:eastAsiaTheme="minorEastAsia"/>
          <w:lang w:eastAsia="zh-CN"/>
        </w:rPr>
      </w:pPr>
      <w:r>
        <w:t>（十一）完成区委和上级党委政法委员会交办的其他任务。</w:t>
      </w:r>
    </w:p>
    <w:p>
      <w:pPr>
        <w:pStyle w:val="20"/>
        <w:rPr>
          <w:rFonts w:eastAsiaTheme="minorEastAsia"/>
          <w:lang w:eastAsia="zh-CN"/>
        </w:rPr>
      </w:pPr>
    </w:p>
    <w:p>
      <w:pPr>
        <w:pStyle w:val="20"/>
        <w:rPr>
          <w:rFonts w:eastAsiaTheme="minorEastAsia"/>
          <w:lang w:eastAsia="zh-CN"/>
        </w:rPr>
      </w:pPr>
    </w:p>
    <w:p>
      <w:pPr>
        <w:ind w:firstLine="640"/>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中国共产党保定市莲池区委政法委员会本级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outlineLvl w:val="2"/>
      </w:pPr>
      <w:bookmarkStart w:id="10" w:name="_Toc_3_3_0000000011"/>
      <w:r>
        <w:rPr>
          <w:rFonts w:ascii="黑体" w:eastAsia="黑体" w:cs="黑体"/>
          <w:color w:val="000000"/>
          <w:sz w:val="32"/>
        </w:rPr>
        <w:t>二、部门预算安排的总体情况</w:t>
      </w:r>
      <w:bookmarkEnd w:id="10"/>
    </w:p>
    <w:p>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按照预算管理有关规定，目前我省部门预算的编制实行综合预算管理，即全部收入和支出都反映在预算中。中国共产党保定市莲池区委政法委员会机关及所属事业单位的收支包含在部门预算中。</w:t>
      </w:r>
    </w:p>
    <w:p>
      <w:pPr>
        <w:spacing w:line="500" w:lineRule="exact"/>
        <w:ind w:firstLine="560"/>
        <w:rPr>
          <w:rFonts w:eastAsia="方正仿宋_GBK"/>
          <w:color w:val="000000"/>
          <w:sz w:val="28"/>
        </w:rPr>
      </w:pPr>
      <w:r>
        <w:rPr>
          <w:rFonts w:hint="eastAsia" w:eastAsia="方正仿宋_GBK"/>
          <w:color w:val="000000"/>
          <w:sz w:val="28"/>
        </w:rPr>
        <w:t>1、收入说明</w:t>
      </w:r>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4</w:t>
      </w:r>
      <w:r>
        <w:rPr>
          <w:rFonts w:hint="eastAsia" w:eastAsia="方正仿宋_GBK"/>
          <w:color w:val="000000"/>
          <w:sz w:val="28"/>
        </w:rPr>
        <w:t>年保定市莲池区委政法委年初单位收入预算总额为</w:t>
      </w:r>
      <w:r>
        <w:rPr>
          <w:rFonts w:hint="eastAsia" w:eastAsia="方正仿宋_GBK"/>
          <w:color w:val="000000"/>
          <w:sz w:val="28"/>
          <w:lang w:eastAsia="zh-CN"/>
        </w:rPr>
        <w:t>862.71</w:t>
      </w:r>
      <w:r>
        <w:rPr>
          <w:rFonts w:hint="eastAsia" w:eastAsia="方正仿宋_GBK"/>
          <w:color w:val="000000"/>
          <w:sz w:val="28"/>
        </w:rPr>
        <w:t>万元。其中：人员经费预算为</w:t>
      </w:r>
      <w:r>
        <w:rPr>
          <w:rFonts w:hint="eastAsia" w:eastAsia="方正仿宋_GBK"/>
          <w:color w:val="000000"/>
          <w:sz w:val="28"/>
          <w:lang w:eastAsia="zh-CN"/>
        </w:rPr>
        <w:t>654.36</w:t>
      </w:r>
      <w:r>
        <w:rPr>
          <w:rFonts w:hint="eastAsia" w:eastAsia="方正仿宋_GBK"/>
          <w:color w:val="000000"/>
          <w:sz w:val="28"/>
        </w:rPr>
        <w:t>万元，正常公用经费预算为</w:t>
      </w:r>
      <w:r>
        <w:rPr>
          <w:rFonts w:hint="eastAsia" w:eastAsia="方正仿宋_GBK"/>
          <w:color w:val="000000"/>
          <w:sz w:val="28"/>
          <w:lang w:eastAsia="zh-CN"/>
        </w:rPr>
        <w:t>55.05</w:t>
      </w:r>
      <w:r>
        <w:rPr>
          <w:rFonts w:hint="eastAsia" w:eastAsia="方正仿宋_GBK"/>
          <w:color w:val="000000"/>
          <w:sz w:val="28"/>
        </w:rPr>
        <w:t>万元，专项项目、公用经费预算为</w:t>
      </w:r>
      <w:r>
        <w:rPr>
          <w:rFonts w:hint="eastAsia" w:eastAsia="方正仿宋_GBK"/>
          <w:color w:val="000000"/>
          <w:sz w:val="28"/>
          <w:lang w:eastAsia="zh-CN"/>
        </w:rPr>
        <w:t>153.3</w:t>
      </w:r>
      <w:r>
        <w:rPr>
          <w:rFonts w:hint="eastAsia" w:eastAsia="方正仿宋_GBK"/>
          <w:color w:val="000000"/>
          <w:sz w:val="28"/>
        </w:rPr>
        <w:t>万元。</w:t>
      </w:r>
    </w:p>
    <w:p>
      <w:pPr>
        <w:spacing w:line="500" w:lineRule="exact"/>
        <w:ind w:firstLine="560"/>
        <w:rPr>
          <w:rFonts w:eastAsia="方正仿宋_GBK"/>
          <w:color w:val="000000"/>
          <w:sz w:val="28"/>
        </w:rPr>
      </w:pPr>
      <w:r>
        <w:rPr>
          <w:rFonts w:hint="eastAsia" w:eastAsia="方正仿宋_GBK"/>
          <w:color w:val="000000"/>
          <w:sz w:val="28"/>
        </w:rPr>
        <w:t>2、支出说明</w:t>
      </w:r>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4</w:t>
      </w:r>
      <w:r>
        <w:rPr>
          <w:rFonts w:hint="eastAsia" w:eastAsia="方正仿宋_GBK"/>
          <w:color w:val="000000"/>
          <w:sz w:val="28"/>
        </w:rPr>
        <w:t>年单位支出安排预算总额</w:t>
      </w:r>
      <w:r>
        <w:rPr>
          <w:rFonts w:hint="eastAsia" w:eastAsia="方正仿宋_GBK"/>
          <w:color w:val="000000"/>
          <w:sz w:val="28"/>
          <w:lang w:eastAsia="zh-CN"/>
        </w:rPr>
        <w:t>862.71</w:t>
      </w:r>
      <w:r>
        <w:rPr>
          <w:rFonts w:hint="eastAsia" w:eastAsia="方正仿宋_GBK"/>
          <w:color w:val="000000"/>
          <w:sz w:val="28"/>
        </w:rPr>
        <w:t>万元。</w:t>
      </w:r>
    </w:p>
    <w:p>
      <w:pPr>
        <w:spacing w:line="500" w:lineRule="exact"/>
        <w:ind w:firstLine="560"/>
        <w:rPr>
          <w:rFonts w:eastAsia="方正仿宋_GBK"/>
          <w:color w:val="000000"/>
          <w:sz w:val="28"/>
        </w:rPr>
      </w:pPr>
      <w:r>
        <w:rPr>
          <w:rFonts w:hint="eastAsia" w:eastAsia="方正仿宋_GBK"/>
          <w:color w:val="000000"/>
          <w:sz w:val="28"/>
        </w:rPr>
        <w:t xml:space="preserve">基本支出  </w:t>
      </w:r>
      <w:r>
        <w:rPr>
          <w:rFonts w:hint="eastAsia" w:eastAsia="方正仿宋_GBK"/>
          <w:color w:val="000000"/>
          <w:sz w:val="28"/>
          <w:lang w:eastAsia="zh-CN"/>
        </w:rPr>
        <w:t>709.41</w:t>
      </w:r>
      <w:r>
        <w:rPr>
          <w:rFonts w:hint="eastAsia" w:eastAsia="方正仿宋_GBK"/>
          <w:color w:val="000000"/>
          <w:sz w:val="28"/>
        </w:rPr>
        <w:t>万元</w:t>
      </w:r>
    </w:p>
    <w:p>
      <w:pPr>
        <w:spacing w:line="500" w:lineRule="exact"/>
        <w:ind w:firstLine="560"/>
        <w:rPr>
          <w:rFonts w:eastAsia="方正仿宋_GBK"/>
          <w:color w:val="000000"/>
          <w:sz w:val="28"/>
        </w:rPr>
      </w:pPr>
      <w:r>
        <w:rPr>
          <w:rFonts w:hint="eastAsia" w:eastAsia="方正仿宋_GBK"/>
          <w:color w:val="000000"/>
          <w:sz w:val="28"/>
        </w:rPr>
        <w:t xml:space="preserve">   其中：人员经费 </w:t>
      </w:r>
      <w:r>
        <w:rPr>
          <w:rFonts w:hint="eastAsia" w:eastAsia="方正仿宋_GBK"/>
          <w:color w:val="000000"/>
          <w:sz w:val="28"/>
          <w:lang w:eastAsia="zh-CN"/>
        </w:rPr>
        <w:t>654</w:t>
      </w:r>
      <w:r>
        <w:rPr>
          <w:rFonts w:hint="eastAsia" w:eastAsia="方正仿宋_GBK"/>
          <w:color w:val="000000"/>
          <w:sz w:val="28"/>
        </w:rPr>
        <w:t>.36万元</w:t>
      </w:r>
    </w:p>
    <w:p>
      <w:pPr>
        <w:spacing w:line="500" w:lineRule="exact"/>
        <w:ind w:firstLine="560"/>
        <w:rPr>
          <w:rFonts w:eastAsia="方正仿宋_GBK"/>
          <w:color w:val="000000"/>
          <w:sz w:val="28"/>
        </w:rPr>
      </w:pPr>
      <w:r>
        <w:rPr>
          <w:rFonts w:hint="eastAsia" w:eastAsia="方正仿宋_GBK"/>
          <w:color w:val="000000"/>
          <w:sz w:val="28"/>
        </w:rPr>
        <w:t xml:space="preserve">         日常公用经费 </w:t>
      </w:r>
      <w:r>
        <w:rPr>
          <w:rFonts w:hint="eastAsia" w:eastAsia="方正仿宋_GBK"/>
          <w:color w:val="000000"/>
          <w:sz w:val="28"/>
          <w:lang w:eastAsia="zh-CN"/>
        </w:rPr>
        <w:t>55.05</w:t>
      </w:r>
      <w:r>
        <w:rPr>
          <w:rFonts w:hint="eastAsia" w:eastAsia="方正仿宋_GBK"/>
          <w:color w:val="000000"/>
          <w:sz w:val="28"/>
        </w:rPr>
        <w:t>万元</w:t>
      </w:r>
    </w:p>
    <w:p>
      <w:pPr>
        <w:spacing w:line="500" w:lineRule="exact"/>
        <w:ind w:firstLine="560"/>
        <w:rPr>
          <w:rFonts w:eastAsia="方正仿宋_GBK"/>
          <w:color w:val="000000"/>
          <w:sz w:val="28"/>
        </w:rPr>
      </w:pPr>
      <w:r>
        <w:rPr>
          <w:rFonts w:hint="eastAsia" w:eastAsia="方正仿宋_GBK"/>
          <w:color w:val="000000"/>
          <w:sz w:val="28"/>
        </w:rPr>
        <w:t xml:space="preserve">项目支出  </w:t>
      </w:r>
      <w:r>
        <w:rPr>
          <w:rFonts w:hint="eastAsia" w:eastAsia="方正仿宋_GBK"/>
          <w:color w:val="000000"/>
          <w:sz w:val="28"/>
          <w:lang w:eastAsia="zh-CN"/>
        </w:rPr>
        <w:t>153.3</w:t>
      </w:r>
      <w:r>
        <w:rPr>
          <w:rFonts w:hint="eastAsia" w:eastAsia="方正仿宋_GBK"/>
          <w:color w:val="000000"/>
          <w:sz w:val="28"/>
        </w:rPr>
        <w:t>万元</w:t>
      </w:r>
    </w:p>
    <w:p>
      <w:pPr>
        <w:spacing w:line="500" w:lineRule="exact"/>
        <w:ind w:firstLine="560"/>
        <w:rPr>
          <w:rFonts w:hint="eastAsia" w:eastAsia="方正仿宋_GBK"/>
          <w:color w:val="000000"/>
          <w:sz w:val="28"/>
          <w:lang w:val="en-US" w:eastAsia="zh-CN"/>
        </w:rPr>
      </w:pPr>
      <w:r>
        <w:rPr>
          <w:rFonts w:hint="eastAsia" w:eastAsia="方正仿宋_GBK"/>
          <w:color w:val="000000"/>
          <w:sz w:val="28"/>
        </w:rPr>
        <w:t xml:space="preserve">   其中：本级支出 </w:t>
      </w:r>
      <w:r>
        <w:rPr>
          <w:rFonts w:hint="eastAsia" w:eastAsia="方正仿宋_GBK"/>
          <w:color w:val="000000"/>
          <w:sz w:val="28"/>
          <w:lang w:eastAsia="zh-CN"/>
        </w:rPr>
        <w:t>153.3</w:t>
      </w:r>
      <w:r>
        <w:rPr>
          <w:rFonts w:hint="eastAsia" w:eastAsia="方正仿宋_GBK"/>
          <w:color w:val="000000"/>
          <w:sz w:val="28"/>
        </w:rPr>
        <w:t>万元</w:t>
      </w:r>
    </w:p>
    <w:p>
      <w:pPr>
        <w:spacing w:line="500" w:lineRule="exact"/>
        <w:ind w:firstLine="560"/>
        <w:rPr>
          <w:rFonts w:eastAsia="方正仿宋_GBK"/>
          <w:color w:val="000000"/>
          <w:sz w:val="28"/>
        </w:rPr>
      </w:pPr>
      <w:r>
        <w:rPr>
          <w:rFonts w:hint="eastAsia" w:eastAsia="方正仿宋_GBK"/>
          <w:color w:val="000000"/>
          <w:sz w:val="28"/>
        </w:rPr>
        <w:t>3、比上年增减情况</w:t>
      </w:r>
    </w:p>
    <w:p>
      <w:pPr>
        <w:spacing w:line="500" w:lineRule="exact"/>
        <w:ind w:firstLine="560"/>
      </w:pPr>
      <w:r>
        <w:rPr>
          <w:rFonts w:hint="eastAsia" w:eastAsia="方正仿宋_GBK"/>
          <w:color w:val="000000"/>
          <w:sz w:val="28"/>
        </w:rPr>
        <w:t>本年度预算收支安排</w:t>
      </w:r>
      <w:r>
        <w:rPr>
          <w:rFonts w:hint="eastAsia" w:eastAsia="方正仿宋_GBK"/>
          <w:color w:val="000000"/>
          <w:sz w:val="28"/>
          <w:lang w:eastAsia="zh-CN"/>
        </w:rPr>
        <w:t>862.71</w:t>
      </w:r>
      <w:r>
        <w:rPr>
          <w:rFonts w:hint="eastAsia" w:eastAsia="方正仿宋_GBK"/>
          <w:color w:val="000000"/>
          <w:sz w:val="28"/>
        </w:rPr>
        <w:t>万元，较上年</w:t>
      </w:r>
      <w:r>
        <w:rPr>
          <w:rFonts w:hint="eastAsia" w:eastAsia="方正仿宋_GBK"/>
          <w:color w:val="000000"/>
          <w:sz w:val="28"/>
          <w:lang w:eastAsia="zh-CN"/>
        </w:rPr>
        <w:t>增加30.13</w:t>
      </w:r>
      <w:r>
        <w:rPr>
          <w:rFonts w:hint="eastAsia" w:eastAsia="方正仿宋_GBK"/>
          <w:color w:val="000000"/>
          <w:sz w:val="28"/>
        </w:rPr>
        <w:t>万元。其中:基本支出</w:t>
      </w:r>
      <w:r>
        <w:rPr>
          <w:rFonts w:hint="eastAsia" w:eastAsia="方正仿宋_GBK"/>
          <w:color w:val="000000"/>
          <w:sz w:val="28"/>
          <w:lang w:eastAsia="zh-CN"/>
        </w:rPr>
        <w:t>增加95.83</w:t>
      </w:r>
      <w:r>
        <w:rPr>
          <w:rFonts w:hint="eastAsia" w:eastAsia="方正仿宋_GBK"/>
          <w:color w:val="000000"/>
          <w:sz w:val="28"/>
        </w:rPr>
        <w:t>万元，日常公用经费</w:t>
      </w:r>
      <w:r>
        <w:rPr>
          <w:rFonts w:hint="eastAsia" w:eastAsia="方正仿宋_GBK"/>
          <w:color w:val="000000"/>
          <w:sz w:val="28"/>
          <w:lang w:eastAsia="zh-CN"/>
        </w:rPr>
        <w:t>增加4.83</w:t>
      </w:r>
      <w:r>
        <w:rPr>
          <w:rFonts w:hint="eastAsia" w:eastAsia="方正仿宋_GBK"/>
          <w:color w:val="000000"/>
          <w:sz w:val="28"/>
        </w:rPr>
        <w:t>万元，主要</w:t>
      </w:r>
      <w:r>
        <w:rPr>
          <w:rFonts w:hint="eastAsia" w:eastAsia="方正仿宋_GBK"/>
          <w:color w:val="000000"/>
          <w:sz w:val="28"/>
          <w:lang w:eastAsia="zh-CN"/>
        </w:rPr>
        <w:t>增加</w:t>
      </w:r>
      <w:r>
        <w:rPr>
          <w:rFonts w:hint="eastAsia" w:eastAsia="方正仿宋_GBK"/>
          <w:color w:val="000000"/>
          <w:sz w:val="28"/>
        </w:rPr>
        <w:t>人员经费支出；项目支出</w:t>
      </w:r>
      <w:r>
        <w:rPr>
          <w:rFonts w:hint="eastAsia" w:eastAsia="方正仿宋_GBK"/>
          <w:color w:val="000000"/>
          <w:sz w:val="28"/>
          <w:lang w:eastAsia="zh-CN"/>
        </w:rPr>
        <w:t>减少65.7</w:t>
      </w:r>
      <w:r>
        <w:rPr>
          <w:rFonts w:hint="eastAsia" w:eastAsia="方正仿宋_GBK"/>
          <w:color w:val="000000"/>
          <w:sz w:val="28"/>
        </w:rPr>
        <w:t>万元，主要是因为</w:t>
      </w:r>
      <w:r>
        <w:rPr>
          <w:rFonts w:hint="eastAsia" w:eastAsia="方正仿宋_GBK"/>
          <w:color w:val="000000"/>
          <w:sz w:val="28"/>
          <w:lang w:eastAsia="zh-CN"/>
        </w:rPr>
        <w:t>减少</w:t>
      </w:r>
      <w:r>
        <w:rPr>
          <w:rFonts w:hint="eastAsia" w:eastAsia="方正仿宋_GBK"/>
          <w:color w:val="000000"/>
          <w:sz w:val="28"/>
        </w:rPr>
        <w:t>项目经费预算开支。</w:t>
      </w:r>
    </w:p>
    <w:p>
      <w:pPr>
        <w:spacing w:before="10" w:after="10" w:line="360" w:lineRule="auto"/>
        <w:ind w:firstLine="640"/>
        <w:outlineLvl w:val="2"/>
      </w:pPr>
      <w:bookmarkStart w:id="11" w:name="_Toc_3_3_0000000012"/>
      <w:r>
        <w:rPr>
          <w:rFonts w:ascii="黑体" w:eastAsia="黑体" w:cs="黑体"/>
          <w:color w:val="000000"/>
          <w:sz w:val="32"/>
        </w:rPr>
        <w:t>三、机关运行经费安排情况</w:t>
      </w:r>
      <w:bookmarkEnd w:id="11"/>
    </w:p>
    <w:p>
      <w:pPr>
        <w:pStyle w:val="22"/>
      </w:pPr>
      <w:r>
        <w:rPr>
          <w:rFonts w:hint="eastAsia"/>
        </w:rPr>
        <w:t>保定市莲池区委政法委运行经费安排</w:t>
      </w:r>
      <w:r>
        <w:rPr>
          <w:rFonts w:hint="eastAsia"/>
          <w:lang w:eastAsia="zh-CN"/>
        </w:rPr>
        <w:t>55.05</w:t>
      </w:r>
      <w:r>
        <w:rPr>
          <w:rFonts w:hint="eastAsia"/>
        </w:rPr>
        <w:t>万元，其中办公费</w:t>
      </w:r>
      <w:r>
        <w:rPr>
          <w:rFonts w:hint="eastAsia"/>
          <w:lang w:eastAsia="zh-CN"/>
        </w:rPr>
        <w:t>6.48</w:t>
      </w:r>
      <w:r>
        <w:rPr>
          <w:rFonts w:hint="eastAsia"/>
        </w:rPr>
        <w:t>万元，邮电费1</w:t>
      </w:r>
      <w:r>
        <w:rPr>
          <w:rFonts w:hint="eastAsia"/>
          <w:lang w:eastAsia="zh-CN"/>
        </w:rPr>
        <w:t>4</w:t>
      </w:r>
      <w:r>
        <w:rPr>
          <w:rFonts w:hint="eastAsia"/>
        </w:rPr>
        <w:t>万元，工会经费</w:t>
      </w:r>
      <w:r>
        <w:rPr>
          <w:rFonts w:hint="eastAsia"/>
          <w:lang w:eastAsia="zh-CN"/>
        </w:rPr>
        <w:t>3.35</w:t>
      </w:r>
      <w:r>
        <w:rPr>
          <w:rFonts w:hint="eastAsia"/>
        </w:rPr>
        <w:t>万元，福利费</w:t>
      </w:r>
      <w:r>
        <w:rPr>
          <w:rFonts w:hint="eastAsia"/>
          <w:lang w:eastAsia="zh-CN"/>
        </w:rPr>
        <w:t>5.03</w:t>
      </w:r>
      <w:r>
        <w:rPr>
          <w:rFonts w:hint="eastAsia"/>
        </w:rPr>
        <w:t>万元，公务用车运行维护费6万元，公务交通补贴</w:t>
      </w:r>
      <w:r>
        <w:rPr>
          <w:rFonts w:hint="eastAsia"/>
          <w:lang w:eastAsia="zh-CN"/>
        </w:rPr>
        <w:t>20</w:t>
      </w:r>
      <w:r>
        <w:rPr>
          <w:rFonts w:hint="eastAsia"/>
        </w:rPr>
        <w:t>万元，</w:t>
      </w:r>
      <w:r>
        <w:t>其他商品和服务支出</w:t>
      </w:r>
      <w:r>
        <w:rPr>
          <w:rFonts w:hint="eastAsia"/>
        </w:rPr>
        <w:t>0.</w:t>
      </w:r>
      <w:r>
        <w:rPr>
          <w:rFonts w:hint="eastAsia"/>
          <w:lang w:eastAsia="zh-CN"/>
        </w:rPr>
        <w:t>19</w:t>
      </w:r>
      <w:r>
        <w:rPr>
          <w:rFonts w:hint="eastAsia"/>
        </w:rPr>
        <w:t>万元。</w:t>
      </w:r>
    </w:p>
    <w:p>
      <w:pPr>
        <w:spacing w:before="10" w:after="10" w:line="360" w:lineRule="auto"/>
        <w:ind w:firstLine="640"/>
        <w:outlineLvl w:val="2"/>
      </w:pPr>
      <w:bookmarkStart w:id="12" w:name="_Toc_3_3_0000000013"/>
      <w:r>
        <w:rPr>
          <w:rFonts w:ascii="黑体" w:eastAsia="黑体" w:cs="黑体"/>
          <w:color w:val="000000"/>
          <w:sz w:val="32"/>
        </w:rPr>
        <w:t>四、财政拨款“三公”经费预算情况及增减变化原因</w:t>
      </w:r>
      <w:bookmarkEnd w:id="12"/>
    </w:p>
    <w:p>
      <w:pPr>
        <w:pStyle w:val="23"/>
      </w:pPr>
      <w:r>
        <w:rPr>
          <w:rFonts w:hint="eastAsia"/>
        </w:rPr>
        <w:t>202</w:t>
      </w:r>
      <w:r>
        <w:rPr>
          <w:rFonts w:hint="eastAsia"/>
          <w:lang w:eastAsia="zh-CN"/>
        </w:rPr>
        <w:t>4</w:t>
      </w:r>
      <w:r>
        <w:rPr>
          <w:rFonts w:hint="eastAsia"/>
        </w:rPr>
        <w:t>年，我</w:t>
      </w:r>
      <w:r>
        <w:rPr>
          <w:rFonts w:hint="eastAsia" w:asciiTheme="minorEastAsia" w:hAnsiTheme="minorEastAsia" w:eastAsiaTheme="minorEastAsia"/>
          <w:lang w:eastAsia="zh-CN"/>
        </w:rPr>
        <w:t>部门</w:t>
      </w:r>
      <w:r>
        <w:rPr>
          <w:rFonts w:hint="eastAsia"/>
        </w:rPr>
        <w:t>财政拨款“三公”经费预算安排6万元，其中因公出国（境）费0万元；公务用车购置及运维费6万元（其中：公务用车购置费为0万元，公务用车运维费6万元)；公务接待费0万元。与</w:t>
      </w:r>
      <w:r>
        <w:rPr>
          <w:rFonts w:hint="eastAsia" w:eastAsiaTheme="minorEastAsia"/>
          <w:lang w:eastAsia="zh-CN"/>
        </w:rPr>
        <w:t>上</w:t>
      </w:r>
      <w:r>
        <w:rPr>
          <w:rFonts w:hint="eastAsia"/>
        </w:rPr>
        <w:t>年相比持平。</w:t>
      </w:r>
    </w:p>
    <w:p>
      <w:pPr>
        <w:pStyle w:val="5"/>
        <w:kinsoku w:val="0"/>
        <w:overflowPunct w:val="0"/>
        <w:spacing w:before="54"/>
        <w:ind w:right="9"/>
        <w:jc w:val="center"/>
        <w:rPr>
          <w:rFonts w:ascii="黑体" w:eastAsia="黑体" w:cs="黑体"/>
        </w:rPr>
      </w:pPr>
      <w:r>
        <w:rPr>
          <w:rFonts w:hint="eastAsia" w:ascii="黑体" w:eastAsia="黑体" w:cs="黑体"/>
        </w:rPr>
        <w:t>三公”经费预算情况及增减变化原因</w:t>
      </w:r>
    </w:p>
    <w:p>
      <w:pPr>
        <w:pStyle w:val="5"/>
        <w:tabs>
          <w:tab w:val="left" w:pos="12470"/>
        </w:tabs>
        <w:kinsoku w:val="0"/>
        <w:overflowPunct w:val="0"/>
        <w:spacing w:before="121"/>
        <w:ind w:right="7"/>
        <w:jc w:val="both"/>
      </w:pPr>
      <w:r>
        <w:rPr>
          <w:rFonts w:hint="eastAsia" w:ascii="仿宋_GB2312" w:hAnsi="仿宋_GB2312" w:eastAsia="仿宋_GB2312" w:cs="仿宋_GB2312"/>
          <w:lang w:eastAsia="zh-CN"/>
        </w:rPr>
        <w:t xml:space="preserve"> 中国共产党保定市莲池区委政法委员会                                  单位：万元</w:t>
      </w:r>
    </w:p>
    <w:tbl>
      <w:tblPr>
        <w:tblStyle w:val="8"/>
        <w:tblW w:w="0" w:type="auto"/>
        <w:tblInd w:w="111" w:type="dxa"/>
        <w:tblLayout w:type="fixed"/>
        <w:tblCellMar>
          <w:top w:w="0" w:type="dxa"/>
          <w:left w:w="0" w:type="dxa"/>
          <w:bottom w:w="0" w:type="dxa"/>
          <w:right w:w="0" w:type="dxa"/>
        </w:tblCellMar>
      </w:tblPr>
      <w:tblGrid>
        <w:gridCol w:w="2936"/>
        <w:gridCol w:w="2370"/>
        <w:gridCol w:w="3100"/>
        <w:gridCol w:w="1664"/>
        <w:gridCol w:w="2946"/>
      </w:tblGrid>
      <w:tr>
        <w:tblPrEx>
          <w:tblCellMar>
            <w:top w:w="0" w:type="dxa"/>
            <w:left w:w="0" w:type="dxa"/>
            <w:bottom w:w="0" w:type="dxa"/>
            <w:right w:w="0" w:type="dxa"/>
          </w:tblCellMar>
        </w:tblPrEx>
        <w:trPr>
          <w:trHeight w:val="798" w:hRule="atLeast"/>
        </w:trPr>
        <w:tc>
          <w:tcPr>
            <w:tcW w:w="2936" w:type="dxa"/>
            <w:tcBorders>
              <w:top w:val="single" w:color="000000" w:sz="4" w:space="0"/>
              <w:left w:val="single" w:color="000000" w:sz="4" w:space="0"/>
              <w:bottom w:val="single" w:color="000000" w:sz="4" w:space="0"/>
              <w:right w:val="single" w:color="000000" w:sz="4" w:space="0"/>
            </w:tcBorders>
            <w:vAlign w:val="center"/>
          </w:tcPr>
          <w:p>
            <w:pPr>
              <w:pStyle w:val="36"/>
              <w:kinsoku w:val="0"/>
              <w:overflowPunct w:val="0"/>
              <w:spacing w:before="193"/>
              <w:ind w:left="1139"/>
              <w:jc w:val="center"/>
              <w:rPr>
                <w:rFonts w:ascii="仿宋" w:eastAsia="仿宋" w:cs="仿宋"/>
                <w:sz w:val="32"/>
                <w:szCs w:val="32"/>
              </w:rPr>
            </w:pPr>
            <w:r>
              <w:rPr>
                <w:rFonts w:hint="eastAsia" w:ascii="仿宋" w:eastAsia="仿宋" w:cs="仿宋"/>
                <w:sz w:val="32"/>
                <w:szCs w:val="32"/>
              </w:rPr>
              <w:t>项目名称</w:t>
            </w:r>
          </w:p>
        </w:tc>
        <w:tc>
          <w:tcPr>
            <w:tcW w:w="2370" w:type="dxa"/>
            <w:tcBorders>
              <w:top w:val="single" w:color="000000" w:sz="4" w:space="0"/>
              <w:left w:val="single" w:color="000000" w:sz="4" w:space="0"/>
              <w:bottom w:val="single" w:color="000000" w:sz="4" w:space="0"/>
              <w:right w:val="single" w:color="000000" w:sz="4" w:space="0"/>
            </w:tcBorders>
            <w:vAlign w:val="center"/>
          </w:tcPr>
          <w:p>
            <w:pPr>
              <w:pStyle w:val="36"/>
              <w:kinsoku w:val="0"/>
              <w:overflowPunct w:val="0"/>
              <w:spacing w:line="404" w:lineRule="exact"/>
              <w:ind w:left="109"/>
              <w:jc w:val="center"/>
              <w:rPr>
                <w:rFonts w:ascii="仿宋" w:eastAsia="仿宋" w:cs="仿宋"/>
                <w:w w:val="99"/>
                <w:sz w:val="32"/>
                <w:szCs w:val="32"/>
              </w:rPr>
            </w:pPr>
            <w:r>
              <w:rPr>
                <w:rFonts w:ascii="仿宋" w:eastAsia="仿宋" w:cs="仿宋"/>
                <w:sz w:val="32"/>
                <w:szCs w:val="32"/>
              </w:rPr>
              <w:t>202</w:t>
            </w:r>
            <w:r>
              <w:rPr>
                <w:rFonts w:hint="eastAsia" w:ascii="仿宋" w:eastAsia="仿宋" w:cs="仿宋"/>
                <w:sz w:val="32"/>
                <w:szCs w:val="32"/>
                <w:lang w:eastAsia="zh-CN"/>
              </w:rPr>
              <w:t>3</w:t>
            </w:r>
            <w:r>
              <w:rPr>
                <w:rFonts w:hint="eastAsia" w:ascii="仿宋" w:eastAsia="仿宋" w:cs="仿宋"/>
                <w:sz w:val="32"/>
                <w:szCs w:val="32"/>
              </w:rPr>
              <w:t>年度预</w:t>
            </w:r>
            <w:r>
              <w:rPr>
                <w:rFonts w:hint="eastAsia" w:ascii="仿宋" w:eastAsia="仿宋" w:cs="仿宋"/>
                <w:w w:val="99"/>
                <w:sz w:val="32"/>
                <w:szCs w:val="32"/>
              </w:rPr>
              <w:t>算</w:t>
            </w:r>
          </w:p>
        </w:tc>
        <w:tc>
          <w:tcPr>
            <w:tcW w:w="3100" w:type="dxa"/>
            <w:tcBorders>
              <w:top w:val="single" w:color="000000" w:sz="4" w:space="0"/>
              <w:left w:val="single" w:color="000000" w:sz="4" w:space="0"/>
              <w:bottom w:val="single" w:color="000000" w:sz="4" w:space="0"/>
              <w:right w:val="single" w:color="000000" w:sz="4" w:space="0"/>
            </w:tcBorders>
            <w:vAlign w:val="center"/>
          </w:tcPr>
          <w:p>
            <w:pPr>
              <w:pStyle w:val="36"/>
              <w:kinsoku w:val="0"/>
              <w:overflowPunct w:val="0"/>
              <w:spacing w:line="404" w:lineRule="exact"/>
              <w:jc w:val="center"/>
              <w:rPr>
                <w:rFonts w:ascii="仿宋" w:eastAsia="仿宋" w:cs="仿宋"/>
                <w:sz w:val="32"/>
                <w:szCs w:val="32"/>
              </w:rPr>
            </w:pPr>
            <w:r>
              <w:rPr>
                <w:rFonts w:ascii="仿宋" w:eastAsia="仿宋" w:cs="仿宋"/>
                <w:sz w:val="32"/>
                <w:szCs w:val="32"/>
              </w:rPr>
              <w:t>202</w:t>
            </w:r>
            <w:r>
              <w:rPr>
                <w:rFonts w:hint="eastAsia" w:ascii="仿宋" w:eastAsia="仿宋" w:cs="仿宋"/>
                <w:sz w:val="32"/>
                <w:szCs w:val="32"/>
                <w:lang w:eastAsia="zh-CN"/>
              </w:rPr>
              <w:t>4</w:t>
            </w:r>
            <w:r>
              <w:rPr>
                <w:rFonts w:hint="eastAsia" w:ascii="仿宋" w:eastAsia="仿宋" w:cs="仿宋"/>
                <w:spacing w:val="-27"/>
                <w:sz w:val="32"/>
                <w:szCs w:val="32"/>
              </w:rPr>
              <w:t>年度</w:t>
            </w:r>
            <w:r>
              <w:rPr>
                <w:rFonts w:hint="eastAsia" w:ascii="仿宋" w:eastAsia="仿宋" w:cs="仿宋"/>
                <w:sz w:val="32"/>
                <w:szCs w:val="32"/>
              </w:rPr>
              <w:t>预算</w:t>
            </w:r>
          </w:p>
        </w:tc>
        <w:tc>
          <w:tcPr>
            <w:tcW w:w="1664" w:type="dxa"/>
            <w:tcBorders>
              <w:top w:val="single" w:color="000000" w:sz="4" w:space="0"/>
              <w:left w:val="single" w:color="000000" w:sz="4" w:space="0"/>
              <w:bottom w:val="single" w:color="000000" w:sz="4" w:space="0"/>
              <w:right w:val="single" w:color="000000" w:sz="4" w:space="0"/>
            </w:tcBorders>
            <w:vAlign w:val="center"/>
          </w:tcPr>
          <w:p>
            <w:pPr>
              <w:pStyle w:val="36"/>
              <w:kinsoku w:val="0"/>
              <w:overflowPunct w:val="0"/>
              <w:spacing w:line="404" w:lineRule="exact"/>
              <w:ind w:left="434"/>
              <w:jc w:val="center"/>
              <w:rPr>
                <w:rFonts w:ascii="仿宋" w:eastAsia="仿宋" w:cs="仿宋"/>
                <w:spacing w:val="-1"/>
                <w:sz w:val="32"/>
                <w:szCs w:val="32"/>
              </w:rPr>
            </w:pPr>
            <w:r>
              <w:rPr>
                <w:rFonts w:hint="eastAsia" w:ascii="仿宋" w:eastAsia="仿宋" w:cs="仿宋"/>
                <w:spacing w:val="-1"/>
                <w:sz w:val="32"/>
                <w:szCs w:val="32"/>
              </w:rPr>
              <w:t>增减</w:t>
            </w:r>
          </w:p>
          <w:p>
            <w:pPr>
              <w:pStyle w:val="36"/>
              <w:kinsoku w:val="0"/>
              <w:overflowPunct w:val="0"/>
              <w:spacing w:line="374" w:lineRule="exact"/>
              <w:ind w:left="434"/>
              <w:jc w:val="center"/>
              <w:rPr>
                <w:rFonts w:ascii="仿宋" w:eastAsia="仿宋" w:cs="仿宋"/>
                <w:spacing w:val="-1"/>
                <w:sz w:val="32"/>
                <w:szCs w:val="32"/>
              </w:rPr>
            </w:pPr>
            <w:r>
              <w:rPr>
                <w:rFonts w:hint="eastAsia" w:ascii="仿宋" w:eastAsia="仿宋" w:cs="仿宋"/>
                <w:spacing w:val="-1"/>
                <w:sz w:val="32"/>
                <w:szCs w:val="32"/>
              </w:rPr>
              <w:t>金额</w:t>
            </w:r>
          </w:p>
        </w:tc>
        <w:tc>
          <w:tcPr>
            <w:tcW w:w="2946" w:type="dxa"/>
            <w:tcBorders>
              <w:top w:val="single" w:color="000000" w:sz="4" w:space="0"/>
              <w:left w:val="single" w:color="000000" w:sz="4" w:space="0"/>
              <w:bottom w:val="single" w:color="000000" w:sz="4" w:space="0"/>
              <w:right w:val="single" w:color="000000" w:sz="4" w:space="0"/>
            </w:tcBorders>
            <w:vAlign w:val="center"/>
          </w:tcPr>
          <w:p>
            <w:pPr>
              <w:pStyle w:val="36"/>
              <w:kinsoku w:val="0"/>
              <w:overflowPunct w:val="0"/>
              <w:spacing w:before="193"/>
              <w:ind w:right="1601"/>
              <w:jc w:val="center"/>
              <w:rPr>
                <w:rFonts w:ascii="仿宋" w:eastAsia="仿宋" w:cs="仿宋"/>
                <w:sz w:val="32"/>
                <w:szCs w:val="32"/>
              </w:rPr>
            </w:pPr>
            <w:r>
              <w:rPr>
                <w:rFonts w:hint="eastAsia" w:ascii="仿宋" w:eastAsia="仿宋" w:cs="仿宋"/>
                <w:sz w:val="32"/>
                <w:szCs w:val="32"/>
              </w:rPr>
              <w:t>变化原因</w:t>
            </w:r>
            <w:r>
              <w:rPr>
                <w:rFonts w:hint="eastAsia" w:ascii="仿宋" w:eastAsia="仿宋" w:cs="仿宋"/>
                <w:sz w:val="32"/>
                <w:szCs w:val="32"/>
                <w:lang w:eastAsia="zh-CN"/>
              </w:rPr>
              <w:t>为</w:t>
            </w:r>
          </w:p>
        </w:tc>
      </w:tr>
      <w:tr>
        <w:tblPrEx>
          <w:tblCellMar>
            <w:top w:w="0" w:type="dxa"/>
            <w:left w:w="0" w:type="dxa"/>
            <w:bottom w:w="0" w:type="dxa"/>
            <w:right w:w="0" w:type="dxa"/>
          </w:tblCellMar>
        </w:tblPrEx>
        <w:trPr>
          <w:trHeight w:val="650" w:hRule="atLeast"/>
        </w:trPr>
        <w:tc>
          <w:tcPr>
            <w:tcW w:w="2936"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70"/>
              <w:ind w:left="110"/>
              <w:rPr>
                <w:rFonts w:ascii="仿宋" w:eastAsia="仿宋" w:cs="仿宋"/>
              </w:rPr>
            </w:pPr>
            <w:r>
              <w:rPr>
                <w:rFonts w:hint="eastAsia" w:ascii="仿宋" w:eastAsia="仿宋" w:cs="仿宋"/>
              </w:rPr>
              <w:t>因公出国经费</w:t>
            </w:r>
          </w:p>
        </w:tc>
        <w:tc>
          <w:tcPr>
            <w:tcW w:w="2370"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70"/>
              <w:ind w:right="1142"/>
              <w:jc w:val="right"/>
              <w:rPr>
                <w:rFonts w:ascii="仿宋" w:eastAsia="仿宋" w:cs="仿宋"/>
              </w:rPr>
            </w:pPr>
            <w:r>
              <w:rPr>
                <w:rFonts w:ascii="仿宋" w:eastAsia="仿宋" w:cs="仿宋"/>
              </w:rPr>
              <w:t>0</w:t>
            </w:r>
          </w:p>
        </w:tc>
        <w:tc>
          <w:tcPr>
            <w:tcW w:w="3100"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70"/>
              <w:ind w:left="1151"/>
              <w:rPr>
                <w:rFonts w:ascii="仿宋" w:eastAsia="仿宋" w:cs="仿宋"/>
              </w:rPr>
            </w:pPr>
            <w:r>
              <w:rPr>
                <w:rFonts w:ascii="仿宋" w:eastAsia="仿宋" w:cs="仿宋"/>
              </w:rPr>
              <w:t>0</w:t>
            </w:r>
          </w:p>
        </w:tc>
        <w:tc>
          <w:tcPr>
            <w:tcW w:w="1664"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70"/>
              <w:ind w:left="11"/>
              <w:jc w:val="center"/>
              <w:rPr>
                <w:rFonts w:ascii="仿宋" w:eastAsia="仿宋" w:cs="仿宋"/>
              </w:rPr>
            </w:pPr>
            <w:r>
              <w:rPr>
                <w:rFonts w:ascii="仿宋" w:eastAsia="仿宋" w:cs="仿宋"/>
              </w:rPr>
              <w:t>0</w:t>
            </w:r>
          </w:p>
        </w:tc>
        <w:tc>
          <w:tcPr>
            <w:tcW w:w="2946"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70"/>
              <w:ind w:left="109"/>
              <w:rPr>
                <w:rFonts w:ascii="仿宋" w:eastAsia="仿宋" w:cs="仿宋"/>
              </w:rPr>
            </w:pPr>
            <w:r>
              <w:rPr>
                <w:rFonts w:hint="eastAsia" w:ascii="仿宋" w:eastAsia="仿宋" w:cs="仿宋"/>
              </w:rPr>
              <w:t>无增减变化</w:t>
            </w:r>
          </w:p>
        </w:tc>
      </w:tr>
      <w:tr>
        <w:tblPrEx>
          <w:tblCellMar>
            <w:top w:w="0" w:type="dxa"/>
            <w:left w:w="0" w:type="dxa"/>
            <w:bottom w:w="0" w:type="dxa"/>
            <w:right w:w="0" w:type="dxa"/>
          </w:tblCellMar>
        </w:tblPrEx>
        <w:trPr>
          <w:trHeight w:val="552" w:hRule="atLeast"/>
        </w:trPr>
        <w:tc>
          <w:tcPr>
            <w:tcW w:w="2936"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0"/>
              <w:ind w:left="110"/>
              <w:rPr>
                <w:rFonts w:ascii="仿宋" w:eastAsia="仿宋" w:cs="仿宋"/>
              </w:rPr>
            </w:pPr>
            <w:r>
              <w:rPr>
                <w:rFonts w:hint="eastAsia" w:ascii="仿宋" w:eastAsia="仿宋" w:cs="仿宋"/>
              </w:rPr>
              <w:t>公务用车购置经费</w:t>
            </w:r>
          </w:p>
        </w:tc>
        <w:tc>
          <w:tcPr>
            <w:tcW w:w="2370"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0"/>
              <w:ind w:right="1142"/>
              <w:jc w:val="right"/>
              <w:rPr>
                <w:rFonts w:ascii="仿宋" w:eastAsia="仿宋" w:cs="仿宋"/>
              </w:rPr>
            </w:pPr>
            <w:r>
              <w:rPr>
                <w:rFonts w:ascii="仿宋" w:eastAsia="仿宋" w:cs="仿宋"/>
              </w:rPr>
              <w:t>0</w:t>
            </w:r>
          </w:p>
        </w:tc>
        <w:tc>
          <w:tcPr>
            <w:tcW w:w="3100"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0"/>
              <w:ind w:left="1151"/>
              <w:rPr>
                <w:rFonts w:ascii="仿宋" w:eastAsia="仿宋" w:cs="仿宋"/>
              </w:rPr>
            </w:pPr>
            <w:r>
              <w:rPr>
                <w:rFonts w:ascii="仿宋" w:eastAsia="仿宋" w:cs="仿宋"/>
              </w:rPr>
              <w:t>0</w:t>
            </w:r>
          </w:p>
        </w:tc>
        <w:tc>
          <w:tcPr>
            <w:tcW w:w="1664"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0"/>
              <w:ind w:left="11"/>
              <w:jc w:val="center"/>
              <w:rPr>
                <w:rFonts w:ascii="仿宋" w:eastAsia="仿宋" w:cs="仿宋"/>
              </w:rPr>
            </w:pPr>
            <w:r>
              <w:rPr>
                <w:rFonts w:ascii="仿宋" w:eastAsia="仿宋" w:cs="仿宋"/>
              </w:rPr>
              <w:t>0</w:t>
            </w:r>
          </w:p>
        </w:tc>
        <w:tc>
          <w:tcPr>
            <w:tcW w:w="2946"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0"/>
              <w:ind w:left="109"/>
              <w:rPr>
                <w:rFonts w:ascii="仿宋" w:eastAsia="仿宋" w:cs="仿宋"/>
              </w:rPr>
            </w:pPr>
            <w:r>
              <w:rPr>
                <w:rFonts w:hint="eastAsia" w:ascii="仿宋" w:eastAsia="仿宋" w:cs="仿宋"/>
              </w:rPr>
              <w:t>无增减变化</w:t>
            </w:r>
          </w:p>
        </w:tc>
      </w:tr>
      <w:tr>
        <w:tblPrEx>
          <w:tblCellMar>
            <w:top w:w="0" w:type="dxa"/>
            <w:left w:w="0" w:type="dxa"/>
            <w:bottom w:w="0" w:type="dxa"/>
            <w:right w:w="0" w:type="dxa"/>
          </w:tblCellMar>
        </w:tblPrEx>
        <w:trPr>
          <w:trHeight w:val="570" w:hRule="atLeast"/>
        </w:trPr>
        <w:tc>
          <w:tcPr>
            <w:tcW w:w="2936"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9"/>
              <w:ind w:left="110"/>
              <w:rPr>
                <w:rFonts w:ascii="仿宋" w:eastAsia="仿宋" w:cs="仿宋"/>
              </w:rPr>
            </w:pPr>
            <w:r>
              <w:rPr>
                <w:rFonts w:hint="eastAsia" w:ascii="仿宋" w:eastAsia="仿宋" w:cs="仿宋"/>
              </w:rPr>
              <w:t>公务用车运行经费</w:t>
            </w:r>
          </w:p>
        </w:tc>
        <w:tc>
          <w:tcPr>
            <w:tcW w:w="2370"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9"/>
              <w:ind w:right="1082"/>
              <w:jc w:val="center"/>
              <w:rPr>
                <w:rFonts w:ascii="仿宋" w:eastAsia="仿宋" w:cs="仿宋"/>
              </w:rPr>
            </w:pPr>
            <w:r>
              <w:rPr>
                <w:rFonts w:hint="eastAsia" w:ascii="仿宋" w:eastAsia="仿宋" w:cs="仿宋"/>
              </w:rPr>
              <w:t xml:space="preserve">         6</w:t>
            </w:r>
          </w:p>
        </w:tc>
        <w:tc>
          <w:tcPr>
            <w:tcW w:w="3100"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9"/>
              <w:ind w:firstLine="1200" w:firstLineChars="500"/>
              <w:jc w:val="both"/>
              <w:rPr>
                <w:rFonts w:ascii="仿宋" w:eastAsia="仿宋" w:cs="仿宋"/>
              </w:rPr>
            </w:pPr>
            <w:r>
              <w:rPr>
                <w:rFonts w:hint="eastAsia" w:ascii="仿宋" w:eastAsia="仿宋" w:cs="仿宋"/>
              </w:rPr>
              <w:t>6</w:t>
            </w:r>
          </w:p>
        </w:tc>
        <w:tc>
          <w:tcPr>
            <w:tcW w:w="1664"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9"/>
              <w:ind w:left="11"/>
              <w:jc w:val="center"/>
              <w:rPr>
                <w:rFonts w:ascii="仿宋" w:eastAsia="仿宋" w:cs="仿宋"/>
              </w:rPr>
            </w:pPr>
            <w:r>
              <w:rPr>
                <w:rFonts w:ascii="仿宋" w:eastAsia="仿宋" w:cs="仿宋"/>
              </w:rPr>
              <w:t>0</w:t>
            </w:r>
          </w:p>
        </w:tc>
        <w:tc>
          <w:tcPr>
            <w:tcW w:w="2946"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65"/>
              <w:ind w:left="109"/>
              <w:rPr>
                <w:rFonts w:ascii="仿宋" w:eastAsia="仿宋" w:cs="仿宋"/>
              </w:rPr>
            </w:pPr>
            <w:r>
              <w:rPr>
                <w:rFonts w:hint="eastAsia" w:ascii="仿宋" w:eastAsia="仿宋" w:cs="仿宋"/>
              </w:rPr>
              <w:t>无增减变化</w:t>
            </w:r>
          </w:p>
        </w:tc>
      </w:tr>
      <w:tr>
        <w:tblPrEx>
          <w:tblCellMar>
            <w:top w:w="0" w:type="dxa"/>
            <w:left w:w="0" w:type="dxa"/>
            <w:bottom w:w="0" w:type="dxa"/>
            <w:right w:w="0" w:type="dxa"/>
          </w:tblCellMar>
        </w:tblPrEx>
        <w:trPr>
          <w:trHeight w:val="551" w:hRule="atLeast"/>
        </w:trPr>
        <w:tc>
          <w:tcPr>
            <w:tcW w:w="2936"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0"/>
              <w:ind w:left="110"/>
              <w:rPr>
                <w:rFonts w:ascii="仿宋" w:eastAsia="仿宋" w:cs="仿宋"/>
              </w:rPr>
            </w:pPr>
            <w:r>
              <w:rPr>
                <w:rFonts w:hint="eastAsia" w:ascii="仿宋" w:eastAsia="仿宋" w:cs="仿宋"/>
              </w:rPr>
              <w:t>公务接待经费</w:t>
            </w:r>
          </w:p>
        </w:tc>
        <w:tc>
          <w:tcPr>
            <w:tcW w:w="2370"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0"/>
              <w:ind w:right="1142"/>
              <w:jc w:val="right"/>
              <w:rPr>
                <w:rFonts w:ascii="仿宋" w:eastAsia="仿宋" w:cs="仿宋"/>
              </w:rPr>
            </w:pPr>
            <w:r>
              <w:rPr>
                <w:rFonts w:ascii="仿宋" w:eastAsia="仿宋" w:cs="仿宋"/>
              </w:rPr>
              <w:t>0</w:t>
            </w:r>
          </w:p>
        </w:tc>
        <w:tc>
          <w:tcPr>
            <w:tcW w:w="3100"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0"/>
              <w:ind w:left="1151"/>
              <w:rPr>
                <w:rFonts w:ascii="仿宋" w:eastAsia="仿宋" w:cs="仿宋"/>
              </w:rPr>
            </w:pPr>
            <w:r>
              <w:rPr>
                <w:rFonts w:ascii="仿宋" w:eastAsia="仿宋" w:cs="仿宋"/>
              </w:rPr>
              <w:t>0</w:t>
            </w:r>
          </w:p>
        </w:tc>
        <w:tc>
          <w:tcPr>
            <w:tcW w:w="1664"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0"/>
              <w:ind w:left="11"/>
              <w:jc w:val="center"/>
              <w:rPr>
                <w:rFonts w:ascii="仿宋" w:eastAsia="仿宋" w:cs="仿宋"/>
              </w:rPr>
            </w:pPr>
            <w:r>
              <w:rPr>
                <w:rFonts w:ascii="仿宋" w:eastAsia="仿宋" w:cs="仿宋"/>
              </w:rPr>
              <w:t>0</w:t>
            </w:r>
          </w:p>
        </w:tc>
        <w:tc>
          <w:tcPr>
            <w:tcW w:w="2946"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56"/>
              <w:ind w:left="109"/>
              <w:rPr>
                <w:rFonts w:ascii="仿宋" w:eastAsia="仿宋" w:cs="仿宋"/>
              </w:rPr>
            </w:pPr>
            <w:r>
              <w:rPr>
                <w:rFonts w:hint="eastAsia" w:ascii="仿宋" w:eastAsia="仿宋" w:cs="仿宋"/>
              </w:rPr>
              <w:t>无增减变化</w:t>
            </w:r>
          </w:p>
        </w:tc>
      </w:tr>
      <w:tr>
        <w:tblPrEx>
          <w:tblCellMar>
            <w:top w:w="0" w:type="dxa"/>
            <w:left w:w="0" w:type="dxa"/>
            <w:bottom w:w="0" w:type="dxa"/>
            <w:right w:w="0" w:type="dxa"/>
          </w:tblCellMar>
        </w:tblPrEx>
        <w:trPr>
          <w:trHeight w:val="491" w:hRule="atLeast"/>
        </w:trPr>
        <w:tc>
          <w:tcPr>
            <w:tcW w:w="2936" w:type="dxa"/>
            <w:tcBorders>
              <w:top w:val="single" w:color="000000" w:sz="4" w:space="0"/>
              <w:left w:val="single" w:color="000000" w:sz="4" w:space="0"/>
              <w:bottom w:val="single" w:color="000000" w:sz="4" w:space="0"/>
              <w:right w:val="single" w:color="000000" w:sz="4" w:space="0"/>
            </w:tcBorders>
          </w:tcPr>
          <w:p>
            <w:pPr>
              <w:pStyle w:val="36"/>
              <w:tabs>
                <w:tab w:val="left" w:pos="950"/>
              </w:tabs>
              <w:kinsoku w:val="0"/>
              <w:overflowPunct w:val="0"/>
              <w:spacing w:before="91"/>
              <w:ind w:left="110"/>
              <w:rPr>
                <w:rFonts w:ascii="仿宋" w:eastAsia="仿宋" w:cs="仿宋"/>
              </w:rPr>
            </w:pPr>
            <w:r>
              <w:rPr>
                <w:rFonts w:hint="eastAsia" w:ascii="仿宋" w:eastAsia="仿宋" w:cs="仿宋"/>
              </w:rPr>
              <w:t>合</w:t>
            </w:r>
            <w:r>
              <w:rPr>
                <w:rFonts w:ascii="仿宋" w:eastAsia="仿宋" w:cs="仿宋"/>
              </w:rPr>
              <w:tab/>
            </w:r>
            <w:r>
              <w:rPr>
                <w:rFonts w:hint="eastAsia" w:ascii="仿宋" w:eastAsia="仿宋" w:cs="仿宋"/>
              </w:rPr>
              <w:t>计</w:t>
            </w:r>
          </w:p>
        </w:tc>
        <w:tc>
          <w:tcPr>
            <w:tcW w:w="2370"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0"/>
              <w:ind w:right="1142"/>
              <w:jc w:val="right"/>
              <w:rPr>
                <w:rFonts w:ascii="仿宋" w:eastAsia="仿宋" w:cs="仿宋"/>
              </w:rPr>
            </w:pPr>
            <w:r>
              <w:rPr>
                <w:rFonts w:hint="eastAsia" w:ascii="仿宋" w:eastAsia="仿宋" w:cs="仿宋"/>
                <w:lang w:eastAsia="zh-CN"/>
              </w:rPr>
              <w:t>6</w:t>
            </w:r>
          </w:p>
        </w:tc>
        <w:tc>
          <w:tcPr>
            <w:tcW w:w="3100"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0"/>
              <w:ind w:left="1151"/>
              <w:rPr>
                <w:rFonts w:ascii="仿宋" w:eastAsia="仿宋" w:cs="仿宋"/>
              </w:rPr>
            </w:pPr>
            <w:r>
              <w:rPr>
                <w:rFonts w:hint="eastAsia" w:ascii="仿宋" w:eastAsia="仿宋" w:cs="仿宋"/>
                <w:lang w:eastAsia="zh-CN"/>
              </w:rPr>
              <w:t>6</w:t>
            </w:r>
          </w:p>
        </w:tc>
        <w:tc>
          <w:tcPr>
            <w:tcW w:w="1664"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0"/>
              <w:ind w:left="11"/>
              <w:jc w:val="center"/>
              <w:rPr>
                <w:rFonts w:ascii="仿宋" w:eastAsia="仿宋" w:cs="仿宋"/>
              </w:rPr>
            </w:pPr>
            <w:r>
              <w:rPr>
                <w:rFonts w:ascii="仿宋" w:eastAsia="仿宋" w:cs="仿宋"/>
              </w:rPr>
              <w:t>0</w:t>
            </w:r>
          </w:p>
        </w:tc>
        <w:tc>
          <w:tcPr>
            <w:tcW w:w="2946"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4"/>
              <w:ind w:left="109"/>
              <w:rPr>
                <w:rFonts w:ascii="仿宋" w:eastAsia="仿宋" w:cs="仿宋"/>
              </w:rPr>
            </w:pPr>
            <w:r>
              <w:rPr>
                <w:rFonts w:hint="eastAsia" w:ascii="仿宋" w:eastAsia="仿宋" w:cs="仿宋"/>
              </w:rPr>
              <w:t>无增减变化</w:t>
            </w:r>
          </w:p>
        </w:tc>
      </w:tr>
    </w:tbl>
    <w:p>
      <w:pPr>
        <w:spacing w:before="10" w:after="10" w:line="360" w:lineRule="auto"/>
        <w:ind w:firstLine="640"/>
        <w:outlineLvl w:val="2"/>
      </w:pPr>
      <w:bookmarkStart w:id="13" w:name="_Toc_3_3_0000000014"/>
      <w:r>
        <w:rPr>
          <w:rFonts w:asci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4"/>
      </w:pPr>
      <w:r>
        <w:t>坚持以习近平新时代中国特色社会主义思想为指导，以全面贯彻落实党的二十大精神为目标，坚持党对政法工作的绝对领导，以贯彻落实《中国共产党政法工作条例》为基本遵循，以强化思想作风建设为抓手，突出政治巡察督查制度落实，统筹协调推进平安建设、维稳社会稳定、、反邪教、综治中心实战化功能完善等重点工作，紧紧抓住末端落实这个关键环节。全力支持和保障全区重点项目建设和经济发展，忠诚捍卫“两个确立”，坚决做到“两个维护”，为构建京雄保一体化创新发展先行区、建设现代化品质莲池、幸福莲池建设创造和谐稳定的社会环境。</w:t>
      </w:r>
    </w:p>
    <w:p>
      <w:pPr>
        <w:spacing w:line="500" w:lineRule="exact"/>
        <w:ind w:firstLine="560"/>
      </w:pPr>
      <w:r>
        <w:rPr>
          <w:rFonts w:eastAsia="方正仿宋_GBK"/>
          <w:color w:val="000000"/>
          <w:sz w:val="28"/>
        </w:rPr>
        <w:t>（二）分项绩效目标</w:t>
      </w:r>
    </w:p>
    <w:p>
      <w:pPr>
        <w:pStyle w:val="25"/>
      </w:pPr>
      <w:r>
        <w:t>(一)维护社会稳定和国家安全</w:t>
      </w:r>
    </w:p>
    <w:p>
      <w:pPr>
        <w:pStyle w:val="25"/>
      </w:pPr>
      <w:r>
        <w:t>绩效目标：指导、协调和督导各级各部门排查、化解影响社会稳定的重大不稳定隐患、群体性事件和突发事件。贯彻实施国家安全战略，推进国家安全法制建设，贯彻落实国家安全工作方针，研究解决涉及国家安全工作的重大问题。继续推进专项斗争工作。</w:t>
      </w:r>
    </w:p>
    <w:p>
      <w:pPr>
        <w:pStyle w:val="25"/>
      </w:pPr>
      <w:r>
        <w:t>绩效指标：1、做好我区各类重大活动间的安全保卫工作，不断完善相关工作机制。2、对各类涉稳情报信息收集、研判、通报，网络舆情应对处置。</w:t>
      </w:r>
    </w:p>
    <w:p>
      <w:pPr>
        <w:pStyle w:val="25"/>
      </w:pPr>
      <w:r>
        <w:t>（二）社会治安综合治理</w:t>
      </w:r>
    </w:p>
    <w:p>
      <w:pPr>
        <w:pStyle w:val="25"/>
      </w:pPr>
      <w:r>
        <w:t>绩效目标：调查分析全区社会治安形势并提出建议。指导落实平安建设领导责任制，继续推进综治中心建设和“雪亮工程”建设。指导协调各乡、镇（街道）和区直部门推进社会治安重点地区和突出治安问题排查整治、社会治安防控体系建设。协调推动重点领域、行业、物品安全管理。</w:t>
      </w:r>
    </w:p>
    <w:p>
      <w:pPr>
        <w:pStyle w:val="25"/>
      </w:pPr>
      <w:r>
        <w:t>绩效指标：1、推进社会治安重点地区和突出治安问题排查整治、社会治安防控体系建设。2、统筹全区政法系统信息化工作，制定发展战略、总体规划、阶段目标。</w:t>
      </w:r>
    </w:p>
    <w:p>
      <w:pPr>
        <w:pStyle w:val="25"/>
      </w:pPr>
      <w:r>
        <w:t>（三）政法事务管理</w:t>
      </w:r>
    </w:p>
    <w:p>
      <w:pPr>
        <w:pStyle w:val="25"/>
      </w:pPr>
      <w:r>
        <w:t>绩效目标：协助领导了解掌握全区政法工作全面情况。督查督办区委关于政法工作决策部署的贯彻落实情况。研究全区政法工作重大政策和关系政法工作全局的重大事项，提出对策建议。配合区委组织部研究提出加强全区政法队伍建设的意见措施。</w:t>
      </w:r>
    </w:p>
    <w:p>
      <w:pPr>
        <w:pStyle w:val="25"/>
      </w:pPr>
      <w:r>
        <w:t>绩效指标：1、监督检查全区政法单位执行党的路线方针政策和国家法律法规的情况，调查分析和及时纠正存在的倾向性问题，研究制定相关措施。2、保障机关日常工作运行，确保各项专项资金得到合理利用，推进各项工作扎实开展。</w:t>
      </w:r>
    </w:p>
    <w:p>
      <w:pPr>
        <w:spacing w:line="500" w:lineRule="exact"/>
        <w:ind w:firstLine="560"/>
      </w:pPr>
      <w:r>
        <w:rPr>
          <w:rFonts w:eastAsia="方正仿宋_GBK"/>
          <w:color w:val="000000"/>
          <w:sz w:val="28"/>
        </w:rPr>
        <w:t>（三）工作保障措施</w:t>
      </w:r>
    </w:p>
    <w:p>
      <w:pPr>
        <w:pStyle w:val="26"/>
      </w:pPr>
      <w:r>
        <w:t>(一)、服务保障全区中心工作和经济发展。坚决发挥政法保障职能，为全区中心工作保驾护航。认真履行封控管控组相关职责，落实好常态化疫情防控举措。抓好政法委机关干部“万人助万企”活动，为营造良好营商环境贡献力量。</w:t>
      </w:r>
    </w:p>
    <w:p>
      <w:pPr>
        <w:pStyle w:val="26"/>
      </w:pPr>
      <w:r>
        <w:t>(二)、全力做好重要敏感时期的维稳安保工作。抓住关键环节和重要部位，完善工作台账和应急预案。建立维稳形势会商研判机制，及时了解掌握全区社会稳定形势。加强信息预警，及时掌握内幕性、预警性、行动性情报信息。认真落实意识形态工作责任制，强化反邪教斗争。推进反恐防暴工作，严防发生暴恐事件。开展防范化解重大风险隐患行动，及时稳妥处置各类突发群体性事件。适时启动战时应急机制，组织好“二道防线”和重要设施守护工作，当好首都“政治护城河”。</w:t>
      </w:r>
    </w:p>
    <w:p>
      <w:pPr>
        <w:pStyle w:val="26"/>
      </w:pPr>
      <w:r>
        <w:t>(三)、全力提升平安莲池建设水平。强化基层基础工作，全面提升基层治理能力水平。加强网格员管理培训，不断提升网格员的责任意识和业务能力。持续完善“综治中心+网格化+信息化”基层社会治理体系，推进智能化建设，提升风险防范和管理服务精细化精准化水平。做好严重精神障碍患者的管理服务，认真履行相关职责。组织协调好平安建设专项考核，发挥牵头抓总作用。严格按照平安建设专项考核办法，适时组织对全区各单位的平安建设考核事宜。</w:t>
      </w:r>
    </w:p>
    <w:p>
      <w:pPr>
        <w:pStyle w:val="26"/>
      </w:pPr>
      <w:r>
        <w:t>(四)、注重推动政法职能落实。推进常态化，突出七大行业等重点领域整治。加强执法监督，进一步完善执法司法责任体系建设。时刻关注政法舆情，及时妥善处置。抓好涉法涉诉信访案件督办化解，落实领导包联、部门监管、属地稳控责任。持续推进涉法涉诉信访案件化解，做好12337举报平台交办的涉法涉诉信访案件反馈工作。</w:t>
      </w:r>
    </w:p>
    <w:p>
      <w:pPr>
        <w:pStyle w:val="26"/>
      </w:pPr>
      <w:r>
        <w:t>(五)、全力打造过硬政法队伍。认真贯彻落实《中国共产党政法工作条例》，加强对政法单位的协调指导。长态化开展政法队伍教育整顿工作。进一步加强政治督查，提升对全区政法单位的督查指导能力。</w:t>
      </w:r>
    </w:p>
    <w:p>
      <w:pPr>
        <w:pStyle w:val="26"/>
        <w:sectPr>
          <w:pgSz w:w="16840" w:h="11900" w:orient="landscape"/>
          <w:pgMar w:top="1361" w:right="1020" w:bottom="1361" w:left="1020" w:header="720" w:footer="720" w:gutter="0"/>
          <w:cols w:space="720" w:num="1"/>
          <w:docGrid w:linePitch="326" w:charSpace="0"/>
        </w:sectPr>
      </w:pPr>
      <w:r>
        <w:t>(六)、认真履行全面从严治党主体责任。强化意识形态责任落实和思想武装，持续抓好习近平新时代中国特色社会主义思想、党的二十大精神和习近平法治思想学习。持续发挥作风大整顿效果，进一步规范机关工作秩序。认真履行全面从严治党主体责任和党风廉政建设主体责任，抓好“一岗双责”落实，协助区委落实好全面从严治党主体责任。加强政法委党支部建设，强化对机关党员的教育、管理、监督和服务职能。认真抓好省委巡视整改工作落实，始终抓好廉洁自律各项规章制度落实。</w:t>
      </w:r>
    </w:p>
    <w:p>
      <w:pPr>
        <w:spacing w:before="10" w:after="10" w:line="360" w:lineRule="auto"/>
        <w:ind w:firstLine="640"/>
        <w:outlineLvl w:val="2"/>
        <w:rPr>
          <w:rFonts w:ascii="黑体" w:eastAsia="黑体" w:cs="黑体"/>
          <w:color w:val="000000"/>
          <w:sz w:val="32"/>
          <w:lang w:val="uk-UA" w:eastAsia="zh-CN"/>
        </w:rPr>
      </w:pPr>
      <w:bookmarkStart w:id="14" w:name="_Toc_3_3_0000000015"/>
      <w:r>
        <w:rPr>
          <w:rFonts w:ascii="黑体" w:eastAsia="黑体" w:cs="黑体"/>
          <w:color w:val="000000"/>
          <w:sz w:val="32"/>
        </w:rPr>
        <w:t>六、部门主管专项资金预算安排情况及绩效目标</w:t>
      </w:r>
      <w:bookmarkEnd w:id="14"/>
    </w:p>
    <w:p>
      <w:pPr>
        <w:spacing w:before="10" w:after="10" w:line="360" w:lineRule="auto"/>
        <w:ind w:firstLine="640"/>
        <w:outlineLvl w:val="2"/>
        <w:rPr>
          <w:rFonts w:ascii="黑体" w:eastAsia="黑体" w:cs="黑体"/>
          <w:color w:val="000000"/>
          <w:sz w:val="32"/>
          <w:lang w:eastAsia="zh-CN"/>
        </w:rPr>
        <w:sectPr>
          <w:pgSz w:w="16840" w:h="11900" w:orient="landscape"/>
          <w:pgMar w:top="1361" w:right="1020" w:bottom="1134" w:left="1020" w:header="720" w:footer="720" w:gutter="0"/>
          <w:cols w:space="720" w:num="1"/>
          <w:docGrid w:linePitch="326" w:charSpace="0"/>
        </w:sectPr>
      </w:pPr>
      <w:r>
        <w:rPr>
          <w:rFonts w:hint="eastAsia" w:ascii="黑体" w:eastAsia="黑体" w:cs="黑体"/>
          <w:color w:val="000000"/>
          <w:sz w:val="32"/>
          <w:lang w:eastAsia="zh-CN"/>
        </w:rPr>
        <w:t>无</w:t>
      </w:r>
    </w:p>
    <w:p>
      <w:pPr>
        <w:spacing w:before="10" w:after="10" w:line="360" w:lineRule="auto"/>
        <w:ind w:firstLine="640"/>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eastAsia="黑体" w:cs="黑体"/>
          <w:color w:val="000000"/>
          <w:sz w:val="32"/>
        </w:rPr>
        <w:t>七、部门项目预算安排情况及绩效目标</w:t>
      </w:r>
      <w:bookmarkEnd w:id="15"/>
    </w:p>
    <w:p>
      <w:pPr>
        <w:ind w:firstLine="560"/>
      </w:pPr>
      <w:r>
        <w:rPr>
          <w:rFonts w:ascii="方正仿宋_GBK" w:eastAsia="方正仿宋_GBK" w:cs="方正仿宋_GBK"/>
          <w:color w:val="000000"/>
          <w:sz w:val="28"/>
        </w:rPr>
        <w:t>1、综合业务费绩效目标表</w:t>
      </w:r>
    </w:p>
    <w:tbl>
      <w:tblPr>
        <w:tblStyle w:val="8"/>
        <w:tblW w:w="1501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2"/>
        <w:gridCol w:w="2225"/>
        <w:gridCol w:w="2781"/>
        <w:gridCol w:w="2781"/>
        <w:gridCol w:w="2502"/>
        <w:gridCol w:w="1917"/>
        <w:gridCol w:w="156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018"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2" w:type="dxa"/>
            <w:vAlign w:val="center"/>
          </w:tcPr>
          <w:p>
            <w:pPr>
              <w:pStyle w:val="13"/>
            </w:pPr>
            <w:r>
              <w:t>项目编码</w:t>
            </w:r>
          </w:p>
        </w:tc>
        <w:tc>
          <w:tcPr>
            <w:tcW w:w="5006" w:type="dxa"/>
            <w:gridSpan w:val="2"/>
            <w:vAlign w:val="center"/>
          </w:tcPr>
          <w:p>
            <w:pPr>
              <w:pStyle w:val="15"/>
            </w:pPr>
            <w:r>
              <w:t>13060624P00002710151R</w:t>
            </w:r>
          </w:p>
        </w:tc>
        <w:tc>
          <w:tcPr>
            <w:tcW w:w="2781" w:type="dxa"/>
            <w:vAlign w:val="center"/>
          </w:tcPr>
          <w:p>
            <w:pPr>
              <w:pStyle w:val="13"/>
            </w:pPr>
            <w:r>
              <w:t>项目名称</w:t>
            </w:r>
          </w:p>
        </w:tc>
        <w:tc>
          <w:tcPr>
            <w:tcW w:w="5979" w:type="dxa"/>
            <w:gridSpan w:val="3"/>
            <w:vAlign w:val="center"/>
          </w:tcPr>
          <w:p>
            <w:pPr>
              <w:pStyle w:val="15"/>
            </w:pPr>
            <w:r>
              <w:t>综合业务费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2" w:type="dxa"/>
            <w:vMerge w:val="restart"/>
            <w:vAlign w:val="center"/>
          </w:tcPr>
          <w:p>
            <w:pPr>
              <w:pStyle w:val="13"/>
            </w:pPr>
            <w:r>
              <w:t>预算规模及资金用途</w:t>
            </w:r>
          </w:p>
        </w:tc>
        <w:tc>
          <w:tcPr>
            <w:tcW w:w="2225" w:type="dxa"/>
            <w:vAlign w:val="center"/>
          </w:tcPr>
          <w:p>
            <w:pPr>
              <w:pStyle w:val="13"/>
            </w:pPr>
            <w:r>
              <w:t>预算数</w:t>
            </w:r>
          </w:p>
        </w:tc>
        <w:tc>
          <w:tcPr>
            <w:tcW w:w="2781" w:type="dxa"/>
            <w:vAlign w:val="center"/>
          </w:tcPr>
          <w:p>
            <w:pPr>
              <w:pStyle w:val="15"/>
            </w:pPr>
            <w:r>
              <w:t>111.30</w:t>
            </w:r>
          </w:p>
        </w:tc>
        <w:tc>
          <w:tcPr>
            <w:tcW w:w="2781" w:type="dxa"/>
            <w:vAlign w:val="center"/>
          </w:tcPr>
          <w:p>
            <w:pPr>
              <w:pStyle w:val="13"/>
            </w:pPr>
            <w:r>
              <w:t>其中：财政    资金</w:t>
            </w:r>
          </w:p>
        </w:tc>
        <w:tc>
          <w:tcPr>
            <w:tcW w:w="2502" w:type="dxa"/>
            <w:vAlign w:val="center"/>
          </w:tcPr>
          <w:p>
            <w:pPr>
              <w:pStyle w:val="15"/>
            </w:pPr>
            <w:r>
              <w:t>111.30</w:t>
            </w:r>
          </w:p>
        </w:tc>
        <w:tc>
          <w:tcPr>
            <w:tcW w:w="1917" w:type="dxa"/>
            <w:vAlign w:val="center"/>
          </w:tcPr>
          <w:p>
            <w:pPr>
              <w:pStyle w:val="13"/>
            </w:pPr>
            <w:r>
              <w:t>其他资金</w:t>
            </w:r>
          </w:p>
        </w:tc>
        <w:tc>
          <w:tcPr>
            <w:tcW w:w="1560"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2" w:type="dxa"/>
            <w:vMerge w:val="continue"/>
          </w:tcPr>
          <w:p/>
        </w:tc>
        <w:tc>
          <w:tcPr>
            <w:tcW w:w="13766" w:type="dxa"/>
            <w:gridSpan w:val="6"/>
            <w:vAlign w:val="center"/>
          </w:tcPr>
          <w:p>
            <w:pPr>
              <w:pStyle w:val="15"/>
            </w:pPr>
            <w:r>
              <w:t>保障机关日常工作正常运行，确保各项专项资金得到合理利用，推进各项工作扎实开展。日常工作正常运转达到90%以上。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2" w:type="dxa"/>
            <w:vMerge w:val="restart"/>
            <w:vAlign w:val="center"/>
          </w:tcPr>
          <w:p>
            <w:pPr>
              <w:pStyle w:val="13"/>
            </w:pPr>
            <w:r>
              <w:t>资金支出计划（%）</w:t>
            </w:r>
          </w:p>
        </w:tc>
        <w:tc>
          <w:tcPr>
            <w:tcW w:w="5006" w:type="dxa"/>
            <w:gridSpan w:val="2"/>
            <w:vAlign w:val="center"/>
          </w:tcPr>
          <w:p>
            <w:pPr>
              <w:pStyle w:val="13"/>
            </w:pPr>
            <w:r>
              <w:t>3月底</w:t>
            </w:r>
          </w:p>
        </w:tc>
        <w:tc>
          <w:tcPr>
            <w:tcW w:w="2781" w:type="dxa"/>
            <w:vAlign w:val="center"/>
          </w:tcPr>
          <w:p>
            <w:pPr>
              <w:pStyle w:val="13"/>
            </w:pPr>
            <w:r>
              <w:t>6月底</w:t>
            </w:r>
          </w:p>
        </w:tc>
        <w:tc>
          <w:tcPr>
            <w:tcW w:w="2502" w:type="dxa"/>
            <w:vAlign w:val="center"/>
          </w:tcPr>
          <w:p>
            <w:pPr>
              <w:pStyle w:val="13"/>
            </w:pPr>
            <w:r>
              <w:t>10月底</w:t>
            </w:r>
          </w:p>
        </w:tc>
        <w:tc>
          <w:tcPr>
            <w:tcW w:w="3477"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2" w:type="dxa"/>
            <w:vMerge w:val="continue"/>
          </w:tcPr>
          <w:p/>
        </w:tc>
        <w:tc>
          <w:tcPr>
            <w:tcW w:w="5006" w:type="dxa"/>
            <w:gridSpan w:val="2"/>
            <w:vAlign w:val="center"/>
          </w:tcPr>
          <w:p>
            <w:pPr>
              <w:pStyle w:val="16"/>
            </w:pPr>
            <w:r>
              <w:t>27.83</w:t>
            </w:r>
          </w:p>
        </w:tc>
        <w:tc>
          <w:tcPr>
            <w:tcW w:w="2781" w:type="dxa"/>
            <w:vAlign w:val="center"/>
          </w:tcPr>
          <w:p>
            <w:pPr>
              <w:pStyle w:val="16"/>
            </w:pPr>
            <w:r>
              <w:t>55.65</w:t>
            </w:r>
          </w:p>
        </w:tc>
        <w:tc>
          <w:tcPr>
            <w:tcW w:w="2502" w:type="dxa"/>
            <w:vAlign w:val="center"/>
          </w:tcPr>
          <w:p>
            <w:pPr>
              <w:pStyle w:val="16"/>
            </w:pPr>
            <w:r>
              <w:t>83.48</w:t>
            </w:r>
          </w:p>
        </w:tc>
        <w:tc>
          <w:tcPr>
            <w:tcW w:w="3477" w:type="dxa"/>
            <w:gridSpan w:val="2"/>
            <w:vAlign w:val="center"/>
          </w:tcPr>
          <w:p>
            <w:pPr>
              <w:pStyle w:val="16"/>
            </w:pPr>
            <w:r>
              <w:t>111.30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2" w:type="dxa"/>
            <w:vAlign w:val="center"/>
          </w:tcPr>
          <w:p>
            <w:pPr>
              <w:pStyle w:val="13"/>
            </w:pPr>
            <w:r>
              <w:t>绩效目标</w:t>
            </w:r>
          </w:p>
        </w:tc>
        <w:tc>
          <w:tcPr>
            <w:tcW w:w="13766" w:type="dxa"/>
            <w:gridSpan w:val="6"/>
            <w:vAlign w:val="center"/>
          </w:tcPr>
          <w:p>
            <w:pPr>
              <w:pStyle w:val="15"/>
            </w:pPr>
            <w:r>
              <w:t>1.保障机关日常工作正常运行，确保各项专项资金得到合理利用，推进各项工作扎实开展。日常工作正常运转达到90%以上。</w:t>
            </w:r>
          </w:p>
        </w:tc>
      </w:tr>
    </w:tbl>
    <w:p>
      <w:pPr>
        <w:spacing w:line="2" w:lineRule="exact"/>
        <w:jc w:val="center"/>
      </w:pPr>
    </w:p>
    <w:tbl>
      <w:tblPr>
        <w:tblStyle w:val="8"/>
        <w:tblW w:w="15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2"/>
        <w:gridCol w:w="2225"/>
        <w:gridCol w:w="2781"/>
        <w:gridCol w:w="5283"/>
        <w:gridCol w:w="1902"/>
        <w:gridCol w:w="1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52" w:type="dxa"/>
            <w:vAlign w:val="center"/>
          </w:tcPr>
          <w:p>
            <w:pPr>
              <w:pStyle w:val="13"/>
            </w:pPr>
            <w:r>
              <w:t>一级指标</w:t>
            </w:r>
          </w:p>
        </w:tc>
        <w:tc>
          <w:tcPr>
            <w:tcW w:w="2225" w:type="dxa"/>
            <w:vAlign w:val="center"/>
          </w:tcPr>
          <w:p>
            <w:pPr>
              <w:pStyle w:val="13"/>
            </w:pPr>
            <w:r>
              <w:t>二级指标</w:t>
            </w:r>
          </w:p>
        </w:tc>
        <w:tc>
          <w:tcPr>
            <w:tcW w:w="2781" w:type="dxa"/>
            <w:vAlign w:val="center"/>
          </w:tcPr>
          <w:p>
            <w:pPr>
              <w:pStyle w:val="13"/>
            </w:pPr>
            <w:r>
              <w:t>三级指标</w:t>
            </w:r>
          </w:p>
        </w:tc>
        <w:tc>
          <w:tcPr>
            <w:tcW w:w="5283" w:type="dxa"/>
            <w:vAlign w:val="center"/>
          </w:tcPr>
          <w:p>
            <w:pPr>
              <w:pStyle w:val="13"/>
            </w:pPr>
            <w:r>
              <w:t>绩效指标描述</w:t>
            </w:r>
          </w:p>
        </w:tc>
        <w:tc>
          <w:tcPr>
            <w:tcW w:w="1902" w:type="dxa"/>
            <w:vAlign w:val="center"/>
          </w:tcPr>
          <w:p>
            <w:pPr>
              <w:pStyle w:val="13"/>
            </w:pPr>
            <w:r>
              <w:t>指标值</w:t>
            </w:r>
          </w:p>
        </w:tc>
        <w:tc>
          <w:tcPr>
            <w:tcW w:w="1575"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2" w:type="dxa"/>
            <w:vMerge w:val="restart"/>
            <w:vAlign w:val="center"/>
          </w:tcPr>
          <w:p>
            <w:pPr>
              <w:pStyle w:val="16"/>
            </w:pPr>
            <w:r>
              <w:t>产出指标</w:t>
            </w:r>
          </w:p>
        </w:tc>
        <w:tc>
          <w:tcPr>
            <w:tcW w:w="2225" w:type="dxa"/>
            <w:vAlign w:val="center"/>
          </w:tcPr>
          <w:p>
            <w:pPr>
              <w:pStyle w:val="15"/>
            </w:pPr>
            <w:r>
              <w:t>数量指标</w:t>
            </w:r>
          </w:p>
        </w:tc>
        <w:tc>
          <w:tcPr>
            <w:tcW w:w="2781" w:type="dxa"/>
            <w:vAlign w:val="center"/>
          </w:tcPr>
          <w:p>
            <w:pPr>
              <w:pStyle w:val="15"/>
            </w:pPr>
            <w:r>
              <w:t>工作日保障单位运转</w:t>
            </w:r>
          </w:p>
        </w:tc>
        <w:tc>
          <w:tcPr>
            <w:tcW w:w="5283" w:type="dxa"/>
            <w:vAlign w:val="center"/>
          </w:tcPr>
          <w:p>
            <w:pPr>
              <w:pStyle w:val="15"/>
            </w:pPr>
            <w:r>
              <w:t>工作日保障单位运转时间</w:t>
            </w:r>
          </w:p>
        </w:tc>
        <w:tc>
          <w:tcPr>
            <w:tcW w:w="1902" w:type="dxa"/>
            <w:vAlign w:val="center"/>
          </w:tcPr>
          <w:p>
            <w:pPr>
              <w:pStyle w:val="15"/>
            </w:pPr>
            <w:r>
              <w:t>≥8小时</w:t>
            </w:r>
          </w:p>
        </w:tc>
        <w:tc>
          <w:tcPr>
            <w:tcW w:w="1575" w:type="dxa"/>
            <w:vAlign w:val="center"/>
          </w:tcPr>
          <w:p>
            <w:pPr>
              <w:pStyle w:val="15"/>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2" w:type="dxa"/>
            <w:vMerge w:val="continue"/>
            <w:vAlign w:val="center"/>
          </w:tcPr>
          <w:p/>
        </w:tc>
        <w:tc>
          <w:tcPr>
            <w:tcW w:w="2225" w:type="dxa"/>
            <w:vAlign w:val="center"/>
          </w:tcPr>
          <w:p>
            <w:pPr>
              <w:pStyle w:val="15"/>
            </w:pPr>
            <w:r>
              <w:t>质量指标</w:t>
            </w:r>
          </w:p>
        </w:tc>
        <w:tc>
          <w:tcPr>
            <w:tcW w:w="2781" w:type="dxa"/>
            <w:vAlign w:val="center"/>
          </w:tcPr>
          <w:p>
            <w:pPr>
              <w:pStyle w:val="15"/>
            </w:pPr>
            <w:r>
              <w:t>经费支出准确率</w:t>
            </w:r>
          </w:p>
        </w:tc>
        <w:tc>
          <w:tcPr>
            <w:tcW w:w="5283" w:type="dxa"/>
            <w:vAlign w:val="center"/>
          </w:tcPr>
          <w:p>
            <w:pPr>
              <w:pStyle w:val="15"/>
            </w:pPr>
            <w:r>
              <w:t>经费支出准确完成情况</w:t>
            </w:r>
          </w:p>
        </w:tc>
        <w:tc>
          <w:tcPr>
            <w:tcW w:w="1902" w:type="dxa"/>
            <w:vAlign w:val="center"/>
          </w:tcPr>
          <w:p>
            <w:pPr>
              <w:pStyle w:val="15"/>
            </w:pPr>
            <w:r>
              <w:t>≥95百分比</w:t>
            </w:r>
          </w:p>
        </w:tc>
        <w:tc>
          <w:tcPr>
            <w:tcW w:w="1575" w:type="dxa"/>
            <w:vAlign w:val="center"/>
          </w:tcPr>
          <w:p>
            <w:pPr>
              <w:pStyle w:val="15"/>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2" w:type="dxa"/>
            <w:vMerge w:val="continue"/>
            <w:vAlign w:val="center"/>
          </w:tcPr>
          <w:p/>
        </w:tc>
        <w:tc>
          <w:tcPr>
            <w:tcW w:w="2225" w:type="dxa"/>
            <w:vAlign w:val="center"/>
          </w:tcPr>
          <w:p>
            <w:pPr>
              <w:pStyle w:val="15"/>
            </w:pPr>
            <w:r>
              <w:t>时效指标</w:t>
            </w:r>
          </w:p>
        </w:tc>
        <w:tc>
          <w:tcPr>
            <w:tcW w:w="2781" w:type="dxa"/>
            <w:vAlign w:val="center"/>
          </w:tcPr>
          <w:p>
            <w:pPr>
              <w:pStyle w:val="15"/>
            </w:pPr>
            <w:r>
              <w:t>资金拨付及时率</w:t>
            </w:r>
          </w:p>
        </w:tc>
        <w:tc>
          <w:tcPr>
            <w:tcW w:w="5283" w:type="dxa"/>
            <w:vAlign w:val="center"/>
          </w:tcPr>
          <w:p>
            <w:pPr>
              <w:pStyle w:val="15"/>
            </w:pPr>
            <w:r>
              <w:t>完成工作资金拨付及时情况</w:t>
            </w:r>
          </w:p>
        </w:tc>
        <w:tc>
          <w:tcPr>
            <w:tcW w:w="1902" w:type="dxa"/>
            <w:vAlign w:val="center"/>
          </w:tcPr>
          <w:p>
            <w:pPr>
              <w:pStyle w:val="15"/>
            </w:pPr>
            <w:r>
              <w:t>≥95百分比</w:t>
            </w:r>
          </w:p>
        </w:tc>
        <w:tc>
          <w:tcPr>
            <w:tcW w:w="1575" w:type="dxa"/>
            <w:vAlign w:val="center"/>
          </w:tcPr>
          <w:p>
            <w:pPr>
              <w:pStyle w:val="15"/>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2" w:type="dxa"/>
            <w:vMerge w:val="continue"/>
            <w:vAlign w:val="center"/>
          </w:tcPr>
          <w:p/>
        </w:tc>
        <w:tc>
          <w:tcPr>
            <w:tcW w:w="2225" w:type="dxa"/>
            <w:vAlign w:val="center"/>
          </w:tcPr>
          <w:p>
            <w:pPr>
              <w:pStyle w:val="15"/>
            </w:pPr>
            <w:r>
              <w:t>成本指标</w:t>
            </w:r>
          </w:p>
        </w:tc>
        <w:tc>
          <w:tcPr>
            <w:tcW w:w="2781" w:type="dxa"/>
            <w:vAlign w:val="center"/>
          </w:tcPr>
          <w:p>
            <w:pPr>
              <w:pStyle w:val="15"/>
            </w:pPr>
            <w:r>
              <w:t>预算成本支出数</w:t>
            </w:r>
          </w:p>
        </w:tc>
        <w:tc>
          <w:tcPr>
            <w:tcW w:w="5283" w:type="dxa"/>
            <w:vAlign w:val="center"/>
          </w:tcPr>
          <w:p>
            <w:pPr>
              <w:pStyle w:val="15"/>
            </w:pPr>
            <w:r>
              <w:t>项目预算执行情况</w:t>
            </w:r>
          </w:p>
        </w:tc>
        <w:tc>
          <w:tcPr>
            <w:tcW w:w="1902" w:type="dxa"/>
            <w:vAlign w:val="center"/>
          </w:tcPr>
          <w:p>
            <w:pPr>
              <w:pStyle w:val="15"/>
            </w:pPr>
            <w:r>
              <w:t>≤111.3万元</w:t>
            </w:r>
          </w:p>
        </w:tc>
        <w:tc>
          <w:tcPr>
            <w:tcW w:w="1575" w:type="dxa"/>
            <w:vAlign w:val="center"/>
          </w:tcPr>
          <w:p>
            <w:pPr>
              <w:pStyle w:val="15"/>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2" w:type="dxa"/>
            <w:vMerge w:val="restart"/>
            <w:vAlign w:val="center"/>
          </w:tcPr>
          <w:p>
            <w:pPr>
              <w:pStyle w:val="16"/>
            </w:pPr>
            <w:r>
              <w:t>效益指标</w:t>
            </w:r>
          </w:p>
        </w:tc>
        <w:tc>
          <w:tcPr>
            <w:tcW w:w="2225" w:type="dxa"/>
            <w:vAlign w:val="center"/>
          </w:tcPr>
          <w:p>
            <w:pPr>
              <w:pStyle w:val="15"/>
            </w:pPr>
            <w:r>
              <w:t>经济效益指标</w:t>
            </w:r>
          </w:p>
        </w:tc>
        <w:tc>
          <w:tcPr>
            <w:tcW w:w="2781" w:type="dxa"/>
            <w:vAlign w:val="center"/>
          </w:tcPr>
          <w:p>
            <w:pPr>
              <w:pStyle w:val="15"/>
            </w:pPr>
            <w:r>
              <w:t>发挥财政资金使用效益</w:t>
            </w:r>
          </w:p>
        </w:tc>
        <w:tc>
          <w:tcPr>
            <w:tcW w:w="5283" w:type="dxa"/>
            <w:vAlign w:val="center"/>
          </w:tcPr>
          <w:p>
            <w:pPr>
              <w:pStyle w:val="15"/>
            </w:pPr>
            <w:r>
              <w:t>财政资金使用情况</w:t>
            </w:r>
          </w:p>
        </w:tc>
        <w:tc>
          <w:tcPr>
            <w:tcW w:w="1902" w:type="dxa"/>
            <w:vAlign w:val="center"/>
          </w:tcPr>
          <w:p>
            <w:pPr>
              <w:pStyle w:val="15"/>
            </w:pPr>
            <w:r>
              <w:t>≥95百分比</w:t>
            </w:r>
          </w:p>
        </w:tc>
        <w:tc>
          <w:tcPr>
            <w:tcW w:w="1575" w:type="dxa"/>
            <w:vAlign w:val="center"/>
          </w:tcPr>
          <w:p>
            <w:pPr>
              <w:pStyle w:val="15"/>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2" w:type="dxa"/>
            <w:vMerge w:val="continue"/>
            <w:vAlign w:val="center"/>
          </w:tcPr>
          <w:p/>
        </w:tc>
        <w:tc>
          <w:tcPr>
            <w:tcW w:w="2225" w:type="dxa"/>
            <w:vAlign w:val="center"/>
          </w:tcPr>
          <w:p>
            <w:pPr>
              <w:pStyle w:val="15"/>
            </w:pPr>
            <w:r>
              <w:t>社会效益指标</w:t>
            </w:r>
          </w:p>
        </w:tc>
        <w:tc>
          <w:tcPr>
            <w:tcW w:w="2781" w:type="dxa"/>
            <w:vAlign w:val="center"/>
          </w:tcPr>
          <w:p>
            <w:pPr>
              <w:pStyle w:val="15"/>
            </w:pPr>
            <w:r>
              <w:t>社会稳定排查率</w:t>
            </w:r>
          </w:p>
        </w:tc>
        <w:tc>
          <w:tcPr>
            <w:tcW w:w="5283" w:type="dxa"/>
            <w:vAlign w:val="center"/>
          </w:tcPr>
          <w:p>
            <w:pPr>
              <w:pStyle w:val="15"/>
            </w:pPr>
            <w:r>
              <w:t>维护社会稳定情况</w:t>
            </w:r>
          </w:p>
        </w:tc>
        <w:tc>
          <w:tcPr>
            <w:tcW w:w="1902" w:type="dxa"/>
            <w:vAlign w:val="center"/>
          </w:tcPr>
          <w:p>
            <w:pPr>
              <w:pStyle w:val="15"/>
            </w:pPr>
            <w:r>
              <w:t>≥90百分比</w:t>
            </w:r>
          </w:p>
        </w:tc>
        <w:tc>
          <w:tcPr>
            <w:tcW w:w="1575" w:type="dxa"/>
            <w:vAlign w:val="center"/>
          </w:tcPr>
          <w:p>
            <w:pPr>
              <w:pStyle w:val="15"/>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2" w:type="dxa"/>
            <w:vMerge w:val="continue"/>
            <w:vAlign w:val="center"/>
          </w:tcPr>
          <w:p/>
        </w:tc>
        <w:tc>
          <w:tcPr>
            <w:tcW w:w="2225" w:type="dxa"/>
            <w:vAlign w:val="center"/>
          </w:tcPr>
          <w:p>
            <w:pPr>
              <w:pStyle w:val="15"/>
            </w:pPr>
            <w:r>
              <w:t>可持续影响指标</w:t>
            </w:r>
          </w:p>
        </w:tc>
        <w:tc>
          <w:tcPr>
            <w:tcW w:w="2781" w:type="dxa"/>
            <w:vAlign w:val="center"/>
          </w:tcPr>
          <w:p>
            <w:pPr>
              <w:pStyle w:val="15"/>
            </w:pPr>
            <w:r>
              <w:t>持续做好救助工作，帮助可救助人群</w:t>
            </w:r>
          </w:p>
        </w:tc>
        <w:tc>
          <w:tcPr>
            <w:tcW w:w="5283" w:type="dxa"/>
            <w:vAlign w:val="center"/>
          </w:tcPr>
          <w:p>
            <w:pPr>
              <w:pStyle w:val="15"/>
            </w:pPr>
            <w:r>
              <w:t>救助工作开展情况</w:t>
            </w:r>
          </w:p>
        </w:tc>
        <w:tc>
          <w:tcPr>
            <w:tcW w:w="1902" w:type="dxa"/>
            <w:vAlign w:val="center"/>
          </w:tcPr>
          <w:p>
            <w:pPr>
              <w:pStyle w:val="15"/>
            </w:pPr>
            <w:r>
              <w:t>持续帮助可救助人群，提高社会幸福指数。</w:t>
            </w:r>
          </w:p>
        </w:tc>
        <w:tc>
          <w:tcPr>
            <w:tcW w:w="1575" w:type="dxa"/>
            <w:vAlign w:val="center"/>
          </w:tcPr>
          <w:p>
            <w:pPr>
              <w:pStyle w:val="15"/>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2" w:type="dxa"/>
            <w:vMerge w:val="continue"/>
            <w:vAlign w:val="center"/>
          </w:tcPr>
          <w:p/>
        </w:tc>
        <w:tc>
          <w:tcPr>
            <w:tcW w:w="2225" w:type="dxa"/>
            <w:vAlign w:val="center"/>
          </w:tcPr>
          <w:p>
            <w:pPr>
              <w:pStyle w:val="15"/>
            </w:pPr>
            <w:r>
              <w:t>生态效益指标</w:t>
            </w:r>
          </w:p>
        </w:tc>
        <w:tc>
          <w:tcPr>
            <w:tcW w:w="2781" w:type="dxa"/>
            <w:vAlign w:val="center"/>
          </w:tcPr>
          <w:p>
            <w:pPr>
              <w:pStyle w:val="15"/>
            </w:pPr>
            <w:r>
              <w:t>该项目不涉及</w:t>
            </w:r>
          </w:p>
        </w:tc>
        <w:tc>
          <w:tcPr>
            <w:tcW w:w="5283" w:type="dxa"/>
            <w:vAlign w:val="center"/>
          </w:tcPr>
          <w:p>
            <w:pPr>
              <w:pStyle w:val="15"/>
            </w:pPr>
            <w:r>
              <w:t>该项目不涉及</w:t>
            </w:r>
          </w:p>
        </w:tc>
        <w:tc>
          <w:tcPr>
            <w:tcW w:w="1902" w:type="dxa"/>
            <w:vAlign w:val="center"/>
          </w:tcPr>
          <w:p>
            <w:pPr>
              <w:pStyle w:val="15"/>
            </w:pPr>
            <w:r>
              <w:t>该项目不涉及</w:t>
            </w:r>
          </w:p>
        </w:tc>
        <w:tc>
          <w:tcPr>
            <w:tcW w:w="1575" w:type="dxa"/>
            <w:vAlign w:val="center"/>
          </w:tcPr>
          <w:p>
            <w:pPr>
              <w:pStyle w:val="15"/>
            </w:pPr>
            <w:r>
              <w:t>该项目不涉及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2" w:type="dxa"/>
            <w:vAlign w:val="center"/>
          </w:tcPr>
          <w:p>
            <w:pPr>
              <w:pStyle w:val="16"/>
            </w:pPr>
            <w:r>
              <w:t>满意度指标</w:t>
            </w:r>
          </w:p>
        </w:tc>
        <w:tc>
          <w:tcPr>
            <w:tcW w:w="2225" w:type="dxa"/>
            <w:vAlign w:val="center"/>
          </w:tcPr>
          <w:p>
            <w:pPr>
              <w:pStyle w:val="15"/>
            </w:pPr>
            <w:r>
              <w:t>服务对象满意度指标</w:t>
            </w:r>
          </w:p>
        </w:tc>
        <w:tc>
          <w:tcPr>
            <w:tcW w:w="2781" w:type="dxa"/>
            <w:vAlign w:val="center"/>
          </w:tcPr>
          <w:p>
            <w:pPr>
              <w:pStyle w:val="15"/>
            </w:pPr>
            <w:r>
              <w:t>群众满意率</w:t>
            </w:r>
          </w:p>
        </w:tc>
        <w:tc>
          <w:tcPr>
            <w:tcW w:w="5283" w:type="dxa"/>
            <w:vAlign w:val="center"/>
          </w:tcPr>
          <w:p>
            <w:pPr>
              <w:pStyle w:val="15"/>
            </w:pPr>
            <w:r>
              <w:t>收集年度满意度调查结果</w:t>
            </w:r>
          </w:p>
        </w:tc>
        <w:tc>
          <w:tcPr>
            <w:tcW w:w="1902" w:type="dxa"/>
            <w:vAlign w:val="center"/>
          </w:tcPr>
          <w:p>
            <w:pPr>
              <w:pStyle w:val="15"/>
            </w:pPr>
            <w:r>
              <w:t>≥95百分比</w:t>
            </w:r>
          </w:p>
        </w:tc>
        <w:tc>
          <w:tcPr>
            <w:tcW w:w="1575" w:type="dxa"/>
            <w:vAlign w:val="center"/>
          </w:tcPr>
          <w:p>
            <w:pPr>
              <w:pStyle w:val="15"/>
            </w:pPr>
            <w:r>
              <w:t>相关满意度问卷调查</w:t>
            </w:r>
          </w:p>
        </w:tc>
      </w:tr>
    </w:tbl>
    <w:p>
      <w:pPr>
        <w:sectPr>
          <w:type w:val="continuous"/>
          <w:pgSz w:w="16840" w:h="11900" w:orient="landscape"/>
          <w:pgMar w:top="1361" w:right="1020" w:bottom="1134" w:left="1020" w:header="720" w:footer="720" w:gutter="0"/>
          <w:cols w:space="720" w:num="1"/>
          <w:docGrid w:linePitch="326" w:charSpace="0"/>
        </w:sectPr>
      </w:pPr>
    </w:p>
    <w:p>
      <w:pPr>
        <w:ind w:firstLine="560"/>
      </w:pPr>
      <w:r>
        <w:rPr>
          <w:rFonts w:ascii="方正仿宋_GBK" w:eastAsia="方正仿宋_GBK" w:cs="方正仿宋_GBK"/>
          <w:color w:val="000000"/>
          <w:sz w:val="28"/>
        </w:rPr>
        <w:t>2、综治经费绩效目标表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13060624P000027101506</w:t>
            </w:r>
          </w:p>
        </w:tc>
        <w:tc>
          <w:tcPr>
            <w:tcW w:w="2835" w:type="dxa"/>
            <w:vAlign w:val="center"/>
          </w:tcPr>
          <w:p>
            <w:pPr>
              <w:pStyle w:val="13"/>
            </w:pPr>
            <w:r>
              <w:t>项目名称</w:t>
            </w:r>
          </w:p>
        </w:tc>
        <w:tc>
          <w:tcPr>
            <w:tcW w:w="6094" w:type="dxa"/>
            <w:gridSpan w:val="3"/>
            <w:vAlign w:val="center"/>
          </w:tcPr>
          <w:p>
            <w:pPr>
              <w:pStyle w:val="15"/>
            </w:pPr>
            <w:r>
              <w:t>综治经费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42.00</w:t>
            </w:r>
          </w:p>
        </w:tc>
        <w:tc>
          <w:tcPr>
            <w:tcW w:w="2835" w:type="dxa"/>
            <w:vAlign w:val="center"/>
          </w:tcPr>
          <w:p>
            <w:pPr>
              <w:pStyle w:val="13"/>
            </w:pPr>
            <w:r>
              <w:t>其中：财政    资金</w:t>
            </w:r>
          </w:p>
        </w:tc>
        <w:tc>
          <w:tcPr>
            <w:tcW w:w="2551" w:type="dxa"/>
            <w:vAlign w:val="center"/>
          </w:tcPr>
          <w:p>
            <w:pPr>
              <w:pStyle w:val="15"/>
            </w:pPr>
            <w:r>
              <w:t>42.00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社会治安突出问题得以解决，社会矛盾纠纷得以排查和调处，社会治安形势得以好转。全区稳定达到90%以上。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10.50</w:t>
            </w:r>
          </w:p>
        </w:tc>
        <w:tc>
          <w:tcPr>
            <w:tcW w:w="2835" w:type="dxa"/>
            <w:vAlign w:val="center"/>
          </w:tcPr>
          <w:p>
            <w:pPr>
              <w:pStyle w:val="16"/>
            </w:pPr>
            <w:r>
              <w:t>21.00</w:t>
            </w:r>
          </w:p>
        </w:tc>
        <w:tc>
          <w:tcPr>
            <w:tcW w:w="2551" w:type="dxa"/>
            <w:vAlign w:val="center"/>
          </w:tcPr>
          <w:p>
            <w:pPr>
              <w:pStyle w:val="16"/>
            </w:pPr>
            <w:r>
              <w:t>31.50</w:t>
            </w:r>
          </w:p>
        </w:tc>
        <w:tc>
          <w:tcPr>
            <w:tcW w:w="3543" w:type="dxa"/>
            <w:gridSpan w:val="2"/>
            <w:vAlign w:val="center"/>
          </w:tcPr>
          <w:p>
            <w:pPr>
              <w:pStyle w:val="16"/>
            </w:pPr>
            <w:r>
              <w:t>42.00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1.社会治安突出问题得以解决，社会矛盾纠纷得以排查和调处，社会治安形势得以好转。全区稳定达到90%以上。</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工作日保障单位运转</w:t>
            </w:r>
          </w:p>
        </w:tc>
        <w:tc>
          <w:tcPr>
            <w:tcW w:w="5386" w:type="dxa"/>
            <w:vAlign w:val="center"/>
          </w:tcPr>
          <w:p>
            <w:pPr>
              <w:pStyle w:val="15"/>
            </w:pPr>
            <w:r>
              <w:t>工作日保障单位运转时间</w:t>
            </w:r>
          </w:p>
        </w:tc>
        <w:tc>
          <w:tcPr>
            <w:tcW w:w="2268" w:type="dxa"/>
            <w:vAlign w:val="center"/>
          </w:tcPr>
          <w:p>
            <w:pPr>
              <w:pStyle w:val="15"/>
            </w:pPr>
            <w:r>
              <w:t>≥8小时</w:t>
            </w:r>
          </w:p>
        </w:tc>
        <w:tc>
          <w:tcPr>
            <w:tcW w:w="1276" w:type="dxa"/>
            <w:vAlign w:val="center"/>
          </w:tcPr>
          <w:p>
            <w:pPr>
              <w:pStyle w:val="15"/>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经费支出准确率</w:t>
            </w:r>
          </w:p>
        </w:tc>
        <w:tc>
          <w:tcPr>
            <w:tcW w:w="5386" w:type="dxa"/>
            <w:vAlign w:val="center"/>
          </w:tcPr>
          <w:p>
            <w:pPr>
              <w:pStyle w:val="15"/>
            </w:pPr>
            <w:r>
              <w:t>经费支出准确完成情况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资金拨付及时率</w:t>
            </w:r>
          </w:p>
        </w:tc>
        <w:tc>
          <w:tcPr>
            <w:tcW w:w="5386" w:type="dxa"/>
            <w:vAlign w:val="center"/>
          </w:tcPr>
          <w:p>
            <w:pPr>
              <w:pStyle w:val="15"/>
            </w:pPr>
            <w:r>
              <w:t>完成工作资金拨付及时情况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预算成本支出数</w:t>
            </w:r>
          </w:p>
        </w:tc>
        <w:tc>
          <w:tcPr>
            <w:tcW w:w="5386" w:type="dxa"/>
            <w:vAlign w:val="center"/>
          </w:tcPr>
          <w:p>
            <w:pPr>
              <w:pStyle w:val="15"/>
            </w:pPr>
            <w:r>
              <w:t>项目预算执行情况</w:t>
            </w:r>
          </w:p>
        </w:tc>
        <w:tc>
          <w:tcPr>
            <w:tcW w:w="2268" w:type="dxa"/>
            <w:vAlign w:val="center"/>
          </w:tcPr>
          <w:p>
            <w:pPr>
              <w:pStyle w:val="15"/>
            </w:pPr>
            <w:r>
              <w:t>≤42万元</w:t>
            </w:r>
          </w:p>
        </w:tc>
        <w:tc>
          <w:tcPr>
            <w:tcW w:w="1276" w:type="dxa"/>
            <w:vAlign w:val="center"/>
          </w:tcPr>
          <w:p>
            <w:pPr>
              <w:pStyle w:val="15"/>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发挥财政资金使用效益</w:t>
            </w:r>
          </w:p>
        </w:tc>
        <w:tc>
          <w:tcPr>
            <w:tcW w:w="5386" w:type="dxa"/>
            <w:vAlign w:val="center"/>
          </w:tcPr>
          <w:p>
            <w:pPr>
              <w:pStyle w:val="15"/>
            </w:pPr>
            <w:r>
              <w:t>财政资金使用情况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社会稳定排查率</w:t>
            </w:r>
          </w:p>
        </w:tc>
        <w:tc>
          <w:tcPr>
            <w:tcW w:w="5386" w:type="dxa"/>
            <w:vAlign w:val="center"/>
          </w:tcPr>
          <w:p>
            <w:pPr>
              <w:pStyle w:val="15"/>
            </w:pPr>
            <w:r>
              <w:t>维护社会稳定情况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“雪亮工程”服务建设逐步达到社会全覆盖</w:t>
            </w:r>
          </w:p>
        </w:tc>
        <w:tc>
          <w:tcPr>
            <w:tcW w:w="5386" w:type="dxa"/>
            <w:vAlign w:val="center"/>
          </w:tcPr>
          <w:p>
            <w:pPr>
              <w:pStyle w:val="15"/>
            </w:pPr>
            <w:r>
              <w:t>“雪亮工程”服务持续建设情况</w:t>
            </w:r>
          </w:p>
        </w:tc>
        <w:tc>
          <w:tcPr>
            <w:tcW w:w="2268" w:type="dxa"/>
            <w:vAlign w:val="center"/>
          </w:tcPr>
          <w:p>
            <w:pPr>
              <w:pStyle w:val="15"/>
            </w:pPr>
            <w:r>
              <w:t>通过“雪亮工程”服务持续建设，提高社会幸福指数。</w:t>
            </w:r>
          </w:p>
        </w:tc>
        <w:tc>
          <w:tcPr>
            <w:tcW w:w="1276" w:type="dxa"/>
            <w:vAlign w:val="center"/>
          </w:tcPr>
          <w:p>
            <w:pPr>
              <w:pStyle w:val="15"/>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该项目不涉及</w:t>
            </w:r>
          </w:p>
        </w:tc>
        <w:tc>
          <w:tcPr>
            <w:tcW w:w="5386" w:type="dxa"/>
            <w:vAlign w:val="center"/>
          </w:tcPr>
          <w:p>
            <w:pPr>
              <w:pStyle w:val="15"/>
            </w:pPr>
            <w:r>
              <w:t>该项目不涉及</w:t>
            </w:r>
          </w:p>
        </w:tc>
        <w:tc>
          <w:tcPr>
            <w:tcW w:w="2268" w:type="dxa"/>
            <w:vAlign w:val="center"/>
          </w:tcPr>
          <w:p>
            <w:pPr>
              <w:pStyle w:val="15"/>
            </w:pPr>
            <w:r>
              <w:t>该项目不涉及</w:t>
            </w:r>
          </w:p>
        </w:tc>
        <w:tc>
          <w:tcPr>
            <w:tcW w:w="1276" w:type="dxa"/>
            <w:vAlign w:val="center"/>
          </w:tcPr>
          <w:p>
            <w:pPr>
              <w:pStyle w:val="15"/>
            </w:pPr>
            <w:r>
              <w:t>该项目不涉及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群众满意率</w:t>
            </w:r>
          </w:p>
        </w:tc>
        <w:tc>
          <w:tcPr>
            <w:tcW w:w="5386" w:type="dxa"/>
            <w:vAlign w:val="center"/>
          </w:tcPr>
          <w:p>
            <w:pPr>
              <w:pStyle w:val="15"/>
            </w:pPr>
            <w:r>
              <w:t>收集年度满意度调查结果</w:t>
            </w:r>
          </w:p>
        </w:tc>
        <w:tc>
          <w:tcPr>
            <w:tcW w:w="2268" w:type="dxa"/>
            <w:vAlign w:val="center"/>
          </w:tcPr>
          <w:p>
            <w:pPr>
              <w:pStyle w:val="15"/>
            </w:pPr>
            <w:r>
              <w:t>≥95百分比</w:t>
            </w:r>
          </w:p>
        </w:tc>
        <w:tc>
          <w:tcPr>
            <w:tcW w:w="1276" w:type="dxa"/>
            <w:vAlign w:val="center"/>
          </w:tcPr>
          <w:p>
            <w:pPr>
              <w:pStyle w:val="15"/>
            </w:pPr>
            <w:r>
              <w:t>相关满意度问卷调查</w:t>
            </w:r>
          </w:p>
        </w:tc>
      </w:tr>
    </w:tbl>
    <w:p>
      <w:pPr>
        <w:spacing w:line="2" w:lineRule="exact"/>
        <w:jc w:val="both"/>
        <w:sectPr>
          <w:pgSz w:w="16840" w:h="11900" w:orient="landscape"/>
          <w:pgMar w:top="1361" w:right="1020" w:bottom="1134" w:left="1020" w:header="720" w:footer="720" w:gutter="0"/>
          <w:cols w:space="720" w:num="1"/>
          <w:docGrid w:linePitch="326" w:charSpace="0"/>
        </w:sectPr>
      </w:pPr>
    </w:p>
    <w:p>
      <w:pPr>
        <w:spacing w:before="10" w:after="10"/>
        <w:ind w:firstLine="640" w:firstLineChars="200"/>
        <w:outlineLvl w:val="2"/>
      </w:pPr>
      <w:bookmarkStart w:id="16" w:name="_Toc_3_3_0000000017"/>
      <w:r>
        <w:rPr>
          <w:rFonts w:ascii="黑体" w:eastAsia="黑体" w:cs="黑体"/>
          <w:color w:val="000000"/>
          <w:sz w:val="32"/>
        </w:rPr>
        <w:t>八、政府采购预算情况</w:t>
      </w:r>
      <w:bookmarkEnd w:id="16"/>
    </w:p>
    <w:p>
      <w:pPr>
        <w:jc w:val="center"/>
      </w:pPr>
      <w:r>
        <w:rPr>
          <w:rFonts w:asci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216中国共产党保定市莲池区委政法委员会</w:t>
            </w:r>
          </w:p>
        </w:tc>
        <w:tc>
          <w:tcPr>
            <w:tcW w:w="7710"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color w:val="000000"/>
          <w:sz w:val="21"/>
        </w:rPr>
        <w:t>注：无政府采购预算，空表列示。</w:t>
      </w:r>
    </w:p>
    <w:p>
      <w:pPr>
        <w:ind w:firstLine="640"/>
      </w:pPr>
    </w:p>
    <w:p>
      <w:pPr>
        <w:spacing w:before="10" w:after="10"/>
        <w:ind w:firstLine="640"/>
        <w:outlineLvl w:val="2"/>
      </w:pPr>
      <w:bookmarkStart w:id="17" w:name="_Toc_3_3_0000000018"/>
      <w:r>
        <w:rPr>
          <w:rFonts w:ascii="黑体" w:eastAsia="黑体" w:cs="黑体"/>
          <w:color w:val="000000"/>
          <w:sz w:val="32"/>
        </w:rPr>
        <w:t>九、国有资产信息</w:t>
      </w:r>
      <w:bookmarkEnd w:id="17"/>
    </w:p>
    <w:p>
      <w:pPr>
        <w:spacing w:line="500" w:lineRule="exact"/>
        <w:ind w:firstLine="560"/>
      </w:pPr>
      <w:r>
        <w:rPr>
          <w:rFonts w:eastAsia="方正仿宋_GBK"/>
          <w:color w:val="000000"/>
          <w:sz w:val="28"/>
        </w:rPr>
        <w:t>中国共产党保定市莲池区委政法委员会（含所属单位）上年末固定资产金额为</w:t>
      </w:r>
      <w:r>
        <w:rPr>
          <w:rFonts w:hint="eastAsia" w:eastAsia="方正仿宋_GBK"/>
          <w:color w:val="000000"/>
          <w:sz w:val="28"/>
          <w:lang w:eastAsia="zh-CN"/>
        </w:rPr>
        <w:t>102.05</w:t>
      </w:r>
      <w:r>
        <w:rPr>
          <w:rFonts w:eastAsia="方正仿宋_GBK"/>
          <w:color w:val="000000"/>
          <w:sz w:val="28"/>
        </w:rPr>
        <w:t>万元（详见下表）。本年度拟购置固定资产总额为0.00万元，已按要求列入政府采购预算，详见政府采购预算表。</w:t>
      </w:r>
    </w:p>
    <w:p>
      <w:pPr>
        <w:jc w:val="center"/>
        <w:rPr>
          <w:rFonts w:ascii="方正小标宋_GBK" w:eastAsia="方正小标宋_GBK" w:cs="方正小标宋_GBK"/>
          <w:color w:val="000000"/>
          <w:sz w:val="36"/>
        </w:rPr>
      </w:pPr>
      <w:r>
        <w:rPr>
          <w:rFonts w:ascii="方正小标宋_GBK" w:eastAsia="方正小标宋_GBK" w:cs="方正小标宋_GBK"/>
          <w:color w:val="000000"/>
          <w:sz w:val="36"/>
        </w:rPr>
        <w:t>部门固定资产占用情况表</w:t>
      </w:r>
    </w:p>
    <w:p>
      <w:pPr>
        <w:ind w:firstLine="960" w:firstLineChars="400"/>
        <w:rPr>
          <w:rFonts w:ascii="方正小标宋_GBK" w:eastAsia="方正小标宋_GBK" w:cs="方正小标宋_GBK"/>
          <w:color w:val="000000"/>
          <w:sz w:val="36"/>
        </w:rPr>
      </w:pPr>
      <w:r>
        <w:rPr>
          <w:rFonts w:hint="eastAsia" w:eastAsia="方正仿宋_GBK"/>
          <w:color w:val="000000"/>
          <w:lang w:eastAsia="zh-CN"/>
        </w:rPr>
        <w:t>216</w:t>
      </w:r>
      <w:r>
        <w:rPr>
          <w:rFonts w:eastAsia="方正仿宋_GBK"/>
          <w:color w:val="000000"/>
        </w:rPr>
        <w:t>中国共产党保定市莲池区委政法委员会</w:t>
      </w:r>
      <w:r>
        <w:rPr>
          <w:rFonts w:hint="eastAsia" w:eastAsiaTheme="minorEastAsia"/>
          <w:color w:val="000000"/>
          <w:lang w:eastAsia="zh-CN"/>
        </w:rPr>
        <w:t xml:space="preserve">                                                                                                </w:t>
      </w:r>
      <w:r>
        <w:rPr>
          <w:rFonts w:hint="eastAsia"/>
        </w:rPr>
        <w:t>截止时间：</w:t>
      </w:r>
      <w:r>
        <w:t>202</w:t>
      </w:r>
      <w:r>
        <w:rPr>
          <w:rFonts w:hint="eastAsia"/>
          <w:lang w:eastAsia="zh-CN"/>
        </w:rPr>
        <w:t>3</w:t>
      </w:r>
      <w:r>
        <w:rPr>
          <w:rFonts w:hint="eastAsia" w:eastAsiaTheme="minorEastAsia"/>
          <w:lang w:eastAsia="zh-CN"/>
        </w:rPr>
        <w:t>-12-31</w:t>
      </w:r>
    </w:p>
    <w:tbl>
      <w:tblPr>
        <w:tblStyle w:val="8"/>
        <w:tblpPr w:leftFromText="180" w:rightFromText="180" w:vertAnchor="text" w:horzAnchor="page" w:tblpX="1787" w:tblpY="161"/>
        <w:tblOverlap w:val="never"/>
        <w:tblW w:w="0" w:type="auto"/>
        <w:tblInd w:w="0" w:type="dxa"/>
        <w:tblLayout w:type="fixed"/>
        <w:tblCellMar>
          <w:top w:w="0" w:type="dxa"/>
          <w:left w:w="0" w:type="dxa"/>
          <w:bottom w:w="0" w:type="dxa"/>
          <w:right w:w="0" w:type="dxa"/>
        </w:tblCellMar>
      </w:tblPr>
      <w:tblGrid>
        <w:gridCol w:w="7232"/>
        <w:gridCol w:w="1416"/>
        <w:gridCol w:w="4503"/>
      </w:tblGrid>
      <w:tr>
        <w:tblPrEx>
          <w:tblCellMar>
            <w:top w:w="0" w:type="dxa"/>
            <w:left w:w="0" w:type="dxa"/>
            <w:bottom w:w="0" w:type="dxa"/>
            <w:right w:w="0" w:type="dxa"/>
          </w:tblCellMar>
        </w:tblPrEx>
        <w:trPr>
          <w:trHeight w:val="1134" w:hRule="atLeast"/>
        </w:trPr>
        <w:tc>
          <w:tcPr>
            <w:tcW w:w="7232" w:type="dxa"/>
            <w:tcBorders>
              <w:top w:val="single" w:color="000000" w:sz="6" w:space="0"/>
              <w:left w:val="single" w:color="000000" w:sz="6" w:space="0"/>
              <w:bottom w:val="single" w:color="000000" w:sz="6" w:space="0"/>
              <w:right w:val="single" w:color="000000" w:sz="6" w:space="0"/>
            </w:tcBorders>
          </w:tcPr>
          <w:p>
            <w:pPr>
              <w:pStyle w:val="36"/>
              <w:kinsoku w:val="0"/>
              <w:overflowPunct w:val="0"/>
              <w:rPr>
                <w:rFonts w:ascii="仿宋" w:eastAsia="仿宋" w:cs="仿宋"/>
              </w:rPr>
            </w:pPr>
          </w:p>
          <w:p>
            <w:pPr>
              <w:pStyle w:val="36"/>
              <w:kinsoku w:val="0"/>
              <w:overflowPunct w:val="0"/>
              <w:spacing w:before="189"/>
              <w:ind w:left="3114" w:right="3103"/>
              <w:jc w:val="center"/>
              <w:rPr>
                <w:rFonts w:ascii="仿宋" w:eastAsia="仿宋" w:cs="仿宋"/>
              </w:rPr>
            </w:pPr>
            <w:r>
              <w:rPr>
                <w:rFonts w:hint="eastAsia" w:ascii="仿宋" w:eastAsia="仿宋" w:cs="仿宋"/>
              </w:rPr>
              <w:t>项目</w:t>
            </w:r>
          </w:p>
        </w:tc>
        <w:tc>
          <w:tcPr>
            <w:tcW w:w="1416" w:type="dxa"/>
            <w:tcBorders>
              <w:top w:val="single" w:color="000000" w:sz="6" w:space="0"/>
              <w:left w:val="single" w:color="000000" w:sz="6" w:space="0"/>
              <w:bottom w:val="single" w:color="000000" w:sz="6" w:space="0"/>
              <w:right w:val="single" w:color="000000" w:sz="6" w:space="0"/>
            </w:tcBorders>
          </w:tcPr>
          <w:p>
            <w:pPr>
              <w:pStyle w:val="36"/>
              <w:kinsoku w:val="0"/>
              <w:overflowPunct w:val="0"/>
              <w:rPr>
                <w:rFonts w:ascii="仿宋" w:eastAsia="仿宋" w:cs="仿宋"/>
              </w:rPr>
            </w:pPr>
          </w:p>
          <w:p>
            <w:pPr>
              <w:pStyle w:val="36"/>
              <w:kinsoku w:val="0"/>
              <w:overflowPunct w:val="0"/>
              <w:spacing w:before="189"/>
              <w:ind w:left="147" w:right="133"/>
              <w:jc w:val="center"/>
              <w:rPr>
                <w:rFonts w:ascii="仿宋" w:eastAsia="仿宋" w:cs="仿宋"/>
              </w:rPr>
            </w:pPr>
            <w:r>
              <w:rPr>
                <w:rFonts w:hint="eastAsia" w:ascii="仿宋" w:eastAsia="仿宋" w:cs="仿宋"/>
              </w:rPr>
              <w:t>数量</w:t>
            </w:r>
          </w:p>
        </w:tc>
        <w:tc>
          <w:tcPr>
            <w:tcW w:w="4503" w:type="dxa"/>
            <w:tcBorders>
              <w:top w:val="single" w:color="000000" w:sz="6" w:space="0"/>
              <w:left w:val="single" w:color="000000" w:sz="6" w:space="0"/>
              <w:bottom w:val="single" w:color="000000" w:sz="6" w:space="0"/>
              <w:right w:val="single" w:color="000000" w:sz="6" w:space="0"/>
            </w:tcBorders>
          </w:tcPr>
          <w:p>
            <w:pPr>
              <w:pStyle w:val="36"/>
              <w:kinsoku w:val="0"/>
              <w:overflowPunct w:val="0"/>
              <w:rPr>
                <w:rFonts w:ascii="仿宋" w:eastAsia="仿宋" w:cs="仿宋"/>
              </w:rPr>
            </w:pPr>
          </w:p>
          <w:p>
            <w:pPr>
              <w:pStyle w:val="36"/>
              <w:kinsoku w:val="0"/>
              <w:overflowPunct w:val="0"/>
              <w:spacing w:before="189"/>
              <w:ind w:left="1091" w:right="1077"/>
              <w:jc w:val="center"/>
              <w:rPr>
                <w:rFonts w:ascii="仿宋" w:eastAsia="仿宋" w:cs="仿宋"/>
              </w:rPr>
            </w:pPr>
            <w:r>
              <w:rPr>
                <w:rFonts w:hint="eastAsia" w:ascii="仿宋" w:eastAsia="仿宋" w:cs="仿宋"/>
              </w:rPr>
              <w:t>价值（单位：万元）</w:t>
            </w:r>
          </w:p>
        </w:tc>
      </w:tr>
      <w:tr>
        <w:tblPrEx>
          <w:tblCellMar>
            <w:top w:w="0" w:type="dxa"/>
            <w:left w:w="0" w:type="dxa"/>
            <w:bottom w:w="0" w:type="dxa"/>
            <w:right w:w="0" w:type="dxa"/>
          </w:tblCellMar>
        </w:tblPrEx>
        <w:trPr>
          <w:trHeight w:val="561" w:hRule="atLeast"/>
        </w:trPr>
        <w:tc>
          <w:tcPr>
            <w:tcW w:w="7232" w:type="dxa"/>
            <w:tcBorders>
              <w:top w:val="single" w:color="000000" w:sz="6" w:space="0"/>
              <w:left w:val="single" w:color="000000" w:sz="6" w:space="0"/>
              <w:bottom w:val="single" w:color="000000" w:sz="6" w:space="0"/>
              <w:right w:val="single" w:color="000000" w:sz="6" w:space="0"/>
            </w:tcBorders>
          </w:tcPr>
          <w:p>
            <w:pPr>
              <w:pStyle w:val="36"/>
              <w:kinsoku w:val="0"/>
              <w:overflowPunct w:val="0"/>
              <w:spacing w:before="209"/>
              <w:ind w:left="3114" w:right="3103"/>
              <w:jc w:val="center"/>
              <w:rPr>
                <w:rFonts w:ascii="仿宋" w:eastAsia="仿宋" w:cs="仿宋"/>
              </w:rPr>
            </w:pPr>
            <w:r>
              <w:rPr>
                <w:rFonts w:hint="eastAsia" w:ascii="仿宋" w:eastAsia="仿宋" w:cs="仿宋"/>
              </w:rPr>
              <w:t>资产总额</w:t>
            </w:r>
          </w:p>
        </w:tc>
        <w:tc>
          <w:tcPr>
            <w:tcW w:w="1416" w:type="dxa"/>
            <w:tcBorders>
              <w:top w:val="single" w:color="000000" w:sz="6" w:space="0"/>
              <w:left w:val="single" w:color="000000" w:sz="6" w:space="0"/>
              <w:bottom w:val="single" w:color="000000" w:sz="6" w:space="0"/>
              <w:right w:val="single" w:color="000000" w:sz="6" w:space="0"/>
            </w:tcBorders>
          </w:tcPr>
          <w:p>
            <w:pPr>
              <w:pStyle w:val="36"/>
              <w:kinsoku w:val="0"/>
              <w:overflowPunct w:val="0"/>
              <w:rPr>
                <w:rFonts w:eastAsiaTheme="minorEastAsia"/>
                <w:sz w:val="26"/>
                <w:szCs w:val="26"/>
              </w:rPr>
            </w:pPr>
          </w:p>
        </w:tc>
        <w:tc>
          <w:tcPr>
            <w:tcW w:w="4503" w:type="dxa"/>
            <w:tcBorders>
              <w:top w:val="single" w:color="000000" w:sz="6" w:space="0"/>
              <w:left w:val="single" w:color="000000" w:sz="6" w:space="0"/>
              <w:bottom w:val="single" w:color="000000" w:sz="6" w:space="0"/>
              <w:right w:val="single" w:color="000000" w:sz="6" w:space="0"/>
            </w:tcBorders>
          </w:tcPr>
          <w:p>
            <w:pPr>
              <w:pStyle w:val="36"/>
              <w:kinsoku w:val="0"/>
              <w:overflowPunct w:val="0"/>
              <w:spacing w:before="209"/>
              <w:ind w:left="1091" w:right="1077"/>
              <w:jc w:val="center"/>
              <w:rPr>
                <w:rFonts w:ascii="仿宋" w:eastAsia="仿宋" w:cs="仿宋"/>
                <w:lang w:eastAsia="zh-CN"/>
              </w:rPr>
            </w:pPr>
            <w:r>
              <w:rPr>
                <w:rFonts w:hint="eastAsia" w:ascii="仿宋" w:eastAsia="仿宋" w:cs="仿宋"/>
                <w:lang w:eastAsia="zh-CN"/>
              </w:rPr>
              <w:t>102.05</w:t>
            </w:r>
          </w:p>
        </w:tc>
      </w:tr>
      <w:tr>
        <w:tblPrEx>
          <w:tblCellMar>
            <w:top w:w="0" w:type="dxa"/>
            <w:left w:w="0" w:type="dxa"/>
            <w:bottom w:w="0" w:type="dxa"/>
            <w:right w:w="0" w:type="dxa"/>
          </w:tblCellMar>
        </w:tblPrEx>
        <w:trPr>
          <w:trHeight w:val="558" w:hRule="atLeast"/>
        </w:trPr>
        <w:tc>
          <w:tcPr>
            <w:tcW w:w="7232" w:type="dxa"/>
            <w:tcBorders>
              <w:top w:val="single" w:color="000000" w:sz="6" w:space="0"/>
              <w:left w:val="single" w:color="000000" w:sz="6" w:space="0"/>
              <w:bottom w:val="single" w:color="000000" w:sz="6" w:space="0"/>
              <w:right w:val="single" w:color="000000" w:sz="6" w:space="0"/>
            </w:tcBorders>
          </w:tcPr>
          <w:p>
            <w:pPr>
              <w:pStyle w:val="36"/>
              <w:kinsoku w:val="0"/>
              <w:overflowPunct w:val="0"/>
              <w:spacing w:before="208"/>
              <w:ind w:left="107"/>
              <w:rPr>
                <w:rFonts w:ascii="仿宋" w:eastAsia="仿宋" w:cs="仿宋"/>
              </w:rPr>
            </w:pPr>
            <w:r>
              <w:rPr>
                <w:rFonts w:ascii="仿宋" w:eastAsia="仿宋" w:cs="仿宋"/>
              </w:rPr>
              <w:t>1</w:t>
            </w:r>
            <w:r>
              <w:rPr>
                <w:rFonts w:hint="eastAsia" w:ascii="仿宋" w:eastAsia="仿宋" w:cs="仿宋"/>
              </w:rPr>
              <w:t>、房屋（平方米）</w:t>
            </w:r>
          </w:p>
        </w:tc>
        <w:tc>
          <w:tcPr>
            <w:tcW w:w="1416" w:type="dxa"/>
            <w:tcBorders>
              <w:top w:val="single" w:color="000000" w:sz="6" w:space="0"/>
              <w:left w:val="single" w:color="000000" w:sz="6" w:space="0"/>
              <w:bottom w:val="single" w:color="000000" w:sz="6" w:space="0"/>
              <w:right w:val="single" w:color="000000" w:sz="6" w:space="0"/>
            </w:tcBorders>
          </w:tcPr>
          <w:p>
            <w:pPr>
              <w:pStyle w:val="36"/>
              <w:kinsoku w:val="0"/>
              <w:overflowPunct w:val="0"/>
              <w:spacing w:before="208"/>
              <w:ind w:left="147" w:right="133"/>
              <w:jc w:val="center"/>
              <w:rPr>
                <w:rFonts w:ascii="仿宋" w:eastAsia="仿宋" w:cs="仿宋"/>
              </w:rPr>
            </w:pPr>
          </w:p>
        </w:tc>
        <w:tc>
          <w:tcPr>
            <w:tcW w:w="4503" w:type="dxa"/>
            <w:tcBorders>
              <w:top w:val="single" w:color="000000" w:sz="6" w:space="0"/>
              <w:left w:val="single" w:color="000000" w:sz="6" w:space="0"/>
              <w:bottom w:val="single" w:color="000000" w:sz="6" w:space="0"/>
              <w:right w:val="single" w:color="000000" w:sz="6" w:space="0"/>
            </w:tcBorders>
          </w:tcPr>
          <w:p>
            <w:pPr>
              <w:pStyle w:val="36"/>
              <w:kinsoku w:val="0"/>
              <w:overflowPunct w:val="0"/>
              <w:spacing w:before="208"/>
              <w:ind w:left="1091" w:right="1077"/>
              <w:jc w:val="center"/>
              <w:rPr>
                <w:rFonts w:ascii="仿宋" w:eastAsia="仿宋" w:cs="仿宋"/>
              </w:rPr>
            </w:pPr>
          </w:p>
        </w:tc>
      </w:tr>
      <w:tr>
        <w:tblPrEx>
          <w:tblCellMar>
            <w:top w:w="0" w:type="dxa"/>
            <w:left w:w="0" w:type="dxa"/>
            <w:bottom w:w="0" w:type="dxa"/>
            <w:right w:w="0" w:type="dxa"/>
          </w:tblCellMar>
        </w:tblPrEx>
        <w:trPr>
          <w:trHeight w:val="561" w:hRule="atLeast"/>
        </w:trPr>
        <w:tc>
          <w:tcPr>
            <w:tcW w:w="7232" w:type="dxa"/>
            <w:tcBorders>
              <w:top w:val="single" w:color="000000" w:sz="6" w:space="0"/>
              <w:left w:val="single" w:color="000000" w:sz="6" w:space="0"/>
              <w:bottom w:val="single" w:color="000000" w:sz="6" w:space="0"/>
              <w:right w:val="single" w:color="000000" w:sz="6" w:space="0"/>
            </w:tcBorders>
          </w:tcPr>
          <w:p>
            <w:pPr>
              <w:pStyle w:val="36"/>
              <w:kinsoku w:val="0"/>
              <w:overflowPunct w:val="0"/>
              <w:spacing w:before="211"/>
              <w:ind w:left="467"/>
              <w:rPr>
                <w:rFonts w:ascii="仿宋" w:eastAsia="仿宋" w:cs="仿宋"/>
              </w:rPr>
            </w:pPr>
            <w:r>
              <w:rPr>
                <w:rFonts w:hint="eastAsia" w:ascii="仿宋" w:eastAsia="仿宋" w:cs="仿宋"/>
              </w:rPr>
              <w:t>其中：办公用房（平方米）</w:t>
            </w:r>
          </w:p>
        </w:tc>
        <w:tc>
          <w:tcPr>
            <w:tcW w:w="1416" w:type="dxa"/>
            <w:tcBorders>
              <w:top w:val="single" w:color="000000" w:sz="6" w:space="0"/>
              <w:left w:val="single" w:color="000000" w:sz="6" w:space="0"/>
              <w:bottom w:val="single" w:color="000000" w:sz="6" w:space="0"/>
              <w:right w:val="single" w:color="000000" w:sz="6" w:space="0"/>
            </w:tcBorders>
          </w:tcPr>
          <w:p>
            <w:pPr>
              <w:pStyle w:val="36"/>
              <w:kinsoku w:val="0"/>
              <w:overflowPunct w:val="0"/>
              <w:rPr>
                <w:rFonts w:eastAsiaTheme="minorEastAsia"/>
                <w:sz w:val="26"/>
                <w:szCs w:val="26"/>
              </w:rPr>
            </w:pPr>
          </w:p>
        </w:tc>
        <w:tc>
          <w:tcPr>
            <w:tcW w:w="4503" w:type="dxa"/>
            <w:tcBorders>
              <w:top w:val="single" w:color="000000" w:sz="6" w:space="0"/>
              <w:left w:val="single" w:color="000000" w:sz="6" w:space="0"/>
              <w:bottom w:val="single" w:color="000000" w:sz="6" w:space="0"/>
              <w:right w:val="single" w:color="000000" w:sz="6" w:space="0"/>
            </w:tcBorders>
          </w:tcPr>
          <w:p>
            <w:pPr>
              <w:pStyle w:val="36"/>
              <w:kinsoku w:val="0"/>
              <w:overflowPunct w:val="0"/>
              <w:rPr>
                <w:rFonts w:eastAsiaTheme="minorEastAsia"/>
                <w:sz w:val="26"/>
                <w:szCs w:val="26"/>
              </w:rPr>
            </w:pPr>
          </w:p>
        </w:tc>
      </w:tr>
      <w:tr>
        <w:tblPrEx>
          <w:tblCellMar>
            <w:top w:w="0" w:type="dxa"/>
            <w:left w:w="0" w:type="dxa"/>
            <w:bottom w:w="0" w:type="dxa"/>
            <w:right w:w="0" w:type="dxa"/>
          </w:tblCellMar>
        </w:tblPrEx>
        <w:trPr>
          <w:trHeight w:val="570" w:hRule="atLeast"/>
        </w:trPr>
        <w:tc>
          <w:tcPr>
            <w:tcW w:w="7232" w:type="dxa"/>
            <w:tcBorders>
              <w:top w:val="single" w:color="000000" w:sz="6" w:space="0"/>
              <w:left w:val="single" w:color="000000" w:sz="6" w:space="0"/>
              <w:bottom w:val="single" w:color="000000" w:sz="6" w:space="0"/>
              <w:right w:val="single" w:color="000000" w:sz="6" w:space="0"/>
            </w:tcBorders>
          </w:tcPr>
          <w:p>
            <w:pPr>
              <w:pStyle w:val="36"/>
              <w:kinsoku w:val="0"/>
              <w:overflowPunct w:val="0"/>
              <w:spacing w:before="213"/>
              <w:ind w:left="107"/>
              <w:rPr>
                <w:rFonts w:ascii="仿宋" w:eastAsia="仿宋" w:cs="仿宋"/>
              </w:rPr>
            </w:pPr>
            <w:r>
              <w:rPr>
                <w:rFonts w:ascii="仿宋" w:eastAsia="仿宋" w:cs="仿宋"/>
              </w:rPr>
              <w:t>2</w:t>
            </w:r>
            <w:r>
              <w:rPr>
                <w:rFonts w:hint="eastAsia" w:ascii="仿宋" w:eastAsia="仿宋" w:cs="仿宋"/>
              </w:rPr>
              <w:t>、车辆（台、辆）</w:t>
            </w:r>
          </w:p>
        </w:tc>
        <w:tc>
          <w:tcPr>
            <w:tcW w:w="1416" w:type="dxa"/>
            <w:tcBorders>
              <w:top w:val="single" w:color="000000" w:sz="6" w:space="0"/>
              <w:left w:val="single" w:color="000000" w:sz="6" w:space="0"/>
              <w:bottom w:val="single" w:color="000000" w:sz="6" w:space="0"/>
              <w:right w:val="single" w:color="000000" w:sz="6" w:space="0"/>
            </w:tcBorders>
          </w:tcPr>
          <w:p>
            <w:pPr>
              <w:pStyle w:val="36"/>
              <w:kinsoku w:val="0"/>
              <w:overflowPunct w:val="0"/>
              <w:spacing w:before="213"/>
              <w:ind w:left="147" w:right="133"/>
              <w:jc w:val="center"/>
              <w:rPr>
                <w:rFonts w:ascii="仿宋" w:eastAsia="仿宋" w:cs="仿宋"/>
              </w:rPr>
            </w:pPr>
            <w:r>
              <w:rPr>
                <w:rFonts w:hint="eastAsia" w:ascii="仿宋" w:eastAsia="仿宋" w:cs="仿宋"/>
              </w:rPr>
              <w:t>2</w:t>
            </w:r>
          </w:p>
        </w:tc>
        <w:tc>
          <w:tcPr>
            <w:tcW w:w="4503" w:type="dxa"/>
            <w:tcBorders>
              <w:top w:val="single" w:color="000000" w:sz="6" w:space="0"/>
              <w:left w:val="single" w:color="000000" w:sz="6" w:space="0"/>
              <w:bottom w:val="single" w:color="000000" w:sz="6" w:space="0"/>
              <w:right w:val="single" w:color="000000" w:sz="6" w:space="0"/>
            </w:tcBorders>
          </w:tcPr>
          <w:p>
            <w:pPr>
              <w:pStyle w:val="36"/>
              <w:kinsoku w:val="0"/>
              <w:overflowPunct w:val="0"/>
              <w:spacing w:before="213"/>
              <w:ind w:left="1091" w:right="1077"/>
              <w:jc w:val="center"/>
              <w:rPr>
                <w:rFonts w:ascii="仿宋" w:eastAsia="仿宋" w:cs="仿宋"/>
              </w:rPr>
            </w:pPr>
            <w:r>
              <w:rPr>
                <w:rFonts w:hint="eastAsia" w:ascii="仿宋" w:eastAsia="仿宋" w:cs="仿宋"/>
              </w:rPr>
              <w:t>31.36</w:t>
            </w:r>
          </w:p>
        </w:tc>
      </w:tr>
      <w:tr>
        <w:tblPrEx>
          <w:tblCellMar>
            <w:top w:w="0" w:type="dxa"/>
            <w:left w:w="0" w:type="dxa"/>
            <w:bottom w:w="0" w:type="dxa"/>
            <w:right w:w="0" w:type="dxa"/>
          </w:tblCellMar>
        </w:tblPrEx>
        <w:trPr>
          <w:trHeight w:val="600" w:hRule="atLeast"/>
        </w:trPr>
        <w:tc>
          <w:tcPr>
            <w:tcW w:w="7232" w:type="dxa"/>
            <w:tcBorders>
              <w:top w:val="single" w:color="000000" w:sz="6" w:space="0"/>
              <w:left w:val="single" w:color="000000" w:sz="6" w:space="0"/>
              <w:bottom w:val="single" w:color="000000" w:sz="6" w:space="0"/>
              <w:right w:val="single" w:color="000000" w:sz="6" w:space="0"/>
            </w:tcBorders>
          </w:tcPr>
          <w:p>
            <w:pPr>
              <w:pStyle w:val="36"/>
              <w:kinsoku w:val="0"/>
              <w:overflowPunct w:val="0"/>
              <w:spacing w:before="9"/>
              <w:rPr>
                <w:rFonts w:ascii="仿宋" w:eastAsia="仿宋" w:cs="仿宋"/>
                <w:sz w:val="17"/>
                <w:szCs w:val="17"/>
              </w:rPr>
            </w:pPr>
          </w:p>
          <w:p>
            <w:pPr>
              <w:pStyle w:val="36"/>
              <w:kinsoku w:val="0"/>
              <w:overflowPunct w:val="0"/>
              <w:spacing w:before="1"/>
              <w:ind w:left="107"/>
              <w:rPr>
                <w:rFonts w:ascii="仿宋" w:eastAsia="仿宋" w:cs="仿宋"/>
              </w:rPr>
            </w:pPr>
            <w:r>
              <w:rPr>
                <w:rFonts w:ascii="仿宋" w:eastAsia="仿宋" w:cs="仿宋"/>
              </w:rPr>
              <w:t>3</w:t>
            </w:r>
            <w:r>
              <w:rPr>
                <w:rFonts w:hint="eastAsia" w:ascii="仿宋" w:eastAsia="仿宋" w:cs="仿宋"/>
              </w:rPr>
              <w:t>、单价在</w:t>
            </w:r>
            <w:r>
              <w:rPr>
                <w:rFonts w:ascii="仿宋" w:eastAsia="仿宋" w:cs="仿宋"/>
              </w:rPr>
              <w:t xml:space="preserve"> 20 </w:t>
            </w:r>
            <w:r>
              <w:rPr>
                <w:rFonts w:hint="eastAsia" w:ascii="仿宋" w:eastAsia="仿宋" w:cs="仿宋"/>
              </w:rPr>
              <w:t>万以上的设备（台、套）</w:t>
            </w:r>
          </w:p>
        </w:tc>
        <w:tc>
          <w:tcPr>
            <w:tcW w:w="1416" w:type="dxa"/>
            <w:tcBorders>
              <w:top w:val="single" w:color="000000" w:sz="6" w:space="0"/>
              <w:left w:val="single" w:color="000000" w:sz="6" w:space="0"/>
              <w:bottom w:val="single" w:color="000000" w:sz="6" w:space="0"/>
              <w:right w:val="single" w:color="000000" w:sz="6" w:space="0"/>
            </w:tcBorders>
          </w:tcPr>
          <w:p>
            <w:pPr>
              <w:pStyle w:val="36"/>
              <w:kinsoku w:val="0"/>
              <w:overflowPunct w:val="0"/>
              <w:spacing w:before="9"/>
              <w:rPr>
                <w:rFonts w:ascii="仿宋" w:eastAsia="仿宋" w:cs="仿宋"/>
                <w:sz w:val="17"/>
                <w:szCs w:val="17"/>
              </w:rPr>
            </w:pPr>
          </w:p>
          <w:p>
            <w:pPr>
              <w:pStyle w:val="36"/>
              <w:kinsoku w:val="0"/>
              <w:overflowPunct w:val="0"/>
              <w:spacing w:before="1"/>
              <w:ind w:left="147" w:right="133"/>
              <w:jc w:val="center"/>
              <w:rPr>
                <w:rFonts w:ascii="仿宋" w:eastAsia="仿宋" w:cs="仿宋"/>
              </w:rPr>
            </w:pPr>
            <w:r>
              <w:rPr>
                <w:rFonts w:ascii="仿宋" w:eastAsia="仿宋" w:cs="仿宋"/>
              </w:rPr>
              <w:t>——</w:t>
            </w:r>
          </w:p>
        </w:tc>
        <w:tc>
          <w:tcPr>
            <w:tcW w:w="4503" w:type="dxa"/>
            <w:tcBorders>
              <w:top w:val="single" w:color="000000" w:sz="6" w:space="0"/>
              <w:left w:val="single" w:color="000000" w:sz="6" w:space="0"/>
              <w:bottom w:val="single" w:color="000000" w:sz="6" w:space="0"/>
              <w:right w:val="single" w:color="000000" w:sz="6" w:space="0"/>
            </w:tcBorders>
          </w:tcPr>
          <w:p>
            <w:pPr>
              <w:pStyle w:val="36"/>
              <w:kinsoku w:val="0"/>
              <w:overflowPunct w:val="0"/>
              <w:spacing w:before="1"/>
              <w:ind w:left="1091" w:right="1077"/>
              <w:jc w:val="center"/>
              <w:rPr>
                <w:rFonts w:ascii="仿宋" w:eastAsia="仿宋" w:cs="仿宋"/>
              </w:rPr>
            </w:pPr>
          </w:p>
        </w:tc>
      </w:tr>
      <w:tr>
        <w:tblPrEx>
          <w:tblCellMar>
            <w:top w:w="0" w:type="dxa"/>
            <w:left w:w="0" w:type="dxa"/>
            <w:bottom w:w="0" w:type="dxa"/>
            <w:right w:w="0" w:type="dxa"/>
          </w:tblCellMar>
        </w:tblPrEx>
        <w:trPr>
          <w:trHeight w:val="570" w:hRule="atLeast"/>
        </w:trPr>
        <w:tc>
          <w:tcPr>
            <w:tcW w:w="7232" w:type="dxa"/>
            <w:tcBorders>
              <w:top w:val="single" w:color="000000" w:sz="6" w:space="0"/>
              <w:left w:val="single" w:color="000000" w:sz="6" w:space="0"/>
              <w:bottom w:val="single" w:color="000000" w:sz="6" w:space="0"/>
              <w:right w:val="single" w:color="000000" w:sz="6" w:space="0"/>
            </w:tcBorders>
          </w:tcPr>
          <w:p>
            <w:pPr>
              <w:pStyle w:val="36"/>
              <w:kinsoku w:val="0"/>
              <w:overflowPunct w:val="0"/>
              <w:spacing w:before="213"/>
              <w:ind w:left="107"/>
              <w:rPr>
                <w:rFonts w:ascii="仿宋" w:eastAsia="仿宋" w:cs="仿宋"/>
              </w:rPr>
            </w:pPr>
            <w:r>
              <w:rPr>
                <w:rFonts w:ascii="仿宋" w:eastAsia="仿宋" w:cs="仿宋"/>
              </w:rPr>
              <w:t>4</w:t>
            </w:r>
            <w:r>
              <w:rPr>
                <w:rFonts w:hint="eastAsia" w:ascii="仿宋" w:eastAsia="仿宋" w:cs="仿宋"/>
              </w:rPr>
              <w:t>、其他固定资产</w:t>
            </w:r>
          </w:p>
        </w:tc>
        <w:tc>
          <w:tcPr>
            <w:tcW w:w="1416" w:type="dxa"/>
            <w:tcBorders>
              <w:top w:val="single" w:color="000000" w:sz="6" w:space="0"/>
              <w:left w:val="single" w:color="000000" w:sz="6" w:space="0"/>
              <w:bottom w:val="single" w:color="000000" w:sz="6" w:space="0"/>
              <w:right w:val="single" w:color="000000" w:sz="6" w:space="0"/>
            </w:tcBorders>
          </w:tcPr>
          <w:p>
            <w:pPr>
              <w:pStyle w:val="36"/>
              <w:kinsoku w:val="0"/>
              <w:overflowPunct w:val="0"/>
              <w:spacing w:before="213"/>
              <w:ind w:left="147" w:right="133"/>
              <w:jc w:val="center"/>
              <w:rPr>
                <w:rFonts w:hint="default" w:ascii="仿宋" w:eastAsia="仿宋" w:cs="仿宋"/>
                <w:lang w:val="en-US" w:eastAsia="zh-CN"/>
              </w:rPr>
            </w:pPr>
            <w:r>
              <w:rPr>
                <w:rFonts w:hint="eastAsia" w:ascii="仿宋" w:eastAsia="仿宋" w:cs="仿宋"/>
                <w:lang w:val="en-US" w:eastAsia="zh-CN"/>
              </w:rPr>
              <w:t>669</w:t>
            </w:r>
            <w:bookmarkStart w:id="21" w:name="_GoBack"/>
            <w:bookmarkEnd w:id="21"/>
          </w:p>
        </w:tc>
        <w:tc>
          <w:tcPr>
            <w:tcW w:w="4503" w:type="dxa"/>
            <w:tcBorders>
              <w:top w:val="single" w:color="000000" w:sz="6" w:space="0"/>
              <w:left w:val="single" w:color="000000" w:sz="6" w:space="0"/>
              <w:bottom w:val="single" w:color="000000" w:sz="6" w:space="0"/>
              <w:right w:val="single" w:color="000000" w:sz="6" w:space="0"/>
            </w:tcBorders>
          </w:tcPr>
          <w:p>
            <w:pPr>
              <w:pStyle w:val="36"/>
              <w:kinsoku w:val="0"/>
              <w:overflowPunct w:val="0"/>
              <w:spacing w:before="213"/>
              <w:ind w:left="1091" w:right="1077"/>
              <w:jc w:val="center"/>
              <w:rPr>
                <w:rFonts w:ascii="仿宋" w:eastAsia="仿宋" w:cs="仿宋"/>
                <w:lang w:eastAsia="zh-CN"/>
              </w:rPr>
            </w:pPr>
            <w:r>
              <w:rPr>
                <w:rFonts w:hint="eastAsia" w:ascii="仿宋" w:eastAsia="仿宋" w:cs="仿宋"/>
                <w:lang w:eastAsia="zh-CN"/>
              </w:rPr>
              <w:t>70.69</w:t>
            </w:r>
          </w:p>
        </w:tc>
      </w:tr>
    </w:tbl>
    <w:p>
      <w:pPr>
        <w:ind w:firstLine="420"/>
      </w:pPr>
    </w:p>
    <w:p>
      <w:pPr>
        <w:ind w:firstLine="640"/>
      </w:pPr>
    </w:p>
    <w:p>
      <w:pPr>
        <w:spacing w:before="10" w:after="10"/>
        <w:ind w:firstLine="640"/>
        <w:outlineLvl w:val="2"/>
        <w:rPr>
          <w:rFonts w:ascii="黑体" w:eastAsia="黑体" w:cs="黑体"/>
          <w:color w:val="000000"/>
          <w:sz w:val="32"/>
          <w:lang w:eastAsia="zh-CN"/>
        </w:rPr>
      </w:pPr>
      <w:bookmarkStart w:id="18" w:name="_Toc_3_3_0000000019"/>
    </w:p>
    <w:p>
      <w:pPr>
        <w:spacing w:before="10" w:after="10"/>
        <w:ind w:firstLine="640"/>
        <w:outlineLvl w:val="2"/>
        <w:rPr>
          <w:rFonts w:ascii="黑体" w:eastAsia="黑体" w:cs="黑体"/>
          <w:color w:val="000000"/>
          <w:sz w:val="32"/>
          <w:lang w:eastAsia="zh-CN"/>
        </w:rPr>
      </w:pPr>
    </w:p>
    <w:p>
      <w:pPr>
        <w:spacing w:before="10" w:after="10"/>
        <w:ind w:firstLine="640"/>
        <w:outlineLvl w:val="2"/>
        <w:rPr>
          <w:rFonts w:ascii="黑体" w:eastAsia="黑体" w:cs="黑体"/>
          <w:color w:val="000000"/>
          <w:sz w:val="32"/>
          <w:lang w:eastAsia="zh-CN"/>
        </w:rPr>
      </w:pPr>
    </w:p>
    <w:p>
      <w:pPr>
        <w:spacing w:before="10" w:after="10"/>
        <w:ind w:firstLine="640"/>
        <w:outlineLvl w:val="2"/>
      </w:pPr>
      <w:r>
        <w:rPr>
          <w:rFonts w:asci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eastAsia="黑体" w:cs="黑体"/>
          <w:color w:val="000000"/>
          <w:sz w:val="32"/>
        </w:rPr>
        <w:t>十一、其他需要说明的事项</w:t>
      </w:r>
      <w:bookmarkEnd w:id="19"/>
    </w:p>
    <w:p>
      <w:pPr>
        <w:spacing w:line="500" w:lineRule="exact"/>
        <w:ind w:firstLine="560"/>
        <w:sectPr>
          <w:pgSz w:w="16840" w:h="11900" w:orient="landscape"/>
          <w:pgMar w:top="1361" w:right="1020" w:bottom="1134" w:left="1020" w:header="720" w:footer="720" w:gutter="0"/>
          <w:cols w:space="720" w:num="1"/>
          <w:docGrid w:linePitch="326" w:charSpace="0"/>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docGrid w:linePitch="326" w:charSpace="0"/>
        </w:sectPr>
      </w:pPr>
      <w:r>
        <w:rPr>
          <w:rFonts w:ascii="方正小标宋_GBK" w:eastAsia="方正小标宋_GBK" w:cs="方正小标宋_GBK"/>
          <w:color w:val="000000"/>
          <w:sz w:val="72"/>
        </w:rPr>
        <w:t>第二部分  部门所属单位预算</w:t>
      </w:r>
    </w:p>
    <w:p>
      <w:pPr>
        <w:jc w:val="center"/>
        <w:outlineLvl w:val="3"/>
      </w:pPr>
      <w:bookmarkStart w:id="20" w:name="_Toc_4_4_0000000021"/>
      <w:r>
        <w:rPr>
          <w:rFonts w:ascii="方正小标宋_GBK" w:eastAsia="方正小标宋_GBK" w:cs="方正小标宋_GBK"/>
          <w:color w:val="000000"/>
          <w:sz w:val="44"/>
        </w:rPr>
        <w:t>一、中国共产党保定市莲池区委政法委员会本级收支预算</w:t>
      </w:r>
      <w:bookmarkEnd w:id="20"/>
    </w:p>
    <w:p>
      <w:pPr>
        <w:jc w:val="center"/>
        <w:outlineLvl w:val="4"/>
      </w:pPr>
      <w:r>
        <w:rPr>
          <w:rFonts w:asci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216001中国共产党保定市莲池区委政法委员会本级</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rPr>
                <w:lang w:eastAsia="zh-CN"/>
              </w:rPr>
            </w:pPr>
            <w:r>
              <w:rPr>
                <w:rFonts w:hint="eastAsia"/>
                <w:lang w:eastAsia="zh-CN"/>
              </w:rPr>
              <w:t>862.71</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rPr>
                <w:lang w:eastAsia="zh-CN"/>
              </w:rPr>
            </w:pPr>
            <w:r>
              <w:rPr>
                <w:rFonts w:hint="eastAsia"/>
                <w:lang w:eastAsia="zh-CN"/>
              </w:rPr>
              <w:t>716.44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38.27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rPr>
                <w:lang w:eastAsia="zh-CN"/>
              </w:rPr>
            </w:pPr>
            <w:r>
              <w:rPr>
                <w:rFonts w:hint="eastAsia"/>
                <w:lang w:eastAsia="zh-CN"/>
              </w:rPr>
              <w:t>862.71</w:t>
            </w:r>
          </w:p>
        </w:tc>
        <w:tc>
          <w:tcPr>
            <w:tcW w:w="4535" w:type="dxa"/>
            <w:vAlign w:val="center"/>
          </w:tcPr>
          <w:p>
            <w:pPr>
              <w:pStyle w:val="17"/>
            </w:pPr>
            <w:r>
              <w:t>本年支出合计</w:t>
            </w:r>
          </w:p>
        </w:tc>
        <w:tc>
          <w:tcPr>
            <w:tcW w:w="2126" w:type="dxa"/>
            <w:vAlign w:val="center"/>
          </w:tcPr>
          <w:p>
            <w:pPr>
              <w:pStyle w:val="18"/>
            </w:pPr>
            <w:r>
              <w:rPr>
                <w:rFonts w:hint="eastAsia"/>
                <w:lang w:eastAsia="zh-CN"/>
              </w:rPr>
              <w:t>862.71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rPr>
                <w:rFonts w:hint="eastAsia"/>
                <w:lang w:eastAsia="zh-CN"/>
              </w:rPr>
              <w:t>862.71</w:t>
            </w:r>
          </w:p>
        </w:tc>
        <w:tc>
          <w:tcPr>
            <w:tcW w:w="4535" w:type="dxa"/>
            <w:vAlign w:val="center"/>
          </w:tcPr>
          <w:p>
            <w:pPr>
              <w:pStyle w:val="17"/>
            </w:pPr>
            <w:r>
              <w:t>支出总计</w:t>
            </w:r>
          </w:p>
        </w:tc>
        <w:tc>
          <w:tcPr>
            <w:tcW w:w="2126" w:type="dxa"/>
            <w:vAlign w:val="center"/>
          </w:tcPr>
          <w:p>
            <w:pPr>
              <w:pStyle w:val="18"/>
            </w:pPr>
            <w:r>
              <w:rPr>
                <w:rFonts w:hint="eastAsia"/>
                <w:lang w:eastAsia="zh-CN"/>
              </w:rPr>
              <w:t>862.71</w:t>
            </w: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216001中国共产党保定市莲池区委政法委员会本级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rPr>
                <w:lang w:eastAsia="zh-CN"/>
              </w:rPr>
            </w:pPr>
            <w:r>
              <w:rPr>
                <w:rFonts w:hint="eastAsia"/>
                <w:lang w:eastAsia="zh-CN"/>
              </w:rPr>
              <w:t>862.71</w:t>
            </w:r>
          </w:p>
        </w:tc>
        <w:tc>
          <w:tcPr>
            <w:tcW w:w="1134" w:type="dxa"/>
            <w:vAlign w:val="center"/>
          </w:tcPr>
          <w:p>
            <w:pPr>
              <w:pStyle w:val="18"/>
            </w:pPr>
            <w:r>
              <w:rPr>
                <w:rFonts w:hint="eastAsia"/>
                <w:lang w:eastAsia="zh-CN"/>
              </w:rPr>
              <w:t>862.7</w:t>
            </w:r>
            <w:r>
              <w:t>1</w:t>
            </w:r>
          </w:p>
        </w:tc>
        <w:tc>
          <w:tcPr>
            <w:tcW w:w="1134" w:type="dxa"/>
            <w:vAlign w:val="center"/>
          </w:tcPr>
          <w:p>
            <w:pPr>
              <w:pStyle w:val="18"/>
            </w:pPr>
            <w:r>
              <w:rPr>
                <w:rFonts w:hint="eastAsia"/>
                <w:lang w:eastAsia="zh-CN"/>
              </w:rPr>
              <w:t>862.71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204</w:t>
            </w:r>
          </w:p>
        </w:tc>
        <w:tc>
          <w:tcPr>
            <w:tcW w:w="1559" w:type="dxa"/>
            <w:vAlign w:val="center"/>
          </w:tcPr>
          <w:p>
            <w:pPr>
              <w:pStyle w:val="15"/>
            </w:pPr>
            <w:r>
              <w:t>公共安全支出</w:t>
            </w:r>
          </w:p>
        </w:tc>
        <w:tc>
          <w:tcPr>
            <w:tcW w:w="1134" w:type="dxa"/>
            <w:vAlign w:val="center"/>
          </w:tcPr>
          <w:p>
            <w:pPr>
              <w:pStyle w:val="14"/>
            </w:pPr>
            <w:r>
              <w:rPr>
                <w:rFonts w:hint="eastAsia"/>
                <w:lang w:eastAsia="zh-CN"/>
              </w:rPr>
              <w:t>716.4</w:t>
            </w:r>
            <w:r>
              <w:t>4</w:t>
            </w:r>
          </w:p>
        </w:tc>
        <w:tc>
          <w:tcPr>
            <w:tcW w:w="1134" w:type="dxa"/>
            <w:vAlign w:val="center"/>
          </w:tcPr>
          <w:p>
            <w:pPr>
              <w:pStyle w:val="14"/>
            </w:pPr>
            <w:r>
              <w:rPr>
                <w:rFonts w:hint="eastAsia"/>
                <w:lang w:eastAsia="zh-CN"/>
              </w:rPr>
              <w:t>716.4</w:t>
            </w:r>
            <w:r>
              <w:t>4</w:t>
            </w:r>
          </w:p>
        </w:tc>
        <w:tc>
          <w:tcPr>
            <w:tcW w:w="1134" w:type="dxa"/>
            <w:vAlign w:val="center"/>
          </w:tcPr>
          <w:p>
            <w:pPr>
              <w:pStyle w:val="14"/>
            </w:pPr>
            <w:r>
              <w:rPr>
                <w:rFonts w:hint="eastAsia"/>
                <w:lang w:eastAsia="zh-CN"/>
              </w:rPr>
              <w:t>716.4</w:t>
            </w:r>
            <w:r>
              <w:t>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20402</w:t>
            </w:r>
          </w:p>
        </w:tc>
        <w:tc>
          <w:tcPr>
            <w:tcW w:w="1559" w:type="dxa"/>
            <w:vAlign w:val="center"/>
          </w:tcPr>
          <w:p>
            <w:pPr>
              <w:pStyle w:val="15"/>
            </w:pPr>
            <w:r>
              <w:t>公安</w:t>
            </w:r>
          </w:p>
        </w:tc>
        <w:tc>
          <w:tcPr>
            <w:tcW w:w="1134" w:type="dxa"/>
            <w:vAlign w:val="center"/>
          </w:tcPr>
          <w:p>
            <w:pPr>
              <w:pStyle w:val="14"/>
            </w:pPr>
            <w:r>
              <w:rPr>
                <w:rFonts w:hint="eastAsia"/>
                <w:lang w:eastAsia="zh-CN"/>
              </w:rPr>
              <w:t>716.4</w:t>
            </w:r>
            <w:r>
              <w:t>4</w:t>
            </w:r>
          </w:p>
        </w:tc>
        <w:tc>
          <w:tcPr>
            <w:tcW w:w="1134" w:type="dxa"/>
            <w:vAlign w:val="center"/>
          </w:tcPr>
          <w:p>
            <w:pPr>
              <w:pStyle w:val="14"/>
            </w:pPr>
            <w:r>
              <w:rPr>
                <w:rFonts w:hint="eastAsia"/>
                <w:lang w:eastAsia="zh-CN"/>
              </w:rPr>
              <w:t>716.4</w:t>
            </w:r>
            <w:r>
              <w:t>4</w:t>
            </w:r>
          </w:p>
        </w:tc>
        <w:tc>
          <w:tcPr>
            <w:tcW w:w="1134" w:type="dxa"/>
            <w:vAlign w:val="center"/>
          </w:tcPr>
          <w:p>
            <w:pPr>
              <w:pStyle w:val="14"/>
            </w:pPr>
            <w:r>
              <w:rPr>
                <w:rFonts w:hint="eastAsia"/>
                <w:lang w:eastAsia="zh-CN"/>
              </w:rPr>
              <w:t>716.4</w:t>
            </w:r>
            <w:r>
              <w:t>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2040201</w:t>
            </w:r>
          </w:p>
        </w:tc>
        <w:tc>
          <w:tcPr>
            <w:tcW w:w="1559" w:type="dxa"/>
            <w:vAlign w:val="center"/>
          </w:tcPr>
          <w:p>
            <w:pPr>
              <w:pStyle w:val="15"/>
            </w:pPr>
            <w:r>
              <w:t>行政运行</w:t>
            </w:r>
          </w:p>
        </w:tc>
        <w:tc>
          <w:tcPr>
            <w:tcW w:w="1134" w:type="dxa"/>
            <w:vAlign w:val="center"/>
          </w:tcPr>
          <w:p>
            <w:pPr>
              <w:pStyle w:val="14"/>
            </w:pPr>
            <w:r>
              <w:t>563.14</w:t>
            </w:r>
          </w:p>
        </w:tc>
        <w:tc>
          <w:tcPr>
            <w:tcW w:w="1134" w:type="dxa"/>
            <w:vAlign w:val="center"/>
          </w:tcPr>
          <w:p>
            <w:pPr>
              <w:pStyle w:val="14"/>
            </w:pPr>
            <w:r>
              <w:t>563.14</w:t>
            </w:r>
          </w:p>
        </w:tc>
        <w:tc>
          <w:tcPr>
            <w:tcW w:w="1134" w:type="dxa"/>
            <w:vAlign w:val="center"/>
          </w:tcPr>
          <w:p>
            <w:pPr>
              <w:pStyle w:val="14"/>
            </w:pPr>
            <w:r>
              <w:t>563.14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2040202</w:t>
            </w:r>
          </w:p>
        </w:tc>
        <w:tc>
          <w:tcPr>
            <w:tcW w:w="1559" w:type="dxa"/>
            <w:vAlign w:val="center"/>
          </w:tcPr>
          <w:p>
            <w:pPr>
              <w:pStyle w:val="15"/>
            </w:pPr>
            <w:r>
              <w:t>一般行政管理事务</w:t>
            </w:r>
          </w:p>
        </w:tc>
        <w:tc>
          <w:tcPr>
            <w:tcW w:w="1134" w:type="dxa"/>
            <w:vAlign w:val="center"/>
          </w:tcPr>
          <w:p>
            <w:pPr>
              <w:pStyle w:val="14"/>
            </w:pPr>
            <w:r>
              <w:rPr>
                <w:rFonts w:hint="eastAsia"/>
                <w:lang w:eastAsia="zh-CN"/>
              </w:rPr>
              <w:t>153.3</w:t>
            </w:r>
            <w:r>
              <w:t>0</w:t>
            </w:r>
          </w:p>
        </w:tc>
        <w:tc>
          <w:tcPr>
            <w:tcW w:w="1134" w:type="dxa"/>
            <w:vAlign w:val="center"/>
          </w:tcPr>
          <w:p>
            <w:pPr>
              <w:pStyle w:val="14"/>
            </w:pPr>
            <w:r>
              <w:rPr>
                <w:rFonts w:hint="eastAsia"/>
                <w:lang w:eastAsia="zh-CN"/>
              </w:rPr>
              <w:t>153.3</w:t>
            </w:r>
            <w:r>
              <w:t>0</w:t>
            </w:r>
          </w:p>
        </w:tc>
        <w:tc>
          <w:tcPr>
            <w:tcW w:w="1134" w:type="dxa"/>
            <w:vAlign w:val="center"/>
          </w:tcPr>
          <w:p>
            <w:pPr>
              <w:pStyle w:val="14"/>
            </w:pPr>
            <w:r>
              <w:rPr>
                <w:rFonts w:hint="eastAsia"/>
                <w:lang w:eastAsia="zh-CN"/>
              </w:rPr>
              <w:t>153.3</w:t>
            </w:r>
            <w:r>
              <w:t>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60.00</w:t>
            </w:r>
          </w:p>
        </w:tc>
        <w:tc>
          <w:tcPr>
            <w:tcW w:w="1134" w:type="dxa"/>
            <w:vAlign w:val="center"/>
          </w:tcPr>
          <w:p>
            <w:pPr>
              <w:pStyle w:val="14"/>
            </w:pPr>
            <w:r>
              <w:t>60.00</w:t>
            </w:r>
          </w:p>
        </w:tc>
        <w:tc>
          <w:tcPr>
            <w:tcW w:w="1134" w:type="dxa"/>
            <w:vAlign w:val="center"/>
          </w:tcPr>
          <w:p>
            <w:pPr>
              <w:pStyle w:val="14"/>
            </w:pPr>
            <w:r>
              <w:t>60.00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60.00</w:t>
            </w:r>
          </w:p>
        </w:tc>
        <w:tc>
          <w:tcPr>
            <w:tcW w:w="1134" w:type="dxa"/>
            <w:vAlign w:val="center"/>
          </w:tcPr>
          <w:p>
            <w:pPr>
              <w:pStyle w:val="14"/>
            </w:pPr>
            <w:r>
              <w:t>60.00</w:t>
            </w:r>
          </w:p>
        </w:tc>
        <w:tc>
          <w:tcPr>
            <w:tcW w:w="1134" w:type="dxa"/>
            <w:vAlign w:val="center"/>
          </w:tcPr>
          <w:p>
            <w:pPr>
              <w:pStyle w:val="14"/>
            </w:pPr>
            <w:r>
              <w:t>60.00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60.00</w:t>
            </w:r>
          </w:p>
        </w:tc>
        <w:tc>
          <w:tcPr>
            <w:tcW w:w="1134" w:type="dxa"/>
            <w:vAlign w:val="center"/>
          </w:tcPr>
          <w:p>
            <w:pPr>
              <w:pStyle w:val="14"/>
            </w:pPr>
            <w:r>
              <w:t>60.00</w:t>
            </w:r>
          </w:p>
        </w:tc>
        <w:tc>
          <w:tcPr>
            <w:tcW w:w="1134" w:type="dxa"/>
            <w:vAlign w:val="center"/>
          </w:tcPr>
          <w:p>
            <w:pPr>
              <w:pStyle w:val="14"/>
            </w:pPr>
            <w:r>
              <w:t>60.00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38.27</w:t>
            </w:r>
          </w:p>
        </w:tc>
        <w:tc>
          <w:tcPr>
            <w:tcW w:w="1134" w:type="dxa"/>
            <w:vAlign w:val="center"/>
          </w:tcPr>
          <w:p>
            <w:pPr>
              <w:pStyle w:val="14"/>
            </w:pPr>
            <w:r>
              <w:t>38.27</w:t>
            </w:r>
          </w:p>
        </w:tc>
        <w:tc>
          <w:tcPr>
            <w:tcW w:w="1134" w:type="dxa"/>
            <w:vAlign w:val="center"/>
          </w:tcPr>
          <w:p>
            <w:pPr>
              <w:pStyle w:val="14"/>
            </w:pPr>
            <w:r>
              <w:t>38.27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38.27</w:t>
            </w:r>
          </w:p>
        </w:tc>
        <w:tc>
          <w:tcPr>
            <w:tcW w:w="1134" w:type="dxa"/>
            <w:vAlign w:val="center"/>
          </w:tcPr>
          <w:p>
            <w:pPr>
              <w:pStyle w:val="14"/>
            </w:pPr>
            <w:r>
              <w:t>38.27</w:t>
            </w:r>
          </w:p>
        </w:tc>
        <w:tc>
          <w:tcPr>
            <w:tcW w:w="1134" w:type="dxa"/>
            <w:vAlign w:val="center"/>
          </w:tcPr>
          <w:p>
            <w:pPr>
              <w:pStyle w:val="14"/>
            </w:pPr>
            <w:r>
              <w:t>38.27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20.27</w:t>
            </w:r>
          </w:p>
        </w:tc>
        <w:tc>
          <w:tcPr>
            <w:tcW w:w="1134" w:type="dxa"/>
            <w:vAlign w:val="center"/>
          </w:tcPr>
          <w:p>
            <w:pPr>
              <w:pStyle w:val="14"/>
            </w:pPr>
            <w:r>
              <w:t>20.27</w:t>
            </w:r>
          </w:p>
        </w:tc>
        <w:tc>
          <w:tcPr>
            <w:tcW w:w="1134" w:type="dxa"/>
            <w:vAlign w:val="center"/>
          </w:tcPr>
          <w:p>
            <w:pPr>
              <w:pStyle w:val="14"/>
            </w:pPr>
            <w:r>
              <w:t>20.27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18.00</w:t>
            </w:r>
          </w:p>
        </w:tc>
        <w:tc>
          <w:tcPr>
            <w:tcW w:w="1134" w:type="dxa"/>
            <w:vAlign w:val="center"/>
          </w:tcPr>
          <w:p>
            <w:pPr>
              <w:pStyle w:val="14"/>
            </w:pPr>
            <w:r>
              <w:t>18.00</w:t>
            </w:r>
          </w:p>
        </w:tc>
        <w:tc>
          <w:tcPr>
            <w:tcW w:w="1134" w:type="dxa"/>
            <w:vAlign w:val="center"/>
          </w:tcPr>
          <w:p>
            <w:pPr>
              <w:pStyle w:val="14"/>
            </w:pPr>
            <w:r>
              <w:t>18.00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48.00</w:t>
            </w:r>
          </w:p>
        </w:tc>
        <w:tc>
          <w:tcPr>
            <w:tcW w:w="1134" w:type="dxa"/>
            <w:vAlign w:val="center"/>
          </w:tcPr>
          <w:p>
            <w:pPr>
              <w:pStyle w:val="14"/>
            </w:pPr>
            <w:r>
              <w:t>48.00</w:t>
            </w:r>
          </w:p>
        </w:tc>
        <w:tc>
          <w:tcPr>
            <w:tcW w:w="1134" w:type="dxa"/>
            <w:vAlign w:val="center"/>
          </w:tcPr>
          <w:p>
            <w:pPr>
              <w:pStyle w:val="14"/>
            </w:pPr>
            <w:r>
              <w:t>48.00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48.00</w:t>
            </w:r>
          </w:p>
        </w:tc>
        <w:tc>
          <w:tcPr>
            <w:tcW w:w="1134" w:type="dxa"/>
            <w:vAlign w:val="center"/>
          </w:tcPr>
          <w:p>
            <w:pPr>
              <w:pStyle w:val="14"/>
            </w:pPr>
            <w:r>
              <w:t>48.00</w:t>
            </w:r>
          </w:p>
        </w:tc>
        <w:tc>
          <w:tcPr>
            <w:tcW w:w="1134" w:type="dxa"/>
            <w:vAlign w:val="center"/>
          </w:tcPr>
          <w:p>
            <w:pPr>
              <w:pStyle w:val="14"/>
            </w:pPr>
            <w:r>
              <w:t>48.00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48.00</w:t>
            </w:r>
          </w:p>
        </w:tc>
        <w:tc>
          <w:tcPr>
            <w:tcW w:w="1134" w:type="dxa"/>
            <w:vAlign w:val="center"/>
          </w:tcPr>
          <w:p>
            <w:pPr>
              <w:pStyle w:val="14"/>
            </w:pPr>
            <w:r>
              <w:t>48.00</w:t>
            </w:r>
          </w:p>
        </w:tc>
        <w:tc>
          <w:tcPr>
            <w:tcW w:w="1134" w:type="dxa"/>
            <w:vAlign w:val="center"/>
          </w:tcPr>
          <w:p>
            <w:pPr>
              <w:pStyle w:val="14"/>
            </w:pPr>
            <w:r>
              <w:t>48.00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216001中国共产党保定市莲池区委政法委员会本级</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rPr>
                <w:lang w:eastAsia="zh-CN"/>
              </w:rPr>
            </w:pPr>
            <w:r>
              <w:rPr>
                <w:rFonts w:hint="eastAsia"/>
                <w:lang w:eastAsia="zh-CN"/>
              </w:rPr>
              <w:t>862.71</w:t>
            </w:r>
          </w:p>
        </w:tc>
        <w:tc>
          <w:tcPr>
            <w:tcW w:w="1361" w:type="dxa"/>
            <w:vAlign w:val="center"/>
          </w:tcPr>
          <w:p>
            <w:pPr>
              <w:pStyle w:val="18"/>
            </w:pPr>
            <w:r>
              <w:t>709.41</w:t>
            </w:r>
          </w:p>
        </w:tc>
        <w:tc>
          <w:tcPr>
            <w:tcW w:w="1361" w:type="dxa"/>
            <w:vAlign w:val="center"/>
          </w:tcPr>
          <w:p>
            <w:pPr>
              <w:pStyle w:val="18"/>
            </w:pPr>
            <w:r>
              <w:rPr>
                <w:rFonts w:hint="eastAsia"/>
                <w:lang w:eastAsia="zh-CN"/>
              </w:rPr>
              <w:t>153.3</w:t>
            </w:r>
            <w:r>
              <w:t>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204</w:t>
            </w:r>
          </w:p>
        </w:tc>
        <w:tc>
          <w:tcPr>
            <w:tcW w:w="4535" w:type="dxa"/>
            <w:vAlign w:val="center"/>
          </w:tcPr>
          <w:p>
            <w:pPr>
              <w:pStyle w:val="15"/>
            </w:pPr>
            <w:r>
              <w:t>公共安全支出</w:t>
            </w:r>
          </w:p>
        </w:tc>
        <w:tc>
          <w:tcPr>
            <w:tcW w:w="1361" w:type="dxa"/>
            <w:vAlign w:val="center"/>
          </w:tcPr>
          <w:p>
            <w:pPr>
              <w:pStyle w:val="14"/>
            </w:pPr>
            <w:r>
              <w:rPr>
                <w:rFonts w:hint="eastAsia"/>
                <w:lang w:eastAsia="zh-CN"/>
              </w:rPr>
              <w:t>716.4</w:t>
            </w:r>
            <w:r>
              <w:t>4</w:t>
            </w:r>
          </w:p>
        </w:tc>
        <w:tc>
          <w:tcPr>
            <w:tcW w:w="1361" w:type="dxa"/>
            <w:vAlign w:val="center"/>
          </w:tcPr>
          <w:p>
            <w:pPr>
              <w:pStyle w:val="14"/>
            </w:pPr>
            <w:r>
              <w:t>563.14</w:t>
            </w:r>
          </w:p>
        </w:tc>
        <w:tc>
          <w:tcPr>
            <w:tcW w:w="1361" w:type="dxa"/>
            <w:vAlign w:val="center"/>
          </w:tcPr>
          <w:p>
            <w:pPr>
              <w:pStyle w:val="14"/>
            </w:pPr>
            <w:r>
              <w:rPr>
                <w:rFonts w:hint="eastAsia"/>
                <w:lang w:eastAsia="zh-CN"/>
              </w:rPr>
              <w:t>153.3</w:t>
            </w:r>
            <w:r>
              <w:t>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20402</w:t>
            </w:r>
          </w:p>
        </w:tc>
        <w:tc>
          <w:tcPr>
            <w:tcW w:w="4535" w:type="dxa"/>
            <w:vAlign w:val="center"/>
          </w:tcPr>
          <w:p>
            <w:pPr>
              <w:pStyle w:val="15"/>
            </w:pPr>
            <w:r>
              <w:t>公安</w:t>
            </w:r>
          </w:p>
        </w:tc>
        <w:tc>
          <w:tcPr>
            <w:tcW w:w="1361" w:type="dxa"/>
            <w:vAlign w:val="center"/>
          </w:tcPr>
          <w:p>
            <w:pPr>
              <w:pStyle w:val="14"/>
              <w:rPr>
                <w:lang w:eastAsia="zh-CN"/>
              </w:rPr>
            </w:pPr>
            <w:r>
              <w:rPr>
                <w:rFonts w:hint="eastAsia"/>
                <w:lang w:eastAsia="zh-CN"/>
              </w:rPr>
              <w:t>716.44</w:t>
            </w:r>
          </w:p>
        </w:tc>
        <w:tc>
          <w:tcPr>
            <w:tcW w:w="1361" w:type="dxa"/>
            <w:vAlign w:val="center"/>
          </w:tcPr>
          <w:p>
            <w:pPr>
              <w:pStyle w:val="14"/>
            </w:pPr>
            <w:r>
              <w:t>563.14</w:t>
            </w:r>
          </w:p>
        </w:tc>
        <w:tc>
          <w:tcPr>
            <w:tcW w:w="1361" w:type="dxa"/>
            <w:vAlign w:val="center"/>
          </w:tcPr>
          <w:p>
            <w:pPr>
              <w:pStyle w:val="14"/>
            </w:pPr>
            <w:r>
              <w:rPr>
                <w:rFonts w:hint="eastAsia"/>
                <w:lang w:eastAsia="zh-CN"/>
              </w:rPr>
              <w:t>153.3</w:t>
            </w:r>
            <w:r>
              <w:t>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2040201</w:t>
            </w:r>
          </w:p>
        </w:tc>
        <w:tc>
          <w:tcPr>
            <w:tcW w:w="4535" w:type="dxa"/>
            <w:vAlign w:val="center"/>
          </w:tcPr>
          <w:p>
            <w:pPr>
              <w:pStyle w:val="15"/>
            </w:pPr>
            <w:r>
              <w:t>行政运行</w:t>
            </w:r>
          </w:p>
        </w:tc>
        <w:tc>
          <w:tcPr>
            <w:tcW w:w="1361" w:type="dxa"/>
            <w:vAlign w:val="center"/>
          </w:tcPr>
          <w:p>
            <w:pPr>
              <w:pStyle w:val="14"/>
            </w:pPr>
            <w:r>
              <w:t>563.14</w:t>
            </w:r>
          </w:p>
        </w:tc>
        <w:tc>
          <w:tcPr>
            <w:tcW w:w="1361" w:type="dxa"/>
            <w:vAlign w:val="center"/>
          </w:tcPr>
          <w:p>
            <w:pPr>
              <w:pStyle w:val="14"/>
            </w:pPr>
            <w:r>
              <w:t>563.14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2040202</w:t>
            </w:r>
          </w:p>
        </w:tc>
        <w:tc>
          <w:tcPr>
            <w:tcW w:w="4535" w:type="dxa"/>
            <w:vAlign w:val="center"/>
          </w:tcPr>
          <w:p>
            <w:pPr>
              <w:pStyle w:val="15"/>
            </w:pPr>
            <w:r>
              <w:t>一般行政管理事务</w:t>
            </w:r>
          </w:p>
        </w:tc>
        <w:tc>
          <w:tcPr>
            <w:tcW w:w="1361" w:type="dxa"/>
            <w:vAlign w:val="center"/>
          </w:tcPr>
          <w:p>
            <w:pPr>
              <w:pStyle w:val="14"/>
              <w:rPr>
                <w:lang w:eastAsia="zh-CN"/>
              </w:rPr>
            </w:pPr>
            <w:r>
              <w:rPr>
                <w:rFonts w:hint="eastAsia"/>
                <w:lang w:eastAsia="zh-CN"/>
              </w:rPr>
              <w:t>153.30</w:t>
            </w:r>
          </w:p>
        </w:tc>
        <w:tc>
          <w:tcPr>
            <w:tcW w:w="1361" w:type="dxa"/>
            <w:vAlign w:val="center"/>
          </w:tcPr>
          <w:p>
            <w:pPr>
              <w:pStyle w:val="14"/>
            </w:pPr>
          </w:p>
        </w:tc>
        <w:tc>
          <w:tcPr>
            <w:tcW w:w="1361" w:type="dxa"/>
            <w:vAlign w:val="center"/>
          </w:tcPr>
          <w:p>
            <w:pPr>
              <w:pStyle w:val="14"/>
              <w:rPr>
                <w:lang w:eastAsia="zh-CN"/>
              </w:rPr>
            </w:pPr>
            <w:r>
              <w:rPr>
                <w:rFonts w:hint="eastAsia"/>
                <w:lang w:eastAsia="zh-CN"/>
              </w:rPr>
              <w:t>153.30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60.00</w:t>
            </w:r>
          </w:p>
        </w:tc>
        <w:tc>
          <w:tcPr>
            <w:tcW w:w="1361" w:type="dxa"/>
            <w:vAlign w:val="center"/>
          </w:tcPr>
          <w:p>
            <w:pPr>
              <w:pStyle w:val="14"/>
            </w:pPr>
            <w:r>
              <w:t>60.00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60.00</w:t>
            </w:r>
          </w:p>
        </w:tc>
        <w:tc>
          <w:tcPr>
            <w:tcW w:w="1361" w:type="dxa"/>
            <w:vAlign w:val="center"/>
          </w:tcPr>
          <w:p>
            <w:pPr>
              <w:pStyle w:val="14"/>
            </w:pPr>
            <w:r>
              <w:t>60.00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60.00</w:t>
            </w:r>
          </w:p>
        </w:tc>
        <w:tc>
          <w:tcPr>
            <w:tcW w:w="1361" w:type="dxa"/>
            <w:vAlign w:val="center"/>
          </w:tcPr>
          <w:p>
            <w:pPr>
              <w:pStyle w:val="14"/>
            </w:pPr>
            <w:r>
              <w:t>60.00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38.27</w:t>
            </w:r>
          </w:p>
        </w:tc>
        <w:tc>
          <w:tcPr>
            <w:tcW w:w="1361" w:type="dxa"/>
            <w:vAlign w:val="center"/>
          </w:tcPr>
          <w:p>
            <w:pPr>
              <w:pStyle w:val="14"/>
            </w:pPr>
            <w:r>
              <w:t>38.27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38.27</w:t>
            </w:r>
          </w:p>
        </w:tc>
        <w:tc>
          <w:tcPr>
            <w:tcW w:w="1361" w:type="dxa"/>
            <w:vAlign w:val="center"/>
          </w:tcPr>
          <w:p>
            <w:pPr>
              <w:pStyle w:val="14"/>
            </w:pPr>
            <w:r>
              <w:t>38.27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20.27</w:t>
            </w:r>
          </w:p>
        </w:tc>
        <w:tc>
          <w:tcPr>
            <w:tcW w:w="1361" w:type="dxa"/>
            <w:vAlign w:val="center"/>
          </w:tcPr>
          <w:p>
            <w:pPr>
              <w:pStyle w:val="14"/>
            </w:pPr>
            <w:r>
              <w:t>20.27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2101103</w:t>
            </w:r>
          </w:p>
        </w:tc>
        <w:tc>
          <w:tcPr>
            <w:tcW w:w="4535" w:type="dxa"/>
            <w:vAlign w:val="center"/>
          </w:tcPr>
          <w:p>
            <w:pPr>
              <w:pStyle w:val="15"/>
            </w:pPr>
            <w:r>
              <w:t>公务员医疗补助</w:t>
            </w:r>
          </w:p>
        </w:tc>
        <w:tc>
          <w:tcPr>
            <w:tcW w:w="1361" w:type="dxa"/>
            <w:vAlign w:val="center"/>
          </w:tcPr>
          <w:p>
            <w:pPr>
              <w:pStyle w:val="14"/>
            </w:pPr>
            <w:r>
              <w:t>18.00</w:t>
            </w:r>
          </w:p>
        </w:tc>
        <w:tc>
          <w:tcPr>
            <w:tcW w:w="1361" w:type="dxa"/>
            <w:vAlign w:val="center"/>
          </w:tcPr>
          <w:p>
            <w:pPr>
              <w:pStyle w:val="14"/>
            </w:pPr>
            <w:r>
              <w:t>18.00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48.00</w:t>
            </w:r>
          </w:p>
        </w:tc>
        <w:tc>
          <w:tcPr>
            <w:tcW w:w="1361" w:type="dxa"/>
            <w:vAlign w:val="center"/>
          </w:tcPr>
          <w:p>
            <w:pPr>
              <w:pStyle w:val="14"/>
            </w:pPr>
            <w:r>
              <w:t>48.00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48.00</w:t>
            </w:r>
          </w:p>
        </w:tc>
        <w:tc>
          <w:tcPr>
            <w:tcW w:w="1361" w:type="dxa"/>
            <w:vAlign w:val="center"/>
          </w:tcPr>
          <w:p>
            <w:pPr>
              <w:pStyle w:val="14"/>
            </w:pPr>
            <w:r>
              <w:t>48.00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48.00</w:t>
            </w:r>
          </w:p>
        </w:tc>
        <w:tc>
          <w:tcPr>
            <w:tcW w:w="1361" w:type="dxa"/>
            <w:vAlign w:val="center"/>
          </w:tcPr>
          <w:p>
            <w:pPr>
              <w:pStyle w:val="14"/>
            </w:pPr>
            <w:r>
              <w:t>48.00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216001中国共产党保定市莲池区委政法委员会本级</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rPr>
                <w:lang w:eastAsia="zh-CN"/>
              </w:rPr>
            </w:pPr>
            <w:r>
              <w:rPr>
                <w:rFonts w:hint="eastAsia"/>
                <w:lang w:eastAsia="zh-CN"/>
              </w:rPr>
              <w:t>862.71</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rPr>
                <w:lang w:eastAsia="zh-CN"/>
              </w:rPr>
            </w:pPr>
            <w:r>
              <w:rPr>
                <w:rFonts w:hint="eastAsia"/>
                <w:lang w:eastAsia="zh-CN"/>
              </w:rPr>
              <w:t>716.44</w:t>
            </w:r>
          </w:p>
        </w:tc>
        <w:tc>
          <w:tcPr>
            <w:tcW w:w="1474" w:type="dxa"/>
            <w:vAlign w:val="center"/>
          </w:tcPr>
          <w:p>
            <w:pPr>
              <w:pStyle w:val="14"/>
              <w:rPr>
                <w:lang w:eastAsia="zh-CN"/>
              </w:rPr>
            </w:pPr>
            <w:r>
              <w:rPr>
                <w:rFonts w:hint="eastAsia"/>
                <w:lang w:eastAsia="zh-CN"/>
              </w:rPr>
              <w:t>716.44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60.00</w:t>
            </w:r>
          </w:p>
        </w:tc>
        <w:tc>
          <w:tcPr>
            <w:tcW w:w="1474" w:type="dxa"/>
            <w:vAlign w:val="center"/>
          </w:tcPr>
          <w:p>
            <w:pPr>
              <w:pStyle w:val="14"/>
            </w:pPr>
            <w:r>
              <w:t>60.00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38.27</w:t>
            </w:r>
          </w:p>
        </w:tc>
        <w:tc>
          <w:tcPr>
            <w:tcW w:w="1474" w:type="dxa"/>
            <w:vAlign w:val="center"/>
          </w:tcPr>
          <w:p>
            <w:pPr>
              <w:pStyle w:val="14"/>
            </w:pPr>
            <w:r>
              <w:t>38.27</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48.00</w:t>
            </w:r>
          </w:p>
        </w:tc>
        <w:tc>
          <w:tcPr>
            <w:tcW w:w="1474" w:type="dxa"/>
            <w:vAlign w:val="center"/>
          </w:tcPr>
          <w:p>
            <w:pPr>
              <w:pStyle w:val="14"/>
            </w:pPr>
            <w:r>
              <w:t>48.00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rPr>
                <w:lang w:eastAsia="zh-CN"/>
              </w:rPr>
            </w:pPr>
            <w:r>
              <w:rPr>
                <w:rFonts w:hint="eastAsia"/>
                <w:lang w:eastAsia="zh-CN"/>
              </w:rPr>
              <w:t>862.71</w:t>
            </w:r>
          </w:p>
        </w:tc>
        <w:tc>
          <w:tcPr>
            <w:tcW w:w="3402" w:type="dxa"/>
            <w:vAlign w:val="center"/>
          </w:tcPr>
          <w:p>
            <w:pPr>
              <w:pStyle w:val="17"/>
            </w:pPr>
            <w:r>
              <w:t>本年支出合计</w:t>
            </w:r>
          </w:p>
        </w:tc>
        <w:tc>
          <w:tcPr>
            <w:tcW w:w="1474" w:type="dxa"/>
            <w:vAlign w:val="center"/>
          </w:tcPr>
          <w:p>
            <w:pPr>
              <w:pStyle w:val="18"/>
            </w:pPr>
            <w:r>
              <w:rPr>
                <w:rFonts w:hint="eastAsia"/>
                <w:lang w:eastAsia="zh-CN"/>
              </w:rPr>
              <w:t>862.71</w:t>
            </w:r>
          </w:p>
        </w:tc>
        <w:tc>
          <w:tcPr>
            <w:tcW w:w="1474" w:type="dxa"/>
            <w:vAlign w:val="center"/>
          </w:tcPr>
          <w:p>
            <w:pPr>
              <w:pStyle w:val="18"/>
            </w:pPr>
            <w:r>
              <w:rPr>
                <w:rFonts w:hint="eastAsia"/>
                <w:lang w:eastAsia="zh-CN"/>
              </w:rPr>
              <w:t>862.71</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rPr>
                <w:rFonts w:hint="eastAsia"/>
                <w:lang w:eastAsia="zh-CN"/>
              </w:rPr>
              <w:t>862.71</w:t>
            </w:r>
          </w:p>
        </w:tc>
        <w:tc>
          <w:tcPr>
            <w:tcW w:w="3402" w:type="dxa"/>
            <w:vAlign w:val="center"/>
          </w:tcPr>
          <w:p>
            <w:pPr>
              <w:pStyle w:val="17"/>
            </w:pPr>
            <w:r>
              <w:t>支出总计</w:t>
            </w:r>
          </w:p>
        </w:tc>
        <w:tc>
          <w:tcPr>
            <w:tcW w:w="1474" w:type="dxa"/>
            <w:vAlign w:val="center"/>
          </w:tcPr>
          <w:p>
            <w:pPr>
              <w:pStyle w:val="18"/>
            </w:pPr>
            <w:r>
              <w:rPr>
                <w:rFonts w:hint="eastAsia"/>
                <w:lang w:eastAsia="zh-CN"/>
              </w:rPr>
              <w:t>862.71</w:t>
            </w:r>
          </w:p>
        </w:tc>
        <w:tc>
          <w:tcPr>
            <w:tcW w:w="1474" w:type="dxa"/>
            <w:vAlign w:val="center"/>
          </w:tcPr>
          <w:p>
            <w:pPr>
              <w:pStyle w:val="18"/>
            </w:pPr>
            <w:r>
              <w:rPr>
                <w:rFonts w:hint="eastAsia"/>
                <w:lang w:eastAsia="zh-CN"/>
              </w:rPr>
              <w:t>862.71</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216001中国共产党保定市莲池区委政法委员会本级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rPr>
                <w:lang w:eastAsia="zh-CN"/>
              </w:rPr>
            </w:pPr>
            <w:r>
              <w:rPr>
                <w:rFonts w:hint="eastAsia"/>
                <w:lang w:eastAsia="zh-CN"/>
              </w:rPr>
              <w:t>862.71</w:t>
            </w:r>
          </w:p>
        </w:tc>
        <w:tc>
          <w:tcPr>
            <w:tcW w:w="2551" w:type="dxa"/>
            <w:vAlign w:val="center"/>
          </w:tcPr>
          <w:p>
            <w:pPr>
              <w:pStyle w:val="18"/>
            </w:pPr>
            <w:r>
              <w:t>709.41</w:t>
            </w:r>
          </w:p>
        </w:tc>
        <w:tc>
          <w:tcPr>
            <w:tcW w:w="2551" w:type="dxa"/>
            <w:vAlign w:val="center"/>
          </w:tcPr>
          <w:p>
            <w:pPr>
              <w:pStyle w:val="18"/>
            </w:pPr>
            <w:r>
              <w:rPr>
                <w:rFonts w:hint="eastAsia"/>
                <w:lang w:eastAsia="zh-CN"/>
              </w:rPr>
              <w:t>153.3</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204</w:t>
            </w:r>
          </w:p>
        </w:tc>
        <w:tc>
          <w:tcPr>
            <w:tcW w:w="4535" w:type="dxa"/>
            <w:vAlign w:val="center"/>
          </w:tcPr>
          <w:p>
            <w:pPr>
              <w:pStyle w:val="15"/>
            </w:pPr>
            <w:r>
              <w:t>公共安全支出</w:t>
            </w:r>
          </w:p>
        </w:tc>
        <w:tc>
          <w:tcPr>
            <w:tcW w:w="2551" w:type="dxa"/>
            <w:vAlign w:val="center"/>
          </w:tcPr>
          <w:p>
            <w:pPr>
              <w:pStyle w:val="14"/>
            </w:pPr>
            <w:r>
              <w:rPr>
                <w:rFonts w:hint="eastAsia"/>
                <w:lang w:eastAsia="zh-CN"/>
              </w:rPr>
              <w:t>716.4</w:t>
            </w:r>
            <w:r>
              <w:t>4</w:t>
            </w:r>
          </w:p>
        </w:tc>
        <w:tc>
          <w:tcPr>
            <w:tcW w:w="2551" w:type="dxa"/>
            <w:vAlign w:val="center"/>
          </w:tcPr>
          <w:p>
            <w:pPr>
              <w:pStyle w:val="14"/>
            </w:pPr>
            <w:r>
              <w:t>563.14</w:t>
            </w:r>
          </w:p>
        </w:tc>
        <w:tc>
          <w:tcPr>
            <w:tcW w:w="2551" w:type="dxa"/>
            <w:vAlign w:val="center"/>
          </w:tcPr>
          <w:p>
            <w:pPr>
              <w:pStyle w:val="14"/>
            </w:pPr>
            <w:r>
              <w:rPr>
                <w:rFonts w:hint="eastAsia"/>
                <w:lang w:eastAsia="zh-CN"/>
              </w:rPr>
              <w:t>153.3</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20402</w:t>
            </w:r>
          </w:p>
        </w:tc>
        <w:tc>
          <w:tcPr>
            <w:tcW w:w="4535" w:type="dxa"/>
            <w:vAlign w:val="center"/>
          </w:tcPr>
          <w:p>
            <w:pPr>
              <w:pStyle w:val="15"/>
            </w:pPr>
            <w:r>
              <w:t>公安</w:t>
            </w:r>
          </w:p>
        </w:tc>
        <w:tc>
          <w:tcPr>
            <w:tcW w:w="2551" w:type="dxa"/>
            <w:vAlign w:val="center"/>
          </w:tcPr>
          <w:p>
            <w:pPr>
              <w:pStyle w:val="14"/>
            </w:pPr>
            <w:r>
              <w:rPr>
                <w:rFonts w:hint="eastAsia"/>
                <w:lang w:eastAsia="zh-CN"/>
              </w:rPr>
              <w:t>716.4</w:t>
            </w:r>
            <w:r>
              <w:t>4</w:t>
            </w:r>
          </w:p>
        </w:tc>
        <w:tc>
          <w:tcPr>
            <w:tcW w:w="2551" w:type="dxa"/>
            <w:vAlign w:val="center"/>
          </w:tcPr>
          <w:p>
            <w:pPr>
              <w:pStyle w:val="14"/>
            </w:pPr>
            <w:r>
              <w:t>563.14</w:t>
            </w:r>
          </w:p>
        </w:tc>
        <w:tc>
          <w:tcPr>
            <w:tcW w:w="2551" w:type="dxa"/>
            <w:vAlign w:val="center"/>
          </w:tcPr>
          <w:p>
            <w:pPr>
              <w:pStyle w:val="14"/>
            </w:pPr>
            <w:r>
              <w:rPr>
                <w:rFonts w:hint="eastAsia"/>
                <w:lang w:eastAsia="zh-CN"/>
              </w:rPr>
              <w:t>153.3</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2040201</w:t>
            </w:r>
          </w:p>
        </w:tc>
        <w:tc>
          <w:tcPr>
            <w:tcW w:w="4535" w:type="dxa"/>
            <w:vAlign w:val="center"/>
          </w:tcPr>
          <w:p>
            <w:pPr>
              <w:pStyle w:val="15"/>
            </w:pPr>
            <w:r>
              <w:t>行政运行</w:t>
            </w:r>
          </w:p>
        </w:tc>
        <w:tc>
          <w:tcPr>
            <w:tcW w:w="2551" w:type="dxa"/>
            <w:vAlign w:val="center"/>
          </w:tcPr>
          <w:p>
            <w:pPr>
              <w:pStyle w:val="14"/>
            </w:pPr>
            <w:r>
              <w:t>563.14</w:t>
            </w:r>
          </w:p>
        </w:tc>
        <w:tc>
          <w:tcPr>
            <w:tcW w:w="2551" w:type="dxa"/>
            <w:vAlign w:val="center"/>
          </w:tcPr>
          <w:p>
            <w:pPr>
              <w:pStyle w:val="14"/>
            </w:pPr>
            <w:r>
              <w:t>563.14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2040202</w:t>
            </w:r>
          </w:p>
        </w:tc>
        <w:tc>
          <w:tcPr>
            <w:tcW w:w="4535" w:type="dxa"/>
            <w:vAlign w:val="center"/>
          </w:tcPr>
          <w:p>
            <w:pPr>
              <w:pStyle w:val="15"/>
            </w:pPr>
            <w:r>
              <w:t>一般行政管理事务</w:t>
            </w:r>
          </w:p>
        </w:tc>
        <w:tc>
          <w:tcPr>
            <w:tcW w:w="2551" w:type="dxa"/>
            <w:vAlign w:val="center"/>
          </w:tcPr>
          <w:p>
            <w:pPr>
              <w:pStyle w:val="14"/>
            </w:pPr>
            <w:r>
              <w:rPr>
                <w:rFonts w:hint="eastAsia"/>
                <w:lang w:eastAsia="zh-CN"/>
              </w:rPr>
              <w:t>153.3</w:t>
            </w:r>
            <w:r>
              <w:t>0</w:t>
            </w:r>
          </w:p>
        </w:tc>
        <w:tc>
          <w:tcPr>
            <w:tcW w:w="2551" w:type="dxa"/>
            <w:vAlign w:val="center"/>
          </w:tcPr>
          <w:p>
            <w:pPr>
              <w:pStyle w:val="14"/>
            </w:pPr>
          </w:p>
        </w:tc>
        <w:tc>
          <w:tcPr>
            <w:tcW w:w="2551" w:type="dxa"/>
            <w:vAlign w:val="center"/>
          </w:tcPr>
          <w:p>
            <w:pPr>
              <w:pStyle w:val="14"/>
            </w:pPr>
            <w:r>
              <w:rPr>
                <w:rFonts w:hint="eastAsia"/>
                <w:lang w:eastAsia="zh-CN"/>
              </w:rPr>
              <w:t>153.3</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60.00</w:t>
            </w:r>
          </w:p>
        </w:tc>
        <w:tc>
          <w:tcPr>
            <w:tcW w:w="2551" w:type="dxa"/>
            <w:vAlign w:val="center"/>
          </w:tcPr>
          <w:p>
            <w:pPr>
              <w:pStyle w:val="14"/>
            </w:pPr>
            <w:r>
              <w:t>60.00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60.00</w:t>
            </w:r>
          </w:p>
        </w:tc>
        <w:tc>
          <w:tcPr>
            <w:tcW w:w="2551" w:type="dxa"/>
            <w:vAlign w:val="center"/>
          </w:tcPr>
          <w:p>
            <w:pPr>
              <w:pStyle w:val="14"/>
            </w:pPr>
            <w:r>
              <w:t>60.00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60.00</w:t>
            </w:r>
          </w:p>
        </w:tc>
        <w:tc>
          <w:tcPr>
            <w:tcW w:w="2551" w:type="dxa"/>
            <w:vAlign w:val="center"/>
          </w:tcPr>
          <w:p>
            <w:pPr>
              <w:pStyle w:val="14"/>
            </w:pPr>
            <w:r>
              <w:t>60.00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38.27</w:t>
            </w:r>
          </w:p>
        </w:tc>
        <w:tc>
          <w:tcPr>
            <w:tcW w:w="2551" w:type="dxa"/>
            <w:vAlign w:val="center"/>
          </w:tcPr>
          <w:p>
            <w:pPr>
              <w:pStyle w:val="14"/>
            </w:pPr>
            <w:r>
              <w:t>38.27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38.27</w:t>
            </w:r>
          </w:p>
        </w:tc>
        <w:tc>
          <w:tcPr>
            <w:tcW w:w="2551" w:type="dxa"/>
            <w:vAlign w:val="center"/>
          </w:tcPr>
          <w:p>
            <w:pPr>
              <w:pStyle w:val="14"/>
            </w:pPr>
            <w:r>
              <w:t>38.27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20.27</w:t>
            </w:r>
          </w:p>
        </w:tc>
        <w:tc>
          <w:tcPr>
            <w:tcW w:w="2551" w:type="dxa"/>
            <w:vAlign w:val="center"/>
          </w:tcPr>
          <w:p>
            <w:pPr>
              <w:pStyle w:val="14"/>
            </w:pPr>
            <w:r>
              <w:t>20.27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18.00</w:t>
            </w:r>
          </w:p>
        </w:tc>
        <w:tc>
          <w:tcPr>
            <w:tcW w:w="2551" w:type="dxa"/>
            <w:vAlign w:val="center"/>
          </w:tcPr>
          <w:p>
            <w:pPr>
              <w:pStyle w:val="14"/>
            </w:pPr>
            <w:r>
              <w:t>18.00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48.00</w:t>
            </w:r>
          </w:p>
        </w:tc>
        <w:tc>
          <w:tcPr>
            <w:tcW w:w="2551" w:type="dxa"/>
            <w:vAlign w:val="center"/>
          </w:tcPr>
          <w:p>
            <w:pPr>
              <w:pStyle w:val="14"/>
            </w:pPr>
            <w:r>
              <w:t>48.00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48.00</w:t>
            </w:r>
          </w:p>
        </w:tc>
        <w:tc>
          <w:tcPr>
            <w:tcW w:w="2551" w:type="dxa"/>
            <w:vAlign w:val="center"/>
          </w:tcPr>
          <w:p>
            <w:pPr>
              <w:pStyle w:val="14"/>
            </w:pPr>
            <w:r>
              <w:t>48.00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48.00</w:t>
            </w:r>
          </w:p>
        </w:tc>
        <w:tc>
          <w:tcPr>
            <w:tcW w:w="2551" w:type="dxa"/>
            <w:vAlign w:val="center"/>
          </w:tcPr>
          <w:p>
            <w:pPr>
              <w:pStyle w:val="14"/>
            </w:pPr>
            <w:r>
              <w:t>48.00</w:t>
            </w:r>
          </w:p>
        </w:tc>
        <w:tc>
          <w:tcPr>
            <w:tcW w:w="2551" w:type="dxa"/>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216001中国共产党保定市莲池区委政法委员会本级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709.41</w:t>
            </w:r>
          </w:p>
        </w:tc>
        <w:tc>
          <w:tcPr>
            <w:tcW w:w="2551" w:type="dxa"/>
            <w:vAlign w:val="center"/>
          </w:tcPr>
          <w:p>
            <w:pPr>
              <w:pStyle w:val="18"/>
            </w:pPr>
            <w:r>
              <w:t>654.36</w:t>
            </w:r>
          </w:p>
        </w:tc>
        <w:tc>
          <w:tcPr>
            <w:tcW w:w="2551" w:type="dxa"/>
            <w:vAlign w:val="center"/>
          </w:tcPr>
          <w:p>
            <w:pPr>
              <w:pStyle w:val="18"/>
            </w:pPr>
            <w:r>
              <w:t>55.05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626.28</w:t>
            </w:r>
          </w:p>
        </w:tc>
        <w:tc>
          <w:tcPr>
            <w:tcW w:w="2551" w:type="dxa"/>
            <w:vAlign w:val="center"/>
          </w:tcPr>
          <w:p>
            <w:pPr>
              <w:pStyle w:val="14"/>
            </w:pPr>
            <w:r>
              <w:t>626.28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175.00</w:t>
            </w:r>
          </w:p>
        </w:tc>
        <w:tc>
          <w:tcPr>
            <w:tcW w:w="2551" w:type="dxa"/>
            <w:vAlign w:val="center"/>
          </w:tcPr>
          <w:p>
            <w:pPr>
              <w:pStyle w:val="14"/>
            </w:pPr>
            <w:r>
              <w:t>175.00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149.01</w:t>
            </w:r>
          </w:p>
        </w:tc>
        <w:tc>
          <w:tcPr>
            <w:tcW w:w="2551" w:type="dxa"/>
            <w:vAlign w:val="center"/>
          </w:tcPr>
          <w:p>
            <w:pPr>
              <w:pStyle w:val="14"/>
            </w:pPr>
            <w:r>
              <w:t>149.01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113.00</w:t>
            </w:r>
          </w:p>
        </w:tc>
        <w:tc>
          <w:tcPr>
            <w:tcW w:w="2551" w:type="dxa"/>
            <w:vAlign w:val="center"/>
          </w:tcPr>
          <w:p>
            <w:pPr>
              <w:pStyle w:val="14"/>
            </w:pPr>
            <w:r>
              <w:t>113.00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40.00</w:t>
            </w:r>
          </w:p>
        </w:tc>
        <w:tc>
          <w:tcPr>
            <w:tcW w:w="2551" w:type="dxa"/>
            <w:vAlign w:val="center"/>
          </w:tcPr>
          <w:p>
            <w:pPr>
              <w:pStyle w:val="14"/>
            </w:pPr>
            <w:r>
              <w:t>40.00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60.00</w:t>
            </w:r>
          </w:p>
        </w:tc>
        <w:tc>
          <w:tcPr>
            <w:tcW w:w="2551" w:type="dxa"/>
            <w:vAlign w:val="center"/>
          </w:tcPr>
          <w:p>
            <w:pPr>
              <w:pStyle w:val="14"/>
            </w:pPr>
            <w:r>
              <w:t>60.00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20.00</w:t>
            </w:r>
          </w:p>
        </w:tc>
        <w:tc>
          <w:tcPr>
            <w:tcW w:w="2551" w:type="dxa"/>
            <w:vAlign w:val="center"/>
          </w:tcPr>
          <w:p>
            <w:pPr>
              <w:pStyle w:val="14"/>
            </w:pPr>
            <w:r>
              <w:t>20.00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18.00</w:t>
            </w:r>
          </w:p>
        </w:tc>
        <w:tc>
          <w:tcPr>
            <w:tcW w:w="2551" w:type="dxa"/>
            <w:vAlign w:val="center"/>
          </w:tcPr>
          <w:p>
            <w:pPr>
              <w:pStyle w:val="14"/>
            </w:pPr>
            <w:r>
              <w:t>18.00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3.27</w:t>
            </w:r>
          </w:p>
        </w:tc>
        <w:tc>
          <w:tcPr>
            <w:tcW w:w="2551" w:type="dxa"/>
            <w:vAlign w:val="center"/>
          </w:tcPr>
          <w:p>
            <w:pPr>
              <w:pStyle w:val="14"/>
            </w:pPr>
            <w:r>
              <w:t>3.27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48.00</w:t>
            </w:r>
          </w:p>
        </w:tc>
        <w:tc>
          <w:tcPr>
            <w:tcW w:w="2551" w:type="dxa"/>
            <w:vAlign w:val="center"/>
          </w:tcPr>
          <w:p>
            <w:pPr>
              <w:pStyle w:val="14"/>
            </w:pPr>
            <w:r>
              <w:t>48.00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55.05</w:t>
            </w:r>
          </w:p>
        </w:tc>
        <w:tc>
          <w:tcPr>
            <w:tcW w:w="2551" w:type="dxa"/>
            <w:vAlign w:val="center"/>
          </w:tcPr>
          <w:p>
            <w:pPr>
              <w:pStyle w:val="14"/>
            </w:pPr>
          </w:p>
        </w:tc>
        <w:tc>
          <w:tcPr>
            <w:tcW w:w="2551" w:type="dxa"/>
            <w:vAlign w:val="center"/>
          </w:tcPr>
          <w:p>
            <w:pPr>
              <w:pStyle w:val="14"/>
            </w:pPr>
            <w:r>
              <w:t>55.05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6.48</w:t>
            </w:r>
          </w:p>
        </w:tc>
        <w:tc>
          <w:tcPr>
            <w:tcW w:w="2551" w:type="dxa"/>
            <w:vAlign w:val="center"/>
          </w:tcPr>
          <w:p>
            <w:pPr>
              <w:pStyle w:val="14"/>
            </w:pPr>
          </w:p>
        </w:tc>
        <w:tc>
          <w:tcPr>
            <w:tcW w:w="2551" w:type="dxa"/>
            <w:vAlign w:val="center"/>
          </w:tcPr>
          <w:p>
            <w:pPr>
              <w:pStyle w:val="14"/>
            </w:pPr>
            <w:r>
              <w:t>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14.00</w:t>
            </w:r>
          </w:p>
        </w:tc>
        <w:tc>
          <w:tcPr>
            <w:tcW w:w="2551" w:type="dxa"/>
            <w:vAlign w:val="center"/>
          </w:tcPr>
          <w:p>
            <w:pPr>
              <w:pStyle w:val="14"/>
            </w:pPr>
          </w:p>
        </w:tc>
        <w:tc>
          <w:tcPr>
            <w:tcW w:w="2551" w:type="dxa"/>
            <w:vAlign w:val="center"/>
          </w:tcPr>
          <w:p>
            <w:pPr>
              <w:pStyle w:val="14"/>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3.35</w:t>
            </w:r>
          </w:p>
        </w:tc>
        <w:tc>
          <w:tcPr>
            <w:tcW w:w="2551" w:type="dxa"/>
            <w:vAlign w:val="center"/>
          </w:tcPr>
          <w:p>
            <w:pPr>
              <w:pStyle w:val="14"/>
            </w:pPr>
          </w:p>
        </w:tc>
        <w:tc>
          <w:tcPr>
            <w:tcW w:w="2551" w:type="dxa"/>
            <w:vAlign w:val="center"/>
          </w:tcPr>
          <w:p>
            <w:pPr>
              <w:pStyle w:val="14"/>
            </w:pPr>
            <w:r>
              <w:t>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5.03</w:t>
            </w:r>
          </w:p>
        </w:tc>
        <w:tc>
          <w:tcPr>
            <w:tcW w:w="2551" w:type="dxa"/>
            <w:vAlign w:val="center"/>
          </w:tcPr>
          <w:p>
            <w:pPr>
              <w:pStyle w:val="14"/>
            </w:pPr>
          </w:p>
        </w:tc>
        <w:tc>
          <w:tcPr>
            <w:tcW w:w="2551" w:type="dxa"/>
            <w:vAlign w:val="center"/>
          </w:tcPr>
          <w:p>
            <w:pPr>
              <w:pStyle w:val="14"/>
            </w:pPr>
            <w:r>
              <w:t>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6.00</w:t>
            </w:r>
          </w:p>
        </w:tc>
        <w:tc>
          <w:tcPr>
            <w:tcW w:w="2551" w:type="dxa"/>
            <w:vAlign w:val="center"/>
          </w:tcPr>
          <w:p>
            <w:pPr>
              <w:pStyle w:val="14"/>
            </w:pPr>
          </w:p>
        </w:tc>
        <w:tc>
          <w:tcPr>
            <w:tcW w:w="2551" w:type="dxa"/>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20.00</w:t>
            </w:r>
          </w:p>
        </w:tc>
        <w:tc>
          <w:tcPr>
            <w:tcW w:w="2551" w:type="dxa"/>
            <w:vAlign w:val="center"/>
          </w:tcPr>
          <w:p>
            <w:pPr>
              <w:pStyle w:val="14"/>
            </w:pPr>
          </w:p>
        </w:tc>
        <w:tc>
          <w:tcPr>
            <w:tcW w:w="2551" w:type="dxa"/>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0.19</w:t>
            </w:r>
          </w:p>
        </w:tc>
        <w:tc>
          <w:tcPr>
            <w:tcW w:w="2551" w:type="dxa"/>
            <w:vAlign w:val="center"/>
          </w:tcPr>
          <w:p>
            <w:pPr>
              <w:pStyle w:val="14"/>
            </w:pPr>
          </w:p>
        </w:tc>
        <w:tc>
          <w:tcPr>
            <w:tcW w:w="2551" w:type="dxa"/>
            <w:vAlign w:val="center"/>
          </w:tcPr>
          <w:p>
            <w:pPr>
              <w:pStyle w:val="14"/>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28.08</w:t>
            </w:r>
          </w:p>
        </w:tc>
        <w:tc>
          <w:tcPr>
            <w:tcW w:w="2551" w:type="dxa"/>
            <w:vAlign w:val="center"/>
          </w:tcPr>
          <w:p>
            <w:pPr>
              <w:pStyle w:val="14"/>
            </w:pPr>
            <w:r>
              <w:t>28.08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27.00</w:t>
            </w:r>
          </w:p>
        </w:tc>
        <w:tc>
          <w:tcPr>
            <w:tcW w:w="2551" w:type="dxa"/>
            <w:vAlign w:val="center"/>
          </w:tcPr>
          <w:p>
            <w:pPr>
              <w:pStyle w:val="14"/>
            </w:pPr>
            <w:r>
              <w:t>27.00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1.00</w:t>
            </w:r>
          </w:p>
        </w:tc>
        <w:tc>
          <w:tcPr>
            <w:tcW w:w="2551" w:type="dxa"/>
            <w:vAlign w:val="center"/>
          </w:tcPr>
          <w:p>
            <w:pPr>
              <w:pStyle w:val="14"/>
            </w:pPr>
            <w:r>
              <w:t>1.00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0.08</w:t>
            </w:r>
          </w:p>
        </w:tc>
        <w:tc>
          <w:tcPr>
            <w:tcW w:w="2551" w:type="dxa"/>
            <w:vAlign w:val="center"/>
          </w:tcPr>
          <w:p>
            <w:pPr>
              <w:pStyle w:val="14"/>
            </w:pPr>
            <w:r>
              <w:t>0.08</w:t>
            </w:r>
          </w:p>
        </w:tc>
        <w:tc>
          <w:tcPr>
            <w:tcW w:w="2551" w:type="dxa"/>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eastAsia="方正小标宋_GBK" w:cs="方正小标宋_GBK"/>
          <w:color w:val="000000"/>
          <w:sz w:val="36"/>
        </w:rPr>
        <w:t>单位预算政府性基金预算财政拨款支出表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216001中国共产党保定市莲池区委政法委员会本级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注：无政府基金预算财政拨款预算，空表列示。</w:t>
      </w:r>
    </w:p>
    <w:p>
      <w:pPr>
        <w:jc w:val="center"/>
        <w:outlineLvl w:val="4"/>
      </w:pPr>
      <w:r>
        <w:rPr>
          <w:rFonts w:asci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216001中国共产党保定市莲池区委政法委员会本级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pPr>
        <w:jc w:val="center"/>
        <w:outlineLvl w:val="4"/>
      </w:pPr>
      <w:r>
        <w:rPr>
          <w:rFonts w:asci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216001中国共产党保定市莲池区委政法委员会本级</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6"/>
              <w:kinsoku w:val="0"/>
              <w:overflowPunct w:val="0"/>
              <w:spacing w:before="74"/>
              <w:ind w:left="11"/>
              <w:jc w:val="center"/>
              <w:rPr>
                <w:rFonts w:ascii="宋体" w:hAnsi="宋体" w:eastAsia="宋体" w:cs="宋体"/>
                <w:sz w:val="21"/>
                <w:szCs w:val="21"/>
              </w:rPr>
            </w:pPr>
            <w:r>
              <w:rPr>
                <w:rFonts w:hint="eastAsia" w:ascii="宋体" w:hAnsi="宋体" w:eastAsia="宋体" w:cs="宋体"/>
                <w:sz w:val="21"/>
                <w:szCs w:val="21"/>
              </w:rPr>
              <w:t>1</w:t>
            </w:r>
          </w:p>
        </w:tc>
        <w:tc>
          <w:tcPr>
            <w:tcW w:w="3798" w:type="dxa"/>
          </w:tcPr>
          <w:p>
            <w:pPr>
              <w:pStyle w:val="36"/>
              <w:kinsoku w:val="0"/>
              <w:overflowPunct w:val="0"/>
              <w:spacing w:before="70"/>
              <w:ind w:left="15"/>
              <w:jc w:val="center"/>
              <w:rPr>
                <w:rFonts w:ascii="宋体" w:hAnsi="宋体" w:eastAsia="宋体" w:cs="宋体"/>
                <w:b/>
                <w:bCs/>
                <w:sz w:val="21"/>
                <w:szCs w:val="21"/>
              </w:rPr>
            </w:pPr>
            <w:r>
              <w:rPr>
                <w:rFonts w:hint="eastAsia" w:ascii="宋体" w:hAnsi="宋体" w:eastAsia="宋体" w:cs="宋体"/>
                <w:b/>
                <w:bCs/>
                <w:sz w:val="21"/>
                <w:szCs w:val="21"/>
              </w:rPr>
              <w:t>合计</w:t>
            </w:r>
          </w:p>
        </w:tc>
        <w:tc>
          <w:tcPr>
            <w:tcW w:w="2382" w:type="dxa"/>
          </w:tcPr>
          <w:p>
            <w:pPr>
              <w:pStyle w:val="36"/>
              <w:kinsoku w:val="0"/>
              <w:overflowPunct w:val="0"/>
              <w:spacing w:before="70"/>
              <w:ind w:right="90"/>
              <w:jc w:val="right"/>
              <w:rPr>
                <w:rFonts w:ascii="宋体" w:hAnsi="宋体" w:eastAsia="宋体" w:cs="宋体"/>
                <w:b/>
                <w:bCs/>
                <w:sz w:val="21"/>
                <w:szCs w:val="21"/>
                <w:lang w:eastAsia="zh-CN"/>
              </w:rPr>
            </w:pPr>
            <w:r>
              <w:rPr>
                <w:rFonts w:hint="eastAsia" w:ascii="宋体" w:hAnsi="宋体" w:eastAsia="宋体" w:cs="宋体"/>
                <w:b/>
                <w:bCs/>
                <w:sz w:val="21"/>
                <w:szCs w:val="21"/>
              </w:rPr>
              <w:t>6</w:t>
            </w:r>
            <w:r>
              <w:rPr>
                <w:rFonts w:hint="eastAsia" w:ascii="宋体" w:hAnsi="宋体" w:eastAsia="宋体" w:cs="宋体"/>
                <w:b/>
                <w:bCs/>
                <w:sz w:val="21"/>
                <w:szCs w:val="21"/>
                <w:lang w:eastAsia="zh-CN"/>
              </w:rPr>
              <w:t>.00</w:t>
            </w:r>
          </w:p>
        </w:tc>
        <w:tc>
          <w:tcPr>
            <w:tcW w:w="2381" w:type="dxa"/>
          </w:tcPr>
          <w:p>
            <w:pPr>
              <w:pStyle w:val="36"/>
              <w:kinsoku w:val="0"/>
              <w:overflowPunct w:val="0"/>
              <w:spacing w:before="70"/>
              <w:ind w:right="91"/>
              <w:jc w:val="right"/>
              <w:rPr>
                <w:rFonts w:ascii="宋体" w:hAnsi="宋体" w:eastAsia="宋体" w:cs="宋体"/>
                <w:b/>
                <w:bCs/>
                <w:sz w:val="21"/>
                <w:szCs w:val="21"/>
                <w:lang w:eastAsia="zh-CN"/>
              </w:rPr>
            </w:pPr>
            <w:r>
              <w:rPr>
                <w:rFonts w:hint="eastAsia" w:ascii="宋体" w:hAnsi="宋体" w:eastAsia="宋体" w:cs="宋体"/>
                <w:b/>
                <w:bCs/>
                <w:sz w:val="21"/>
                <w:szCs w:val="21"/>
              </w:rPr>
              <w:t>6</w:t>
            </w:r>
            <w:r>
              <w:rPr>
                <w:rFonts w:hint="eastAsia" w:ascii="宋体" w:hAnsi="宋体" w:eastAsia="宋体" w:cs="宋体"/>
                <w:b/>
                <w:bCs/>
                <w:sz w:val="21"/>
                <w:szCs w:val="21"/>
                <w:lang w:eastAsia="zh-CN"/>
              </w:rPr>
              <w:t>.00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6"/>
              <w:kinsoku w:val="0"/>
              <w:overflowPunct w:val="0"/>
              <w:spacing w:before="74"/>
              <w:ind w:left="11"/>
              <w:jc w:val="center"/>
              <w:rPr>
                <w:rFonts w:ascii="宋体" w:hAnsi="宋体" w:eastAsia="宋体" w:cs="宋体"/>
                <w:sz w:val="21"/>
                <w:szCs w:val="21"/>
              </w:rPr>
            </w:pPr>
            <w:r>
              <w:rPr>
                <w:rFonts w:hint="eastAsia" w:ascii="宋体" w:hAnsi="宋体" w:eastAsia="宋体" w:cs="宋体"/>
                <w:sz w:val="21"/>
                <w:szCs w:val="21"/>
              </w:rPr>
              <w:t>2</w:t>
            </w:r>
          </w:p>
        </w:tc>
        <w:tc>
          <w:tcPr>
            <w:tcW w:w="3798" w:type="dxa"/>
          </w:tcPr>
          <w:p>
            <w:pPr>
              <w:pStyle w:val="36"/>
              <w:kinsoku w:val="0"/>
              <w:overflowPunct w:val="0"/>
              <w:spacing w:before="74"/>
              <w:ind w:left="108"/>
              <w:rPr>
                <w:rFonts w:ascii="宋体" w:hAnsi="宋体" w:eastAsia="宋体" w:cs="宋体"/>
                <w:sz w:val="21"/>
                <w:szCs w:val="21"/>
              </w:rPr>
            </w:pPr>
            <w:r>
              <w:rPr>
                <w:rFonts w:hint="eastAsia" w:ascii="宋体" w:hAnsi="宋体" w:eastAsia="宋体" w:cs="宋体"/>
                <w:sz w:val="21"/>
                <w:szCs w:val="21"/>
              </w:rPr>
              <w:t>一、因公出国（境）费</w:t>
            </w:r>
          </w:p>
        </w:tc>
        <w:tc>
          <w:tcPr>
            <w:tcW w:w="2382" w:type="dxa"/>
          </w:tcPr>
          <w:p>
            <w:pPr>
              <w:pStyle w:val="36"/>
              <w:kinsoku w:val="0"/>
              <w:overflowPunct w:val="0"/>
              <w:rPr>
                <w:rFonts w:ascii="宋体" w:hAnsi="宋体" w:eastAsia="宋体" w:cs="宋体"/>
                <w:sz w:val="21"/>
                <w:szCs w:val="21"/>
              </w:rPr>
            </w:pPr>
          </w:p>
        </w:tc>
        <w:tc>
          <w:tcPr>
            <w:tcW w:w="2381" w:type="dxa"/>
          </w:tcPr>
          <w:p>
            <w:pPr>
              <w:pStyle w:val="36"/>
              <w:kinsoku w:val="0"/>
              <w:overflowPunct w:val="0"/>
              <w:rPr>
                <w:rFonts w:ascii="宋体" w:hAnsi="宋体" w:eastAsia="宋体" w:cs="宋体"/>
                <w:sz w:val="21"/>
                <w:szCs w:val="21"/>
              </w:rPr>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6"/>
              <w:kinsoku w:val="0"/>
              <w:overflowPunct w:val="0"/>
              <w:spacing w:before="74"/>
              <w:ind w:left="11"/>
              <w:jc w:val="center"/>
              <w:rPr>
                <w:rFonts w:ascii="宋体" w:hAnsi="宋体" w:eastAsia="宋体" w:cs="宋体"/>
                <w:sz w:val="21"/>
                <w:szCs w:val="21"/>
              </w:rPr>
            </w:pPr>
            <w:r>
              <w:rPr>
                <w:rFonts w:hint="eastAsia" w:ascii="宋体" w:hAnsi="宋体" w:eastAsia="宋体" w:cs="宋体"/>
                <w:sz w:val="21"/>
                <w:szCs w:val="21"/>
              </w:rPr>
              <w:t>3</w:t>
            </w:r>
          </w:p>
        </w:tc>
        <w:tc>
          <w:tcPr>
            <w:tcW w:w="3798" w:type="dxa"/>
          </w:tcPr>
          <w:p>
            <w:pPr>
              <w:pStyle w:val="36"/>
              <w:kinsoku w:val="0"/>
              <w:overflowPunct w:val="0"/>
              <w:spacing w:before="74"/>
              <w:ind w:left="108"/>
              <w:rPr>
                <w:rFonts w:ascii="宋体" w:hAnsi="宋体" w:eastAsia="宋体" w:cs="宋体"/>
                <w:sz w:val="21"/>
                <w:szCs w:val="21"/>
              </w:rPr>
            </w:pPr>
            <w:r>
              <w:rPr>
                <w:rFonts w:hint="eastAsia" w:ascii="宋体" w:hAnsi="宋体" w:eastAsia="宋体" w:cs="宋体"/>
                <w:sz w:val="21"/>
                <w:szCs w:val="21"/>
              </w:rPr>
              <w:t>二、公务用车购置及运维费</w:t>
            </w:r>
          </w:p>
        </w:tc>
        <w:tc>
          <w:tcPr>
            <w:tcW w:w="2382" w:type="dxa"/>
          </w:tcPr>
          <w:p>
            <w:pPr>
              <w:pStyle w:val="36"/>
              <w:kinsoku w:val="0"/>
              <w:overflowPunct w:val="0"/>
              <w:spacing w:before="74"/>
              <w:ind w:right="90"/>
              <w:jc w:val="right"/>
              <w:rPr>
                <w:rFonts w:ascii="宋体" w:hAnsi="宋体" w:eastAsia="宋体" w:cs="宋体"/>
                <w:sz w:val="21"/>
                <w:szCs w:val="21"/>
                <w:lang w:eastAsia="zh-CN"/>
              </w:rPr>
            </w:pPr>
            <w:r>
              <w:rPr>
                <w:rFonts w:hint="eastAsia" w:ascii="宋体" w:hAnsi="宋体" w:eastAsia="宋体" w:cs="宋体"/>
                <w:sz w:val="21"/>
                <w:szCs w:val="21"/>
              </w:rPr>
              <w:t>6</w:t>
            </w:r>
            <w:r>
              <w:rPr>
                <w:rFonts w:hint="eastAsia" w:ascii="宋体" w:hAnsi="宋体" w:eastAsia="宋体" w:cs="宋体"/>
                <w:sz w:val="21"/>
                <w:szCs w:val="21"/>
                <w:lang w:eastAsia="zh-CN"/>
              </w:rPr>
              <w:t>.00</w:t>
            </w:r>
          </w:p>
        </w:tc>
        <w:tc>
          <w:tcPr>
            <w:tcW w:w="2381" w:type="dxa"/>
          </w:tcPr>
          <w:p>
            <w:pPr>
              <w:pStyle w:val="36"/>
              <w:kinsoku w:val="0"/>
              <w:overflowPunct w:val="0"/>
              <w:spacing w:before="74"/>
              <w:ind w:right="92"/>
              <w:jc w:val="right"/>
              <w:rPr>
                <w:rFonts w:ascii="宋体" w:hAnsi="宋体" w:eastAsia="宋体" w:cs="宋体"/>
                <w:sz w:val="21"/>
                <w:szCs w:val="21"/>
                <w:lang w:eastAsia="zh-CN"/>
              </w:rPr>
            </w:pPr>
            <w:r>
              <w:rPr>
                <w:rFonts w:hint="eastAsia" w:ascii="宋体" w:hAnsi="宋体" w:eastAsia="宋体" w:cs="宋体"/>
                <w:sz w:val="21"/>
                <w:szCs w:val="21"/>
              </w:rPr>
              <w:t>6</w:t>
            </w:r>
            <w:r>
              <w:rPr>
                <w:rFonts w:hint="eastAsia" w:ascii="宋体" w:hAnsi="宋体" w:eastAsia="宋体" w:cs="宋体"/>
                <w:sz w:val="21"/>
                <w:szCs w:val="21"/>
                <w:lang w:eastAsia="zh-CN"/>
              </w:rPr>
              <w:t>.00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6"/>
              <w:kinsoku w:val="0"/>
              <w:overflowPunct w:val="0"/>
              <w:spacing w:before="75"/>
              <w:ind w:left="11"/>
              <w:jc w:val="center"/>
              <w:rPr>
                <w:rFonts w:ascii="宋体" w:hAnsi="宋体" w:eastAsia="宋体" w:cs="宋体"/>
                <w:sz w:val="21"/>
                <w:szCs w:val="21"/>
              </w:rPr>
            </w:pPr>
            <w:r>
              <w:rPr>
                <w:rFonts w:hint="eastAsia" w:ascii="宋体" w:hAnsi="宋体" w:eastAsia="宋体" w:cs="宋体"/>
                <w:sz w:val="21"/>
                <w:szCs w:val="21"/>
              </w:rPr>
              <w:t>4</w:t>
            </w:r>
          </w:p>
        </w:tc>
        <w:tc>
          <w:tcPr>
            <w:tcW w:w="3798" w:type="dxa"/>
          </w:tcPr>
          <w:p>
            <w:pPr>
              <w:pStyle w:val="36"/>
              <w:kinsoku w:val="0"/>
              <w:overflowPunct w:val="0"/>
              <w:spacing w:before="75"/>
              <w:ind w:left="530"/>
              <w:rPr>
                <w:rFonts w:ascii="宋体" w:hAnsi="宋体" w:eastAsia="宋体" w:cs="宋体"/>
                <w:sz w:val="21"/>
                <w:szCs w:val="21"/>
              </w:rPr>
            </w:pPr>
            <w:r>
              <w:rPr>
                <w:rFonts w:hint="eastAsia" w:ascii="宋体" w:hAnsi="宋体" w:eastAsia="宋体" w:cs="宋体"/>
                <w:sz w:val="21"/>
                <w:szCs w:val="21"/>
              </w:rPr>
              <w:t>其中：公务用车购置费</w:t>
            </w:r>
          </w:p>
        </w:tc>
        <w:tc>
          <w:tcPr>
            <w:tcW w:w="2382" w:type="dxa"/>
          </w:tcPr>
          <w:p>
            <w:pPr>
              <w:pStyle w:val="36"/>
              <w:kinsoku w:val="0"/>
              <w:overflowPunct w:val="0"/>
              <w:rPr>
                <w:rFonts w:ascii="宋体" w:hAnsi="宋体" w:eastAsia="宋体" w:cs="宋体"/>
                <w:sz w:val="21"/>
                <w:szCs w:val="21"/>
              </w:rPr>
            </w:pPr>
          </w:p>
        </w:tc>
        <w:tc>
          <w:tcPr>
            <w:tcW w:w="2381" w:type="dxa"/>
          </w:tcPr>
          <w:p>
            <w:pPr>
              <w:pStyle w:val="36"/>
              <w:kinsoku w:val="0"/>
              <w:overflowPunct w:val="0"/>
              <w:rPr>
                <w:rFonts w:ascii="宋体" w:hAnsi="宋体" w:eastAsia="宋体" w:cs="宋体"/>
                <w:sz w:val="21"/>
                <w:szCs w:val="21"/>
              </w:rPr>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6"/>
              <w:kinsoku w:val="0"/>
              <w:overflowPunct w:val="0"/>
              <w:spacing w:before="74"/>
              <w:ind w:left="11"/>
              <w:jc w:val="center"/>
              <w:rPr>
                <w:rFonts w:ascii="宋体" w:hAnsi="宋体" w:eastAsia="宋体" w:cs="宋体"/>
                <w:sz w:val="21"/>
                <w:szCs w:val="21"/>
              </w:rPr>
            </w:pPr>
            <w:r>
              <w:rPr>
                <w:rFonts w:hint="eastAsia" w:ascii="宋体" w:hAnsi="宋体" w:eastAsia="宋体" w:cs="宋体"/>
                <w:sz w:val="21"/>
                <w:szCs w:val="21"/>
              </w:rPr>
              <w:t>5</w:t>
            </w:r>
          </w:p>
        </w:tc>
        <w:tc>
          <w:tcPr>
            <w:tcW w:w="3798" w:type="dxa"/>
          </w:tcPr>
          <w:p>
            <w:pPr>
              <w:pStyle w:val="36"/>
              <w:kinsoku w:val="0"/>
              <w:overflowPunct w:val="0"/>
              <w:spacing w:before="74"/>
              <w:ind w:left="1159"/>
              <w:rPr>
                <w:rFonts w:ascii="宋体" w:hAnsi="宋体" w:eastAsia="宋体" w:cs="宋体"/>
                <w:sz w:val="21"/>
                <w:szCs w:val="21"/>
              </w:rPr>
            </w:pPr>
            <w:r>
              <w:rPr>
                <w:rFonts w:hint="eastAsia" w:ascii="宋体" w:hAnsi="宋体" w:eastAsia="宋体" w:cs="宋体"/>
                <w:sz w:val="21"/>
                <w:szCs w:val="21"/>
              </w:rPr>
              <w:t>公务用车运行维护费</w:t>
            </w:r>
          </w:p>
        </w:tc>
        <w:tc>
          <w:tcPr>
            <w:tcW w:w="2382" w:type="dxa"/>
          </w:tcPr>
          <w:p>
            <w:pPr>
              <w:pStyle w:val="36"/>
              <w:kinsoku w:val="0"/>
              <w:overflowPunct w:val="0"/>
              <w:spacing w:before="74"/>
              <w:ind w:right="90"/>
              <w:jc w:val="right"/>
              <w:rPr>
                <w:rFonts w:ascii="宋体" w:hAnsi="宋体" w:eastAsia="宋体" w:cs="宋体"/>
                <w:sz w:val="21"/>
                <w:szCs w:val="21"/>
                <w:lang w:eastAsia="zh-CN"/>
              </w:rPr>
            </w:pPr>
            <w:r>
              <w:rPr>
                <w:rFonts w:hint="eastAsia" w:ascii="宋体" w:hAnsi="宋体" w:eastAsia="宋体" w:cs="宋体"/>
                <w:sz w:val="21"/>
                <w:szCs w:val="21"/>
              </w:rPr>
              <w:t>6</w:t>
            </w:r>
            <w:r>
              <w:rPr>
                <w:rFonts w:hint="eastAsia" w:ascii="宋体" w:hAnsi="宋体" w:eastAsia="宋体" w:cs="宋体"/>
                <w:sz w:val="21"/>
                <w:szCs w:val="21"/>
                <w:lang w:eastAsia="zh-CN"/>
              </w:rPr>
              <w:t>.00</w:t>
            </w:r>
          </w:p>
        </w:tc>
        <w:tc>
          <w:tcPr>
            <w:tcW w:w="2381" w:type="dxa"/>
          </w:tcPr>
          <w:p>
            <w:pPr>
              <w:pStyle w:val="36"/>
              <w:kinsoku w:val="0"/>
              <w:overflowPunct w:val="0"/>
              <w:spacing w:before="74"/>
              <w:ind w:right="92"/>
              <w:jc w:val="right"/>
              <w:rPr>
                <w:rFonts w:ascii="宋体" w:hAnsi="宋体" w:eastAsia="宋体" w:cs="宋体"/>
                <w:sz w:val="21"/>
                <w:szCs w:val="21"/>
                <w:lang w:eastAsia="zh-CN"/>
              </w:rPr>
            </w:pPr>
            <w:r>
              <w:rPr>
                <w:rFonts w:hint="eastAsia" w:ascii="宋体" w:hAnsi="宋体" w:eastAsia="宋体" w:cs="宋体"/>
                <w:sz w:val="21"/>
                <w:szCs w:val="21"/>
              </w:rPr>
              <w:t>6</w:t>
            </w:r>
            <w:r>
              <w:rPr>
                <w:rFonts w:hint="eastAsia" w:ascii="宋体" w:hAnsi="宋体" w:eastAsia="宋体" w:cs="宋体"/>
                <w:sz w:val="21"/>
                <w:szCs w:val="21"/>
                <w:lang w:eastAsia="zh-CN"/>
              </w:rPr>
              <w:t>.00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6"/>
              <w:kinsoku w:val="0"/>
              <w:overflowPunct w:val="0"/>
              <w:spacing w:before="74"/>
              <w:ind w:left="11"/>
              <w:jc w:val="center"/>
              <w:rPr>
                <w:rFonts w:ascii="宋体" w:hAnsi="宋体" w:eastAsia="宋体" w:cs="宋体"/>
                <w:sz w:val="21"/>
                <w:szCs w:val="21"/>
              </w:rPr>
            </w:pPr>
            <w:r>
              <w:rPr>
                <w:rFonts w:hint="eastAsia" w:ascii="宋体" w:hAnsi="宋体" w:eastAsia="宋体" w:cs="宋体"/>
                <w:sz w:val="21"/>
                <w:szCs w:val="21"/>
              </w:rPr>
              <w:t>6</w:t>
            </w:r>
          </w:p>
        </w:tc>
        <w:tc>
          <w:tcPr>
            <w:tcW w:w="3798" w:type="dxa"/>
          </w:tcPr>
          <w:p>
            <w:pPr>
              <w:pStyle w:val="36"/>
              <w:kinsoku w:val="0"/>
              <w:overflowPunct w:val="0"/>
              <w:spacing w:before="74"/>
              <w:ind w:left="108"/>
              <w:rPr>
                <w:rFonts w:ascii="宋体" w:hAnsi="宋体" w:eastAsia="宋体" w:cs="宋体"/>
                <w:sz w:val="21"/>
                <w:szCs w:val="21"/>
              </w:rPr>
            </w:pPr>
            <w:r>
              <w:rPr>
                <w:rFonts w:hint="eastAsia" w:ascii="宋体" w:hAnsi="宋体" w:eastAsia="宋体" w:cs="宋体"/>
                <w:sz w:val="21"/>
                <w:szCs w:val="21"/>
              </w:rPr>
              <w:t>三、公务接待费</w:t>
            </w:r>
          </w:p>
        </w:tc>
        <w:tc>
          <w:tcPr>
            <w:tcW w:w="2382" w:type="dxa"/>
          </w:tcPr>
          <w:p>
            <w:pPr>
              <w:pStyle w:val="36"/>
              <w:kinsoku w:val="0"/>
              <w:overflowPunct w:val="0"/>
              <w:spacing w:before="74"/>
              <w:ind w:right="89"/>
              <w:jc w:val="right"/>
              <w:rPr>
                <w:rFonts w:ascii="宋体" w:hAnsi="宋体" w:eastAsia="宋体" w:cs="宋体"/>
                <w:sz w:val="21"/>
                <w:szCs w:val="21"/>
              </w:rPr>
            </w:pPr>
          </w:p>
        </w:tc>
        <w:tc>
          <w:tcPr>
            <w:tcW w:w="2381" w:type="dxa"/>
          </w:tcPr>
          <w:p>
            <w:pPr>
              <w:pStyle w:val="36"/>
              <w:kinsoku w:val="0"/>
              <w:overflowPunct w:val="0"/>
              <w:spacing w:before="74"/>
              <w:ind w:right="90"/>
              <w:jc w:val="right"/>
              <w:rPr>
                <w:rFonts w:ascii="宋体" w:hAnsi="宋体" w:eastAsia="宋体" w:cs="宋体"/>
                <w:sz w:val="21"/>
                <w:szCs w:val="21"/>
              </w:rPr>
            </w:pPr>
          </w:p>
        </w:tc>
        <w:tc>
          <w:tcPr>
            <w:tcW w:w="2381" w:type="dxa"/>
            <w:vAlign w:val="center"/>
          </w:tcPr>
          <w:p>
            <w:pPr>
              <w:pStyle w:val="14"/>
            </w:pPr>
          </w:p>
        </w:tc>
        <w:tc>
          <w:tcPr>
            <w:tcW w:w="2381" w:type="dxa"/>
            <w:vAlign w:val="center"/>
          </w:tcPr>
          <w:p>
            <w:pPr>
              <w:pStyle w:val="14"/>
            </w:pPr>
          </w:p>
        </w:tc>
      </w:tr>
    </w:tbl>
    <w:p>
      <w:pPr>
        <w:ind w:firstLine="420"/>
        <w:sectPr>
          <w:pgSz w:w="16840" w:h="11900" w:orient="landscape"/>
          <w:pgMar w:top="1361" w:right="1020" w:bottom="1361" w:left="1020" w:header="720" w:footer="720" w:gutter="0"/>
          <w:cols w:space="720" w:num="1"/>
          <w:docGrid w:linePitch="326" w:charSpace="0"/>
        </w:sectPr>
      </w:pPr>
    </w:p>
    <w:p>
      <w:pPr>
        <w:jc w:val="center"/>
        <w:outlineLvl w:val="4"/>
        <w:rPr>
          <w:rFonts w:ascii="方正小标宋_GBK" w:cs="方正小标宋_GBK" w:eastAsiaTheme="minorEastAsia"/>
          <w:color w:val="000000"/>
          <w:sz w:val="44"/>
          <w:lang w:eastAsia="zh-CN"/>
        </w:rPr>
      </w:pPr>
      <w:r>
        <w:rPr>
          <w:rFonts w:ascii="方正小标宋_GBK" w:eastAsia="方正小标宋_GBK" w:cs="方正小标宋_GBK"/>
          <w:color w:val="000000"/>
          <w:sz w:val="44"/>
        </w:rPr>
        <w:t>中国共产党保定市莲池区委政法委员会本级</w:t>
      </w:r>
    </w:p>
    <w:p>
      <w:pPr>
        <w:jc w:val="center"/>
        <w:outlineLvl w:val="4"/>
      </w:pPr>
      <w:r>
        <w:rPr>
          <w:rFonts w:ascii="方正小标宋_GBK" w:eastAsia="方正小标宋_GBK" w:cs="方正小标宋_GBK"/>
          <w:color w:val="000000"/>
          <w:sz w:val="44"/>
        </w:rPr>
        <w:t>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按照《中华人民共和国预算法》、《地方预决算公开操作规程》和《关于进一步推进预算公开工作的实施意见》规定，现将中国共产党保定市莲池区委政法委员会本级2024年单位预算公开如下：</w:t>
      </w:r>
    </w:p>
    <w:p>
      <w:pPr>
        <w:spacing w:before="10" w:after="10"/>
        <w:ind w:firstLine="640"/>
        <w:outlineLvl w:val="5"/>
      </w:pPr>
      <w:r>
        <w:rPr>
          <w:rFonts w:ascii="黑体" w:eastAsia="黑体" w:cs="黑体"/>
          <w:color w:val="000000"/>
          <w:sz w:val="32"/>
        </w:rPr>
        <w:t>一、单位职责及机构设置情况</w:t>
      </w:r>
    </w:p>
    <w:p>
      <w:pPr>
        <w:ind w:firstLine="640"/>
      </w:pPr>
      <w:r>
        <w:rPr>
          <w:rFonts w:ascii="方正楷体_GBK" w:eastAsia="方正楷体_GBK" w:cs="方正楷体_GBK"/>
          <w:b/>
          <w:color w:val="000000"/>
          <w:sz w:val="32"/>
        </w:rPr>
        <w:t>单位职责：</w:t>
      </w:r>
    </w:p>
    <w:p>
      <w:pPr>
        <w:pStyle w:val="37"/>
      </w:pPr>
      <w:r>
        <w:t>根据《中国共产党保定市莲池区委政法委员会职能配置、内设机构和人员编制规定》，中国共产党保定市莲池区委政法委员会的主要职责是：</w:t>
      </w:r>
    </w:p>
    <w:p>
      <w:pPr>
        <w:pStyle w:val="37"/>
      </w:pPr>
      <w:r>
        <w:t>（一）深入贯彻习近平新时代中国特色社会主义思想，坚持党对政法工作的绝对领导，坚决维护党中央权威和集中统一领导，坚决执行党的路线方针政策和党中央重大决策部署，推动完善和落实政治轮训和政治督察制度。</w:t>
      </w:r>
    </w:p>
    <w:p>
      <w:pPr>
        <w:pStyle w:val="37"/>
      </w:pPr>
      <w:r>
        <w:t>（二）贯彻党中央、省、市、区委决定，研究协调全区政法单位之间、政法单位和区直部门、乡镇（街道）之间有关重大事项，统一全区政法单位思想和行动，确保全区政法单位坚定正确的政治方向。</w:t>
      </w:r>
    </w:p>
    <w:p>
      <w:pPr>
        <w:pStyle w:val="37"/>
      </w:pPr>
      <w:r>
        <w:t>（三）对政法工作研究提出全局性部署，推进平安莲池、法治莲池建设，加强过硬队伍建设，深化智能化建设，坚决维护国家政治安全、确保社会大局稳定、促进社会公平正义、保障人民安居乐业。</w:t>
      </w:r>
    </w:p>
    <w:p>
      <w:pPr>
        <w:pStyle w:val="37"/>
      </w:pPr>
      <w:r>
        <w:t>（四）了解掌握和分析研判社会稳定形势、政法工作情况动态，创新完善多部门参与的平安建设工作协调机制，协调推动预防、化解影响稳定的社会矛盾和风险，协调应对和妥善处置重大突发事件，协调指导全区政法单位和相关部门做好反邪教、反暴恐工作。</w:t>
      </w:r>
    </w:p>
    <w:p>
      <w:pPr>
        <w:pStyle w:val="37"/>
      </w:pPr>
      <w:r>
        <w:t>（五）加强对全区政法工作的督查，统筹协调社会治安综合治理、维护社会稳定、反邪教、反暴恐等有关国家法律法规和政策的实施工作。</w:t>
      </w:r>
    </w:p>
    <w:p>
      <w:pPr>
        <w:pStyle w:val="37"/>
      </w:pPr>
      <w:r>
        <w:t>（六）支持和监督区政法单位依法行使职权，检查区政法单位执行党的路线方针政策、党中央重大决策部署和国家法律法规的情况，指导和协调区政法单位密切配合，完善与区纪委监委工作衔接和协作配合机制，推进严格执法、公正司法。</w:t>
      </w:r>
    </w:p>
    <w:p>
      <w:pPr>
        <w:pStyle w:val="37"/>
      </w:pPr>
      <w:r>
        <w:t>（七）组织开展政法领域的调查研究，研究拟订政法工作的重大措施，及时向区委提出建议。组织研究政法改革中带有方向性、倾向性和普遍性的重大问题，提出改革措施的意见和建议，协助区委统筹推进政法改革各项工作落实。</w:t>
      </w:r>
    </w:p>
    <w:p>
      <w:pPr>
        <w:pStyle w:val="37"/>
      </w:pPr>
      <w:r>
        <w:t>（八）指导和推动区政法单位党的建设和政法队伍建设，协调和指导全区见义勇为工作，协助区委及区委组织部加强区政法单位领导班子和干部队伍建设，协助区委和区纪委监委做好监督检查、审查调查工作，派员列席区政法单位党组（党委）民主生活会。</w:t>
      </w:r>
    </w:p>
    <w:p>
      <w:pPr>
        <w:pStyle w:val="37"/>
      </w:pPr>
      <w:r>
        <w:t>（九）落实中央和省、市、区国家安全领导机构、全面依法治国（省、市、区）领导机构的决策部署，支持配合其办事机构工作；指导区政法单位加强国家政治安全战略研究、法治莲池建设重大问题研究，提出建议和工作意见，指导和协调区政法单位维护政治安全工作和执法司法相关工作。</w:t>
      </w:r>
    </w:p>
    <w:p>
      <w:pPr>
        <w:pStyle w:val="37"/>
      </w:pPr>
      <w:r>
        <w:t>（十）掌握分析政法舆情动态，指导和协调区政法单位和有关区直部门做好依法办理、宣传报道和舆论引导等相关工作。统筹推动全区政法系统信息化工作，指导政法智能化建设。</w:t>
      </w:r>
    </w:p>
    <w:p>
      <w:pPr>
        <w:pStyle w:val="37"/>
      </w:pPr>
      <w:r>
        <w:t>（十一）完成区委和上级党委政法委员会交办的其他任务。</w:t>
      </w:r>
    </w:p>
    <w:p>
      <w:pPr>
        <w:pStyle w:val="28"/>
        <w:rPr>
          <w:rFonts w:eastAsiaTheme="minorEastAsia"/>
          <w:lang w:eastAsia="zh-CN"/>
        </w:rPr>
      </w:pPr>
    </w:p>
    <w:p>
      <w:pPr>
        <w:pStyle w:val="28"/>
        <w:rPr>
          <w:rFonts w:eastAsiaTheme="minorEastAsia"/>
          <w:lang w:eastAsia="zh-CN"/>
        </w:rPr>
      </w:pPr>
    </w:p>
    <w:p>
      <w:pPr>
        <w:ind w:firstLine="640"/>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中国共产党保定市莲池区委政法委员会本级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ind w:firstLine="640"/>
        <w:outlineLvl w:val="5"/>
      </w:pPr>
      <w:r>
        <w:rPr>
          <w:rFonts w:ascii="黑体" w:eastAsia="黑体" w:cs="黑体"/>
          <w:color w:val="000000"/>
          <w:sz w:val="32"/>
        </w:rPr>
        <w:t>二、单位预算安排的总体情况</w:t>
      </w:r>
    </w:p>
    <w:p>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按照预算管理有关规定，目前我省部门预算的编制实行综合预算管理，即全部收入和支出都反映在预算中。中国共产党保定市莲池区委政法委员会机关及所属事业单位的收支包含在部门预算中。</w:t>
      </w:r>
    </w:p>
    <w:p>
      <w:pPr>
        <w:spacing w:line="500" w:lineRule="exact"/>
        <w:ind w:firstLine="560"/>
        <w:rPr>
          <w:rFonts w:eastAsia="方正仿宋_GBK"/>
          <w:color w:val="000000"/>
          <w:sz w:val="28"/>
        </w:rPr>
      </w:pPr>
      <w:r>
        <w:rPr>
          <w:rFonts w:hint="eastAsia" w:eastAsia="方正仿宋_GBK"/>
          <w:color w:val="000000"/>
          <w:sz w:val="28"/>
        </w:rPr>
        <w:t>1、收入说明</w:t>
      </w:r>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4</w:t>
      </w:r>
      <w:r>
        <w:rPr>
          <w:rFonts w:hint="eastAsia" w:eastAsia="方正仿宋_GBK"/>
          <w:color w:val="000000"/>
          <w:sz w:val="28"/>
        </w:rPr>
        <w:t>年保定市莲池区委政法委年初单位收入预算总额为</w:t>
      </w:r>
      <w:r>
        <w:rPr>
          <w:rFonts w:hint="eastAsia" w:eastAsia="方正仿宋_GBK"/>
          <w:color w:val="000000"/>
          <w:sz w:val="28"/>
          <w:lang w:eastAsia="zh-CN"/>
        </w:rPr>
        <w:t>862.71</w:t>
      </w:r>
      <w:r>
        <w:rPr>
          <w:rFonts w:hint="eastAsia" w:eastAsia="方正仿宋_GBK"/>
          <w:color w:val="000000"/>
          <w:sz w:val="28"/>
        </w:rPr>
        <w:t>万元。其中：人员经费预算为</w:t>
      </w:r>
      <w:r>
        <w:rPr>
          <w:rFonts w:hint="eastAsia" w:eastAsia="方正仿宋_GBK"/>
          <w:color w:val="000000"/>
          <w:sz w:val="28"/>
          <w:lang w:eastAsia="zh-CN"/>
        </w:rPr>
        <w:t>654.36</w:t>
      </w:r>
      <w:r>
        <w:rPr>
          <w:rFonts w:hint="eastAsia" w:eastAsia="方正仿宋_GBK"/>
          <w:color w:val="000000"/>
          <w:sz w:val="28"/>
        </w:rPr>
        <w:t>万元，正常公用经费预算为</w:t>
      </w:r>
      <w:r>
        <w:rPr>
          <w:rFonts w:hint="eastAsia" w:eastAsia="方正仿宋_GBK"/>
          <w:color w:val="000000"/>
          <w:sz w:val="28"/>
          <w:lang w:eastAsia="zh-CN"/>
        </w:rPr>
        <w:t>55.05</w:t>
      </w:r>
      <w:r>
        <w:rPr>
          <w:rFonts w:hint="eastAsia" w:eastAsia="方正仿宋_GBK"/>
          <w:color w:val="000000"/>
          <w:sz w:val="28"/>
        </w:rPr>
        <w:t>万元，专项项目、公用经费预算为</w:t>
      </w:r>
      <w:r>
        <w:rPr>
          <w:rFonts w:hint="eastAsia" w:eastAsia="方正仿宋_GBK"/>
          <w:color w:val="000000"/>
          <w:sz w:val="28"/>
          <w:lang w:eastAsia="zh-CN"/>
        </w:rPr>
        <w:t>153.3</w:t>
      </w:r>
      <w:r>
        <w:rPr>
          <w:rFonts w:hint="eastAsia" w:eastAsia="方正仿宋_GBK"/>
          <w:color w:val="000000"/>
          <w:sz w:val="28"/>
        </w:rPr>
        <w:t>万元。</w:t>
      </w:r>
    </w:p>
    <w:p>
      <w:pPr>
        <w:spacing w:line="500" w:lineRule="exact"/>
        <w:ind w:firstLine="560"/>
        <w:rPr>
          <w:rFonts w:eastAsia="方正仿宋_GBK"/>
          <w:color w:val="000000"/>
          <w:sz w:val="28"/>
        </w:rPr>
      </w:pPr>
      <w:r>
        <w:rPr>
          <w:rFonts w:hint="eastAsia" w:eastAsia="方正仿宋_GBK"/>
          <w:color w:val="000000"/>
          <w:sz w:val="28"/>
        </w:rPr>
        <w:t>2、支出说明</w:t>
      </w:r>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4</w:t>
      </w:r>
      <w:r>
        <w:rPr>
          <w:rFonts w:hint="eastAsia" w:eastAsia="方正仿宋_GBK"/>
          <w:color w:val="000000"/>
          <w:sz w:val="28"/>
        </w:rPr>
        <w:t>年单位支出安排预算总额</w:t>
      </w:r>
      <w:r>
        <w:rPr>
          <w:rFonts w:hint="eastAsia" w:eastAsia="方正仿宋_GBK"/>
          <w:color w:val="000000"/>
          <w:sz w:val="28"/>
          <w:lang w:eastAsia="zh-CN"/>
        </w:rPr>
        <w:t>862.71</w:t>
      </w:r>
      <w:r>
        <w:rPr>
          <w:rFonts w:hint="eastAsia" w:eastAsia="方正仿宋_GBK"/>
          <w:color w:val="000000"/>
          <w:sz w:val="28"/>
        </w:rPr>
        <w:t>万元。</w:t>
      </w:r>
    </w:p>
    <w:p>
      <w:pPr>
        <w:spacing w:line="500" w:lineRule="exact"/>
        <w:ind w:firstLine="560"/>
        <w:rPr>
          <w:rFonts w:eastAsia="方正仿宋_GBK"/>
          <w:color w:val="000000"/>
          <w:sz w:val="28"/>
        </w:rPr>
      </w:pPr>
      <w:r>
        <w:rPr>
          <w:rFonts w:hint="eastAsia" w:eastAsia="方正仿宋_GBK"/>
          <w:color w:val="000000"/>
          <w:sz w:val="28"/>
        </w:rPr>
        <w:t xml:space="preserve">基本支出  </w:t>
      </w:r>
      <w:r>
        <w:rPr>
          <w:rFonts w:hint="eastAsia" w:eastAsia="方正仿宋_GBK"/>
          <w:color w:val="000000"/>
          <w:sz w:val="28"/>
          <w:lang w:eastAsia="zh-CN"/>
        </w:rPr>
        <w:t>709.41</w:t>
      </w:r>
      <w:r>
        <w:rPr>
          <w:rFonts w:hint="eastAsia" w:eastAsia="方正仿宋_GBK"/>
          <w:color w:val="000000"/>
          <w:sz w:val="28"/>
        </w:rPr>
        <w:t>万元</w:t>
      </w:r>
    </w:p>
    <w:p>
      <w:pPr>
        <w:spacing w:line="500" w:lineRule="exact"/>
        <w:ind w:firstLine="560"/>
        <w:rPr>
          <w:rFonts w:eastAsia="方正仿宋_GBK"/>
          <w:color w:val="000000"/>
          <w:sz w:val="28"/>
        </w:rPr>
      </w:pPr>
      <w:r>
        <w:rPr>
          <w:rFonts w:hint="eastAsia" w:eastAsia="方正仿宋_GBK"/>
          <w:color w:val="000000"/>
          <w:sz w:val="28"/>
        </w:rPr>
        <w:t xml:space="preserve">   其中：人员经费 </w:t>
      </w:r>
      <w:r>
        <w:rPr>
          <w:rFonts w:hint="eastAsia" w:eastAsia="方正仿宋_GBK"/>
          <w:color w:val="000000"/>
          <w:sz w:val="28"/>
          <w:lang w:eastAsia="zh-CN"/>
        </w:rPr>
        <w:t>654</w:t>
      </w:r>
      <w:r>
        <w:rPr>
          <w:rFonts w:hint="eastAsia" w:eastAsia="方正仿宋_GBK"/>
          <w:color w:val="000000"/>
          <w:sz w:val="28"/>
        </w:rPr>
        <w:t>.36万元</w:t>
      </w:r>
    </w:p>
    <w:p>
      <w:pPr>
        <w:spacing w:line="500" w:lineRule="exact"/>
        <w:ind w:firstLine="560"/>
        <w:rPr>
          <w:rFonts w:eastAsia="方正仿宋_GBK"/>
          <w:color w:val="000000"/>
          <w:sz w:val="28"/>
        </w:rPr>
      </w:pPr>
      <w:r>
        <w:rPr>
          <w:rFonts w:hint="eastAsia" w:eastAsia="方正仿宋_GBK"/>
          <w:color w:val="000000"/>
          <w:sz w:val="28"/>
        </w:rPr>
        <w:t xml:space="preserve">         日常公用经费 </w:t>
      </w:r>
      <w:r>
        <w:rPr>
          <w:rFonts w:hint="eastAsia" w:eastAsia="方正仿宋_GBK"/>
          <w:color w:val="000000"/>
          <w:sz w:val="28"/>
          <w:lang w:eastAsia="zh-CN"/>
        </w:rPr>
        <w:t>55.05</w:t>
      </w:r>
      <w:r>
        <w:rPr>
          <w:rFonts w:hint="eastAsia" w:eastAsia="方正仿宋_GBK"/>
          <w:color w:val="000000"/>
          <w:sz w:val="28"/>
        </w:rPr>
        <w:t>万元</w:t>
      </w:r>
    </w:p>
    <w:p>
      <w:pPr>
        <w:spacing w:line="500" w:lineRule="exact"/>
        <w:ind w:firstLine="560"/>
        <w:rPr>
          <w:rFonts w:eastAsia="方正仿宋_GBK"/>
          <w:color w:val="000000"/>
          <w:sz w:val="28"/>
        </w:rPr>
      </w:pPr>
      <w:r>
        <w:rPr>
          <w:rFonts w:hint="eastAsia" w:eastAsia="方正仿宋_GBK"/>
          <w:color w:val="000000"/>
          <w:sz w:val="28"/>
        </w:rPr>
        <w:t xml:space="preserve">项目支出  </w:t>
      </w:r>
      <w:r>
        <w:rPr>
          <w:rFonts w:hint="eastAsia" w:eastAsia="方正仿宋_GBK"/>
          <w:color w:val="000000"/>
          <w:sz w:val="28"/>
          <w:lang w:eastAsia="zh-CN"/>
        </w:rPr>
        <w:t>153.3</w:t>
      </w:r>
      <w:r>
        <w:rPr>
          <w:rFonts w:hint="eastAsia" w:eastAsia="方正仿宋_GBK"/>
          <w:color w:val="000000"/>
          <w:sz w:val="28"/>
        </w:rPr>
        <w:t>万元</w:t>
      </w:r>
    </w:p>
    <w:p>
      <w:pPr>
        <w:spacing w:line="500" w:lineRule="exact"/>
        <w:ind w:firstLine="560"/>
        <w:rPr>
          <w:rFonts w:hint="eastAsia" w:eastAsia="方正仿宋_GBK"/>
          <w:color w:val="000000"/>
          <w:sz w:val="28"/>
          <w:lang w:eastAsia="zh-CN"/>
        </w:rPr>
      </w:pPr>
      <w:r>
        <w:rPr>
          <w:rFonts w:hint="eastAsia" w:eastAsia="方正仿宋_GBK"/>
          <w:color w:val="000000"/>
          <w:sz w:val="28"/>
        </w:rPr>
        <w:t xml:space="preserve">   其中：本级支出 </w:t>
      </w:r>
      <w:r>
        <w:rPr>
          <w:rFonts w:hint="eastAsia" w:eastAsia="方正仿宋_GBK"/>
          <w:color w:val="000000"/>
          <w:sz w:val="28"/>
          <w:lang w:eastAsia="zh-CN"/>
        </w:rPr>
        <w:t>153.3</w:t>
      </w:r>
      <w:r>
        <w:rPr>
          <w:rFonts w:hint="eastAsia" w:eastAsia="方正仿宋_GBK"/>
          <w:color w:val="000000"/>
          <w:sz w:val="28"/>
        </w:rPr>
        <w:t>万元</w:t>
      </w:r>
    </w:p>
    <w:p>
      <w:pPr>
        <w:spacing w:line="500" w:lineRule="exact"/>
        <w:ind w:firstLine="560"/>
        <w:rPr>
          <w:rFonts w:eastAsia="方正仿宋_GBK"/>
          <w:color w:val="000000"/>
          <w:sz w:val="28"/>
        </w:rPr>
      </w:pPr>
      <w:r>
        <w:rPr>
          <w:rFonts w:hint="eastAsia" w:eastAsia="方正仿宋_GBK"/>
          <w:color w:val="000000"/>
          <w:sz w:val="28"/>
        </w:rPr>
        <w:t>3、比上年增减情况</w:t>
      </w:r>
    </w:p>
    <w:p>
      <w:pPr>
        <w:spacing w:line="500" w:lineRule="exact"/>
        <w:ind w:firstLine="560"/>
      </w:pPr>
      <w:r>
        <w:rPr>
          <w:rFonts w:hint="eastAsia" w:eastAsia="方正仿宋_GBK"/>
          <w:color w:val="000000"/>
          <w:sz w:val="28"/>
        </w:rPr>
        <w:t>本年度预算收支安排</w:t>
      </w:r>
      <w:r>
        <w:rPr>
          <w:rFonts w:hint="eastAsia" w:eastAsia="方正仿宋_GBK"/>
          <w:color w:val="000000"/>
          <w:sz w:val="28"/>
          <w:lang w:eastAsia="zh-CN"/>
        </w:rPr>
        <w:t>862.71</w:t>
      </w:r>
      <w:r>
        <w:rPr>
          <w:rFonts w:hint="eastAsia" w:eastAsia="方正仿宋_GBK"/>
          <w:color w:val="000000"/>
          <w:sz w:val="28"/>
        </w:rPr>
        <w:t>万元，较上年</w:t>
      </w:r>
      <w:r>
        <w:rPr>
          <w:rFonts w:hint="eastAsia" w:eastAsia="方正仿宋_GBK"/>
          <w:color w:val="000000"/>
          <w:sz w:val="28"/>
          <w:lang w:eastAsia="zh-CN"/>
        </w:rPr>
        <w:t>增加30.13</w:t>
      </w:r>
      <w:r>
        <w:rPr>
          <w:rFonts w:hint="eastAsia" w:eastAsia="方正仿宋_GBK"/>
          <w:color w:val="000000"/>
          <w:sz w:val="28"/>
        </w:rPr>
        <w:t>万元。其中:基本支出</w:t>
      </w:r>
      <w:r>
        <w:rPr>
          <w:rFonts w:hint="eastAsia" w:eastAsia="方正仿宋_GBK"/>
          <w:color w:val="000000"/>
          <w:sz w:val="28"/>
          <w:lang w:eastAsia="zh-CN"/>
        </w:rPr>
        <w:t>增加95.83</w:t>
      </w:r>
      <w:r>
        <w:rPr>
          <w:rFonts w:hint="eastAsia" w:eastAsia="方正仿宋_GBK"/>
          <w:color w:val="000000"/>
          <w:sz w:val="28"/>
        </w:rPr>
        <w:t>万元，日常公用经费</w:t>
      </w:r>
      <w:r>
        <w:rPr>
          <w:rFonts w:hint="eastAsia" w:eastAsia="方正仿宋_GBK"/>
          <w:color w:val="000000"/>
          <w:sz w:val="28"/>
          <w:lang w:eastAsia="zh-CN"/>
        </w:rPr>
        <w:t>增加4.83</w:t>
      </w:r>
      <w:r>
        <w:rPr>
          <w:rFonts w:hint="eastAsia" w:eastAsia="方正仿宋_GBK"/>
          <w:color w:val="000000"/>
          <w:sz w:val="28"/>
        </w:rPr>
        <w:t>万元，主要</w:t>
      </w:r>
      <w:r>
        <w:rPr>
          <w:rFonts w:hint="eastAsia" w:eastAsia="方正仿宋_GBK"/>
          <w:color w:val="000000"/>
          <w:sz w:val="28"/>
          <w:lang w:eastAsia="zh-CN"/>
        </w:rPr>
        <w:t>增加</w:t>
      </w:r>
      <w:r>
        <w:rPr>
          <w:rFonts w:hint="eastAsia" w:eastAsia="方正仿宋_GBK"/>
          <w:color w:val="000000"/>
          <w:sz w:val="28"/>
        </w:rPr>
        <w:t>人员经费支出；项目支出</w:t>
      </w:r>
      <w:r>
        <w:rPr>
          <w:rFonts w:hint="eastAsia" w:eastAsia="方正仿宋_GBK"/>
          <w:color w:val="000000"/>
          <w:sz w:val="28"/>
          <w:lang w:eastAsia="zh-CN"/>
        </w:rPr>
        <w:t>减少65.7</w:t>
      </w:r>
      <w:r>
        <w:rPr>
          <w:rFonts w:hint="eastAsia" w:eastAsia="方正仿宋_GBK"/>
          <w:color w:val="000000"/>
          <w:sz w:val="28"/>
        </w:rPr>
        <w:t>万元，主要是因为</w:t>
      </w:r>
      <w:r>
        <w:rPr>
          <w:rFonts w:hint="eastAsia" w:eastAsia="方正仿宋_GBK"/>
          <w:color w:val="000000"/>
          <w:sz w:val="28"/>
          <w:lang w:eastAsia="zh-CN"/>
        </w:rPr>
        <w:t>减少</w:t>
      </w:r>
      <w:r>
        <w:rPr>
          <w:rFonts w:hint="eastAsia" w:eastAsia="方正仿宋_GBK"/>
          <w:color w:val="000000"/>
          <w:sz w:val="28"/>
        </w:rPr>
        <w:t>项目经费预算开支。</w:t>
      </w:r>
    </w:p>
    <w:p>
      <w:pPr>
        <w:spacing w:before="10" w:after="10"/>
        <w:ind w:firstLine="640"/>
        <w:outlineLvl w:val="5"/>
      </w:pPr>
      <w:r>
        <w:rPr>
          <w:rFonts w:ascii="黑体" w:eastAsia="黑体" w:cs="黑体"/>
          <w:color w:val="000000"/>
          <w:sz w:val="32"/>
        </w:rPr>
        <w:t>三、机关运行经费安排情况</w:t>
      </w:r>
    </w:p>
    <w:p>
      <w:pPr>
        <w:pStyle w:val="22"/>
      </w:pPr>
      <w:r>
        <w:rPr>
          <w:rFonts w:hint="eastAsia"/>
        </w:rPr>
        <w:t>保定市莲池区委政法委运行经费安排</w:t>
      </w:r>
      <w:r>
        <w:rPr>
          <w:rFonts w:hint="eastAsia"/>
          <w:lang w:eastAsia="zh-CN"/>
        </w:rPr>
        <w:t>55.05</w:t>
      </w:r>
      <w:r>
        <w:rPr>
          <w:rFonts w:hint="eastAsia"/>
        </w:rPr>
        <w:t>万元，其中办公费</w:t>
      </w:r>
      <w:r>
        <w:rPr>
          <w:rFonts w:hint="eastAsia"/>
          <w:lang w:eastAsia="zh-CN"/>
        </w:rPr>
        <w:t>6.48</w:t>
      </w:r>
      <w:r>
        <w:rPr>
          <w:rFonts w:hint="eastAsia"/>
        </w:rPr>
        <w:t>万元，邮电费1</w:t>
      </w:r>
      <w:r>
        <w:rPr>
          <w:rFonts w:hint="eastAsia"/>
          <w:lang w:eastAsia="zh-CN"/>
        </w:rPr>
        <w:t>4</w:t>
      </w:r>
      <w:r>
        <w:rPr>
          <w:rFonts w:hint="eastAsia"/>
        </w:rPr>
        <w:t>万元，工会经费</w:t>
      </w:r>
      <w:r>
        <w:rPr>
          <w:rFonts w:hint="eastAsia"/>
          <w:lang w:eastAsia="zh-CN"/>
        </w:rPr>
        <w:t>3.35</w:t>
      </w:r>
      <w:r>
        <w:rPr>
          <w:rFonts w:hint="eastAsia"/>
        </w:rPr>
        <w:t>万元，福利费</w:t>
      </w:r>
      <w:r>
        <w:rPr>
          <w:rFonts w:hint="eastAsia"/>
          <w:lang w:eastAsia="zh-CN"/>
        </w:rPr>
        <w:t>5.03</w:t>
      </w:r>
      <w:r>
        <w:rPr>
          <w:rFonts w:hint="eastAsia"/>
        </w:rPr>
        <w:t>万元，公务用车运行维护费6万元，公务交通补贴</w:t>
      </w:r>
      <w:r>
        <w:rPr>
          <w:rFonts w:hint="eastAsia"/>
          <w:lang w:eastAsia="zh-CN"/>
        </w:rPr>
        <w:t>20</w:t>
      </w:r>
      <w:r>
        <w:rPr>
          <w:rFonts w:hint="eastAsia"/>
        </w:rPr>
        <w:t>万元，</w:t>
      </w:r>
      <w:r>
        <w:t>其他商品和服务支出</w:t>
      </w:r>
      <w:r>
        <w:rPr>
          <w:rFonts w:hint="eastAsia"/>
        </w:rPr>
        <w:t>0.</w:t>
      </w:r>
      <w:r>
        <w:rPr>
          <w:rFonts w:hint="eastAsia"/>
          <w:lang w:eastAsia="zh-CN"/>
        </w:rPr>
        <w:t>19</w:t>
      </w:r>
      <w:r>
        <w:rPr>
          <w:rFonts w:hint="eastAsia"/>
        </w:rPr>
        <w:t>万元。</w:t>
      </w:r>
    </w:p>
    <w:p>
      <w:pPr>
        <w:spacing w:before="10" w:after="10"/>
        <w:ind w:firstLine="640"/>
        <w:outlineLvl w:val="5"/>
      </w:pPr>
      <w:r>
        <w:rPr>
          <w:rFonts w:ascii="黑体" w:eastAsia="黑体" w:cs="黑体"/>
          <w:color w:val="000000"/>
          <w:sz w:val="32"/>
        </w:rPr>
        <w:t>四、财政拨款“三公”经费预算情况及增减变化原因</w:t>
      </w:r>
    </w:p>
    <w:p>
      <w:pPr>
        <w:pStyle w:val="23"/>
      </w:pPr>
      <w:r>
        <w:rPr>
          <w:rFonts w:hint="eastAsia"/>
        </w:rPr>
        <w:t>202</w:t>
      </w:r>
      <w:r>
        <w:rPr>
          <w:rFonts w:hint="eastAsia"/>
          <w:lang w:eastAsia="zh-CN"/>
        </w:rPr>
        <w:t>4</w:t>
      </w:r>
      <w:r>
        <w:rPr>
          <w:rFonts w:hint="eastAsia"/>
        </w:rPr>
        <w:t>年，我</w:t>
      </w:r>
      <w:r>
        <w:rPr>
          <w:rFonts w:hint="eastAsia" w:eastAsiaTheme="minorEastAsia"/>
          <w:lang w:eastAsia="zh-CN"/>
        </w:rPr>
        <w:t>单位</w:t>
      </w:r>
      <w:r>
        <w:rPr>
          <w:rFonts w:hint="eastAsia"/>
        </w:rPr>
        <w:t>财政拨款“三公”经费预算安排6万元，其中因公出国（境）费0万元；公务用车购置及运维费6万元（其中：公务用车购置费为0万元，公务用车运维费6万元)；公务接待费0万元。与</w:t>
      </w:r>
      <w:r>
        <w:rPr>
          <w:rFonts w:hint="eastAsia" w:eastAsiaTheme="minorEastAsia"/>
          <w:lang w:eastAsia="zh-CN"/>
        </w:rPr>
        <w:t>上</w:t>
      </w:r>
      <w:r>
        <w:rPr>
          <w:rFonts w:hint="eastAsia"/>
        </w:rPr>
        <w:t>年相比持平。</w:t>
      </w:r>
    </w:p>
    <w:p>
      <w:pPr>
        <w:pStyle w:val="5"/>
        <w:kinsoku w:val="0"/>
        <w:overflowPunct w:val="0"/>
        <w:spacing w:before="54"/>
        <w:ind w:right="9"/>
        <w:jc w:val="center"/>
        <w:rPr>
          <w:rFonts w:ascii="黑体" w:eastAsia="黑体" w:cs="黑体"/>
        </w:rPr>
      </w:pPr>
      <w:r>
        <w:rPr>
          <w:rFonts w:hint="eastAsia" w:ascii="黑体" w:eastAsia="黑体" w:cs="黑体"/>
        </w:rPr>
        <w:t>三公”经费预算情况及增减变化原因</w:t>
      </w:r>
    </w:p>
    <w:p>
      <w:pPr>
        <w:pStyle w:val="5"/>
        <w:tabs>
          <w:tab w:val="left" w:pos="12470"/>
        </w:tabs>
        <w:kinsoku w:val="0"/>
        <w:overflowPunct w:val="0"/>
        <w:spacing w:before="121"/>
        <w:ind w:right="7" w:firstLine="320" w:firstLineChars="100"/>
        <w:jc w:val="both"/>
      </w:pPr>
      <w:r>
        <w:rPr>
          <w:rFonts w:hint="eastAsia" w:ascii="仿宋_GB2312" w:hAnsi="仿宋_GB2312" w:eastAsia="仿宋_GB2312" w:cs="仿宋_GB2312"/>
          <w:lang w:eastAsia="zh-CN"/>
        </w:rPr>
        <w:t>中国共产党保定市莲池区委政法委员会本级                              单位：万元</w:t>
      </w:r>
    </w:p>
    <w:tbl>
      <w:tblPr>
        <w:tblStyle w:val="8"/>
        <w:tblW w:w="0" w:type="auto"/>
        <w:tblInd w:w="111" w:type="dxa"/>
        <w:tblLayout w:type="fixed"/>
        <w:tblCellMar>
          <w:top w:w="0" w:type="dxa"/>
          <w:left w:w="0" w:type="dxa"/>
          <w:bottom w:w="0" w:type="dxa"/>
          <w:right w:w="0" w:type="dxa"/>
        </w:tblCellMar>
      </w:tblPr>
      <w:tblGrid>
        <w:gridCol w:w="2936"/>
        <w:gridCol w:w="2370"/>
        <w:gridCol w:w="3100"/>
        <w:gridCol w:w="1664"/>
        <w:gridCol w:w="2946"/>
      </w:tblGrid>
      <w:tr>
        <w:tblPrEx>
          <w:tblCellMar>
            <w:top w:w="0" w:type="dxa"/>
            <w:left w:w="0" w:type="dxa"/>
            <w:bottom w:w="0" w:type="dxa"/>
            <w:right w:w="0" w:type="dxa"/>
          </w:tblCellMar>
        </w:tblPrEx>
        <w:trPr>
          <w:trHeight w:val="798" w:hRule="atLeast"/>
        </w:trPr>
        <w:tc>
          <w:tcPr>
            <w:tcW w:w="2936" w:type="dxa"/>
            <w:tcBorders>
              <w:top w:val="single" w:color="000000" w:sz="4" w:space="0"/>
              <w:left w:val="single" w:color="000000" w:sz="4" w:space="0"/>
              <w:bottom w:val="single" w:color="000000" w:sz="4" w:space="0"/>
              <w:right w:val="single" w:color="000000" w:sz="4" w:space="0"/>
            </w:tcBorders>
            <w:vAlign w:val="center"/>
          </w:tcPr>
          <w:p>
            <w:pPr>
              <w:pStyle w:val="36"/>
              <w:kinsoku w:val="0"/>
              <w:overflowPunct w:val="0"/>
              <w:spacing w:before="193"/>
              <w:ind w:left="1139"/>
              <w:jc w:val="center"/>
              <w:rPr>
                <w:rFonts w:ascii="仿宋" w:eastAsia="仿宋" w:cs="仿宋"/>
                <w:sz w:val="32"/>
                <w:szCs w:val="32"/>
              </w:rPr>
            </w:pPr>
            <w:r>
              <w:rPr>
                <w:rFonts w:hint="eastAsia" w:ascii="仿宋" w:eastAsia="仿宋" w:cs="仿宋"/>
                <w:sz w:val="32"/>
                <w:szCs w:val="32"/>
              </w:rPr>
              <w:t>项目名称</w:t>
            </w:r>
          </w:p>
        </w:tc>
        <w:tc>
          <w:tcPr>
            <w:tcW w:w="2370" w:type="dxa"/>
            <w:tcBorders>
              <w:top w:val="single" w:color="000000" w:sz="4" w:space="0"/>
              <w:left w:val="single" w:color="000000" w:sz="4" w:space="0"/>
              <w:bottom w:val="single" w:color="000000" w:sz="4" w:space="0"/>
              <w:right w:val="single" w:color="000000" w:sz="4" w:space="0"/>
            </w:tcBorders>
            <w:vAlign w:val="center"/>
          </w:tcPr>
          <w:p>
            <w:pPr>
              <w:pStyle w:val="36"/>
              <w:kinsoku w:val="0"/>
              <w:overflowPunct w:val="0"/>
              <w:spacing w:line="404" w:lineRule="exact"/>
              <w:ind w:left="109"/>
              <w:jc w:val="center"/>
              <w:rPr>
                <w:rFonts w:ascii="仿宋" w:eastAsia="仿宋" w:cs="仿宋"/>
                <w:w w:val="99"/>
                <w:sz w:val="32"/>
                <w:szCs w:val="32"/>
              </w:rPr>
            </w:pPr>
            <w:r>
              <w:rPr>
                <w:rFonts w:ascii="仿宋" w:eastAsia="仿宋" w:cs="仿宋"/>
                <w:sz w:val="32"/>
                <w:szCs w:val="32"/>
              </w:rPr>
              <w:t>202</w:t>
            </w:r>
            <w:r>
              <w:rPr>
                <w:rFonts w:hint="eastAsia" w:ascii="仿宋" w:eastAsia="仿宋" w:cs="仿宋"/>
                <w:sz w:val="32"/>
                <w:szCs w:val="32"/>
                <w:lang w:eastAsia="zh-CN"/>
              </w:rPr>
              <w:t>3</w:t>
            </w:r>
            <w:r>
              <w:rPr>
                <w:rFonts w:hint="eastAsia" w:ascii="仿宋" w:eastAsia="仿宋" w:cs="仿宋"/>
                <w:sz w:val="32"/>
                <w:szCs w:val="32"/>
              </w:rPr>
              <w:t>年度预</w:t>
            </w:r>
            <w:r>
              <w:rPr>
                <w:rFonts w:hint="eastAsia" w:ascii="仿宋" w:eastAsia="仿宋" w:cs="仿宋"/>
                <w:w w:val="99"/>
                <w:sz w:val="32"/>
                <w:szCs w:val="32"/>
              </w:rPr>
              <w:t>算</w:t>
            </w:r>
          </w:p>
        </w:tc>
        <w:tc>
          <w:tcPr>
            <w:tcW w:w="3100" w:type="dxa"/>
            <w:tcBorders>
              <w:top w:val="single" w:color="000000" w:sz="4" w:space="0"/>
              <w:left w:val="single" w:color="000000" w:sz="4" w:space="0"/>
              <w:bottom w:val="single" w:color="000000" w:sz="4" w:space="0"/>
              <w:right w:val="single" w:color="000000" w:sz="4" w:space="0"/>
            </w:tcBorders>
            <w:vAlign w:val="center"/>
          </w:tcPr>
          <w:p>
            <w:pPr>
              <w:pStyle w:val="36"/>
              <w:kinsoku w:val="0"/>
              <w:overflowPunct w:val="0"/>
              <w:spacing w:line="404" w:lineRule="exact"/>
              <w:jc w:val="center"/>
              <w:rPr>
                <w:rFonts w:ascii="仿宋" w:eastAsia="仿宋" w:cs="仿宋"/>
                <w:sz w:val="32"/>
                <w:szCs w:val="32"/>
              </w:rPr>
            </w:pPr>
            <w:r>
              <w:rPr>
                <w:rFonts w:ascii="仿宋" w:eastAsia="仿宋" w:cs="仿宋"/>
                <w:sz w:val="32"/>
                <w:szCs w:val="32"/>
              </w:rPr>
              <w:t>202</w:t>
            </w:r>
            <w:r>
              <w:rPr>
                <w:rFonts w:hint="eastAsia" w:ascii="仿宋" w:eastAsia="仿宋" w:cs="仿宋"/>
                <w:sz w:val="32"/>
                <w:szCs w:val="32"/>
                <w:lang w:eastAsia="zh-CN"/>
              </w:rPr>
              <w:t>4</w:t>
            </w:r>
            <w:r>
              <w:rPr>
                <w:rFonts w:hint="eastAsia" w:ascii="仿宋" w:eastAsia="仿宋" w:cs="仿宋"/>
                <w:spacing w:val="-27"/>
                <w:sz w:val="32"/>
                <w:szCs w:val="32"/>
              </w:rPr>
              <w:t>年度</w:t>
            </w:r>
            <w:r>
              <w:rPr>
                <w:rFonts w:hint="eastAsia" w:ascii="仿宋" w:eastAsia="仿宋" w:cs="仿宋"/>
                <w:sz w:val="32"/>
                <w:szCs w:val="32"/>
              </w:rPr>
              <w:t>预算</w:t>
            </w:r>
          </w:p>
        </w:tc>
        <w:tc>
          <w:tcPr>
            <w:tcW w:w="1664" w:type="dxa"/>
            <w:tcBorders>
              <w:top w:val="single" w:color="000000" w:sz="4" w:space="0"/>
              <w:left w:val="single" w:color="000000" w:sz="4" w:space="0"/>
              <w:bottom w:val="single" w:color="000000" w:sz="4" w:space="0"/>
              <w:right w:val="single" w:color="000000" w:sz="4" w:space="0"/>
            </w:tcBorders>
            <w:vAlign w:val="center"/>
          </w:tcPr>
          <w:p>
            <w:pPr>
              <w:pStyle w:val="36"/>
              <w:kinsoku w:val="0"/>
              <w:overflowPunct w:val="0"/>
              <w:spacing w:line="404" w:lineRule="exact"/>
              <w:ind w:left="434"/>
              <w:jc w:val="center"/>
              <w:rPr>
                <w:rFonts w:ascii="仿宋" w:eastAsia="仿宋" w:cs="仿宋"/>
                <w:spacing w:val="-1"/>
                <w:sz w:val="32"/>
                <w:szCs w:val="32"/>
              </w:rPr>
            </w:pPr>
            <w:r>
              <w:rPr>
                <w:rFonts w:hint="eastAsia" w:ascii="仿宋" w:eastAsia="仿宋" w:cs="仿宋"/>
                <w:spacing w:val="-1"/>
                <w:sz w:val="32"/>
                <w:szCs w:val="32"/>
              </w:rPr>
              <w:t>增减</w:t>
            </w:r>
          </w:p>
          <w:p>
            <w:pPr>
              <w:pStyle w:val="36"/>
              <w:kinsoku w:val="0"/>
              <w:overflowPunct w:val="0"/>
              <w:spacing w:line="374" w:lineRule="exact"/>
              <w:ind w:left="434"/>
              <w:jc w:val="center"/>
              <w:rPr>
                <w:rFonts w:ascii="仿宋" w:eastAsia="仿宋" w:cs="仿宋"/>
                <w:spacing w:val="-1"/>
                <w:sz w:val="32"/>
                <w:szCs w:val="32"/>
              </w:rPr>
            </w:pPr>
            <w:r>
              <w:rPr>
                <w:rFonts w:hint="eastAsia" w:ascii="仿宋" w:eastAsia="仿宋" w:cs="仿宋"/>
                <w:spacing w:val="-1"/>
                <w:sz w:val="32"/>
                <w:szCs w:val="32"/>
              </w:rPr>
              <w:t>金额</w:t>
            </w:r>
          </w:p>
        </w:tc>
        <w:tc>
          <w:tcPr>
            <w:tcW w:w="2946" w:type="dxa"/>
            <w:tcBorders>
              <w:top w:val="single" w:color="000000" w:sz="4" w:space="0"/>
              <w:left w:val="single" w:color="000000" w:sz="4" w:space="0"/>
              <w:bottom w:val="single" w:color="000000" w:sz="4" w:space="0"/>
              <w:right w:val="single" w:color="000000" w:sz="4" w:space="0"/>
            </w:tcBorders>
            <w:vAlign w:val="center"/>
          </w:tcPr>
          <w:p>
            <w:pPr>
              <w:pStyle w:val="36"/>
              <w:kinsoku w:val="0"/>
              <w:overflowPunct w:val="0"/>
              <w:spacing w:before="193"/>
              <w:ind w:right="1601"/>
              <w:jc w:val="center"/>
              <w:rPr>
                <w:rFonts w:ascii="仿宋" w:eastAsia="仿宋" w:cs="仿宋"/>
                <w:sz w:val="32"/>
                <w:szCs w:val="32"/>
              </w:rPr>
            </w:pPr>
            <w:r>
              <w:rPr>
                <w:rFonts w:hint="eastAsia" w:ascii="仿宋" w:eastAsia="仿宋" w:cs="仿宋"/>
                <w:sz w:val="32"/>
                <w:szCs w:val="32"/>
              </w:rPr>
              <w:t>变化原因</w:t>
            </w:r>
            <w:r>
              <w:rPr>
                <w:rFonts w:hint="eastAsia" w:ascii="仿宋" w:eastAsia="仿宋" w:cs="仿宋"/>
                <w:sz w:val="32"/>
                <w:szCs w:val="32"/>
                <w:lang w:eastAsia="zh-CN"/>
              </w:rPr>
              <w:t>为</w:t>
            </w:r>
          </w:p>
        </w:tc>
      </w:tr>
      <w:tr>
        <w:tblPrEx>
          <w:tblCellMar>
            <w:top w:w="0" w:type="dxa"/>
            <w:left w:w="0" w:type="dxa"/>
            <w:bottom w:w="0" w:type="dxa"/>
            <w:right w:w="0" w:type="dxa"/>
          </w:tblCellMar>
        </w:tblPrEx>
        <w:trPr>
          <w:trHeight w:val="650" w:hRule="atLeast"/>
        </w:trPr>
        <w:tc>
          <w:tcPr>
            <w:tcW w:w="2936"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70"/>
              <w:ind w:left="110"/>
              <w:rPr>
                <w:rFonts w:ascii="仿宋" w:eastAsia="仿宋" w:cs="仿宋"/>
              </w:rPr>
            </w:pPr>
            <w:r>
              <w:rPr>
                <w:rFonts w:hint="eastAsia" w:ascii="仿宋" w:eastAsia="仿宋" w:cs="仿宋"/>
              </w:rPr>
              <w:t>因公出国经费</w:t>
            </w:r>
          </w:p>
        </w:tc>
        <w:tc>
          <w:tcPr>
            <w:tcW w:w="2370"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70"/>
              <w:ind w:right="1142"/>
              <w:jc w:val="right"/>
              <w:rPr>
                <w:rFonts w:ascii="仿宋" w:eastAsia="仿宋" w:cs="仿宋"/>
              </w:rPr>
            </w:pPr>
            <w:r>
              <w:rPr>
                <w:rFonts w:ascii="仿宋" w:eastAsia="仿宋" w:cs="仿宋"/>
              </w:rPr>
              <w:t>0</w:t>
            </w:r>
          </w:p>
        </w:tc>
        <w:tc>
          <w:tcPr>
            <w:tcW w:w="3100"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70"/>
              <w:ind w:left="1151"/>
              <w:rPr>
                <w:rFonts w:ascii="仿宋" w:eastAsia="仿宋" w:cs="仿宋"/>
              </w:rPr>
            </w:pPr>
            <w:r>
              <w:rPr>
                <w:rFonts w:ascii="仿宋" w:eastAsia="仿宋" w:cs="仿宋"/>
              </w:rPr>
              <w:t>0</w:t>
            </w:r>
          </w:p>
        </w:tc>
        <w:tc>
          <w:tcPr>
            <w:tcW w:w="1664"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70"/>
              <w:ind w:left="11"/>
              <w:jc w:val="center"/>
              <w:rPr>
                <w:rFonts w:ascii="仿宋" w:eastAsia="仿宋" w:cs="仿宋"/>
              </w:rPr>
            </w:pPr>
            <w:r>
              <w:rPr>
                <w:rFonts w:ascii="仿宋" w:eastAsia="仿宋" w:cs="仿宋"/>
              </w:rPr>
              <w:t>0</w:t>
            </w:r>
          </w:p>
        </w:tc>
        <w:tc>
          <w:tcPr>
            <w:tcW w:w="2946"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70"/>
              <w:ind w:left="109"/>
              <w:rPr>
                <w:rFonts w:ascii="仿宋" w:eastAsia="仿宋" w:cs="仿宋"/>
              </w:rPr>
            </w:pPr>
            <w:r>
              <w:rPr>
                <w:rFonts w:hint="eastAsia" w:ascii="仿宋" w:eastAsia="仿宋" w:cs="仿宋"/>
              </w:rPr>
              <w:t>无增减变化</w:t>
            </w:r>
          </w:p>
        </w:tc>
      </w:tr>
      <w:tr>
        <w:tblPrEx>
          <w:tblCellMar>
            <w:top w:w="0" w:type="dxa"/>
            <w:left w:w="0" w:type="dxa"/>
            <w:bottom w:w="0" w:type="dxa"/>
            <w:right w:w="0" w:type="dxa"/>
          </w:tblCellMar>
        </w:tblPrEx>
        <w:trPr>
          <w:trHeight w:val="552" w:hRule="atLeast"/>
        </w:trPr>
        <w:tc>
          <w:tcPr>
            <w:tcW w:w="2936"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0"/>
              <w:ind w:left="110"/>
              <w:rPr>
                <w:rFonts w:ascii="仿宋" w:eastAsia="仿宋" w:cs="仿宋"/>
              </w:rPr>
            </w:pPr>
            <w:r>
              <w:rPr>
                <w:rFonts w:hint="eastAsia" w:ascii="仿宋" w:eastAsia="仿宋" w:cs="仿宋"/>
              </w:rPr>
              <w:t>公务用车购置经费</w:t>
            </w:r>
          </w:p>
        </w:tc>
        <w:tc>
          <w:tcPr>
            <w:tcW w:w="2370"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0"/>
              <w:ind w:right="1142"/>
              <w:jc w:val="right"/>
              <w:rPr>
                <w:rFonts w:ascii="仿宋" w:eastAsia="仿宋" w:cs="仿宋"/>
              </w:rPr>
            </w:pPr>
            <w:r>
              <w:rPr>
                <w:rFonts w:ascii="仿宋" w:eastAsia="仿宋" w:cs="仿宋"/>
              </w:rPr>
              <w:t>0</w:t>
            </w:r>
          </w:p>
        </w:tc>
        <w:tc>
          <w:tcPr>
            <w:tcW w:w="3100"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0"/>
              <w:ind w:left="1151"/>
              <w:rPr>
                <w:rFonts w:ascii="仿宋" w:eastAsia="仿宋" w:cs="仿宋"/>
              </w:rPr>
            </w:pPr>
            <w:r>
              <w:rPr>
                <w:rFonts w:ascii="仿宋" w:eastAsia="仿宋" w:cs="仿宋"/>
              </w:rPr>
              <w:t>0</w:t>
            </w:r>
          </w:p>
        </w:tc>
        <w:tc>
          <w:tcPr>
            <w:tcW w:w="1664"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0"/>
              <w:ind w:left="11"/>
              <w:jc w:val="center"/>
              <w:rPr>
                <w:rFonts w:ascii="仿宋" w:eastAsia="仿宋" w:cs="仿宋"/>
              </w:rPr>
            </w:pPr>
            <w:r>
              <w:rPr>
                <w:rFonts w:ascii="仿宋" w:eastAsia="仿宋" w:cs="仿宋"/>
              </w:rPr>
              <w:t>0</w:t>
            </w:r>
          </w:p>
        </w:tc>
        <w:tc>
          <w:tcPr>
            <w:tcW w:w="2946"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0"/>
              <w:ind w:left="109"/>
              <w:rPr>
                <w:rFonts w:ascii="仿宋" w:eastAsia="仿宋" w:cs="仿宋"/>
              </w:rPr>
            </w:pPr>
            <w:r>
              <w:rPr>
                <w:rFonts w:hint="eastAsia" w:ascii="仿宋" w:eastAsia="仿宋" w:cs="仿宋"/>
              </w:rPr>
              <w:t>无增减变化</w:t>
            </w:r>
          </w:p>
        </w:tc>
      </w:tr>
      <w:tr>
        <w:tblPrEx>
          <w:tblCellMar>
            <w:top w:w="0" w:type="dxa"/>
            <w:left w:w="0" w:type="dxa"/>
            <w:bottom w:w="0" w:type="dxa"/>
            <w:right w:w="0" w:type="dxa"/>
          </w:tblCellMar>
        </w:tblPrEx>
        <w:trPr>
          <w:trHeight w:val="570" w:hRule="atLeast"/>
        </w:trPr>
        <w:tc>
          <w:tcPr>
            <w:tcW w:w="2936"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9"/>
              <w:ind w:left="110"/>
              <w:rPr>
                <w:rFonts w:ascii="仿宋" w:eastAsia="仿宋" w:cs="仿宋"/>
              </w:rPr>
            </w:pPr>
            <w:r>
              <w:rPr>
                <w:rFonts w:hint="eastAsia" w:ascii="仿宋" w:eastAsia="仿宋" w:cs="仿宋"/>
              </w:rPr>
              <w:t>公务用车运行经费</w:t>
            </w:r>
          </w:p>
        </w:tc>
        <w:tc>
          <w:tcPr>
            <w:tcW w:w="2370"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9"/>
              <w:ind w:right="1082"/>
              <w:jc w:val="center"/>
              <w:rPr>
                <w:rFonts w:ascii="仿宋" w:eastAsia="仿宋" w:cs="仿宋"/>
              </w:rPr>
            </w:pPr>
            <w:r>
              <w:rPr>
                <w:rFonts w:hint="eastAsia" w:ascii="仿宋" w:eastAsia="仿宋" w:cs="仿宋"/>
              </w:rPr>
              <w:t xml:space="preserve">         6</w:t>
            </w:r>
          </w:p>
        </w:tc>
        <w:tc>
          <w:tcPr>
            <w:tcW w:w="3100"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9"/>
              <w:ind w:firstLine="1200" w:firstLineChars="500"/>
              <w:jc w:val="both"/>
              <w:rPr>
                <w:rFonts w:ascii="仿宋" w:eastAsia="仿宋" w:cs="仿宋"/>
              </w:rPr>
            </w:pPr>
            <w:r>
              <w:rPr>
                <w:rFonts w:hint="eastAsia" w:ascii="仿宋" w:eastAsia="仿宋" w:cs="仿宋"/>
              </w:rPr>
              <w:t>6</w:t>
            </w:r>
          </w:p>
        </w:tc>
        <w:tc>
          <w:tcPr>
            <w:tcW w:w="1664"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9"/>
              <w:ind w:left="11"/>
              <w:jc w:val="center"/>
              <w:rPr>
                <w:rFonts w:ascii="仿宋" w:eastAsia="仿宋" w:cs="仿宋"/>
              </w:rPr>
            </w:pPr>
            <w:r>
              <w:rPr>
                <w:rFonts w:ascii="仿宋" w:eastAsia="仿宋" w:cs="仿宋"/>
              </w:rPr>
              <w:t>0</w:t>
            </w:r>
          </w:p>
        </w:tc>
        <w:tc>
          <w:tcPr>
            <w:tcW w:w="2946"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65"/>
              <w:ind w:left="109"/>
              <w:rPr>
                <w:rFonts w:ascii="仿宋" w:eastAsia="仿宋" w:cs="仿宋"/>
              </w:rPr>
            </w:pPr>
            <w:r>
              <w:rPr>
                <w:rFonts w:hint="eastAsia" w:ascii="仿宋" w:eastAsia="仿宋" w:cs="仿宋"/>
              </w:rPr>
              <w:t>无增减变化</w:t>
            </w:r>
          </w:p>
        </w:tc>
      </w:tr>
      <w:tr>
        <w:tblPrEx>
          <w:tblCellMar>
            <w:top w:w="0" w:type="dxa"/>
            <w:left w:w="0" w:type="dxa"/>
            <w:bottom w:w="0" w:type="dxa"/>
            <w:right w:w="0" w:type="dxa"/>
          </w:tblCellMar>
        </w:tblPrEx>
        <w:trPr>
          <w:trHeight w:val="551" w:hRule="atLeast"/>
        </w:trPr>
        <w:tc>
          <w:tcPr>
            <w:tcW w:w="2936"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0"/>
              <w:ind w:left="110"/>
              <w:rPr>
                <w:rFonts w:ascii="仿宋" w:eastAsia="仿宋" w:cs="仿宋"/>
              </w:rPr>
            </w:pPr>
            <w:r>
              <w:rPr>
                <w:rFonts w:hint="eastAsia" w:ascii="仿宋" w:eastAsia="仿宋" w:cs="仿宋"/>
              </w:rPr>
              <w:t>公务接待经费</w:t>
            </w:r>
          </w:p>
        </w:tc>
        <w:tc>
          <w:tcPr>
            <w:tcW w:w="2370"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0"/>
              <w:ind w:right="1142"/>
              <w:jc w:val="right"/>
              <w:rPr>
                <w:rFonts w:ascii="仿宋" w:eastAsia="仿宋" w:cs="仿宋"/>
              </w:rPr>
            </w:pPr>
            <w:r>
              <w:rPr>
                <w:rFonts w:ascii="仿宋" w:eastAsia="仿宋" w:cs="仿宋"/>
              </w:rPr>
              <w:t>0</w:t>
            </w:r>
          </w:p>
        </w:tc>
        <w:tc>
          <w:tcPr>
            <w:tcW w:w="3100"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0"/>
              <w:ind w:left="1151"/>
              <w:rPr>
                <w:rFonts w:ascii="仿宋" w:eastAsia="仿宋" w:cs="仿宋"/>
              </w:rPr>
            </w:pPr>
            <w:r>
              <w:rPr>
                <w:rFonts w:ascii="仿宋" w:eastAsia="仿宋" w:cs="仿宋"/>
              </w:rPr>
              <w:t>0</w:t>
            </w:r>
          </w:p>
        </w:tc>
        <w:tc>
          <w:tcPr>
            <w:tcW w:w="1664"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0"/>
              <w:ind w:left="11"/>
              <w:jc w:val="center"/>
              <w:rPr>
                <w:rFonts w:ascii="仿宋" w:eastAsia="仿宋" w:cs="仿宋"/>
              </w:rPr>
            </w:pPr>
            <w:r>
              <w:rPr>
                <w:rFonts w:ascii="仿宋" w:eastAsia="仿宋" w:cs="仿宋"/>
              </w:rPr>
              <w:t>0</w:t>
            </w:r>
          </w:p>
        </w:tc>
        <w:tc>
          <w:tcPr>
            <w:tcW w:w="2946"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56"/>
              <w:ind w:left="109"/>
              <w:rPr>
                <w:rFonts w:ascii="仿宋" w:eastAsia="仿宋" w:cs="仿宋"/>
              </w:rPr>
            </w:pPr>
            <w:r>
              <w:rPr>
                <w:rFonts w:hint="eastAsia" w:ascii="仿宋" w:eastAsia="仿宋" w:cs="仿宋"/>
              </w:rPr>
              <w:t>无增减变化</w:t>
            </w:r>
          </w:p>
        </w:tc>
      </w:tr>
      <w:tr>
        <w:tblPrEx>
          <w:tblCellMar>
            <w:top w:w="0" w:type="dxa"/>
            <w:left w:w="0" w:type="dxa"/>
            <w:bottom w:w="0" w:type="dxa"/>
            <w:right w:w="0" w:type="dxa"/>
          </w:tblCellMar>
        </w:tblPrEx>
        <w:trPr>
          <w:trHeight w:val="491" w:hRule="atLeast"/>
        </w:trPr>
        <w:tc>
          <w:tcPr>
            <w:tcW w:w="2936" w:type="dxa"/>
            <w:tcBorders>
              <w:top w:val="single" w:color="000000" w:sz="4" w:space="0"/>
              <w:left w:val="single" w:color="000000" w:sz="4" w:space="0"/>
              <w:bottom w:val="single" w:color="000000" w:sz="4" w:space="0"/>
              <w:right w:val="single" w:color="000000" w:sz="4" w:space="0"/>
            </w:tcBorders>
          </w:tcPr>
          <w:p>
            <w:pPr>
              <w:pStyle w:val="36"/>
              <w:tabs>
                <w:tab w:val="left" w:pos="950"/>
              </w:tabs>
              <w:kinsoku w:val="0"/>
              <w:overflowPunct w:val="0"/>
              <w:spacing w:before="91"/>
              <w:ind w:left="110"/>
              <w:rPr>
                <w:rFonts w:ascii="仿宋" w:eastAsia="仿宋" w:cs="仿宋"/>
              </w:rPr>
            </w:pPr>
            <w:r>
              <w:rPr>
                <w:rFonts w:hint="eastAsia" w:ascii="仿宋" w:eastAsia="仿宋" w:cs="仿宋"/>
              </w:rPr>
              <w:t>合</w:t>
            </w:r>
            <w:r>
              <w:rPr>
                <w:rFonts w:ascii="仿宋" w:eastAsia="仿宋" w:cs="仿宋"/>
              </w:rPr>
              <w:tab/>
            </w:r>
            <w:r>
              <w:rPr>
                <w:rFonts w:hint="eastAsia" w:ascii="仿宋" w:eastAsia="仿宋" w:cs="仿宋"/>
              </w:rPr>
              <w:t>计</w:t>
            </w:r>
          </w:p>
        </w:tc>
        <w:tc>
          <w:tcPr>
            <w:tcW w:w="2370"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0"/>
              <w:ind w:right="1142"/>
              <w:jc w:val="right"/>
              <w:rPr>
                <w:rFonts w:ascii="仿宋" w:eastAsia="仿宋" w:cs="仿宋"/>
                <w:lang w:eastAsia="zh-CN"/>
              </w:rPr>
            </w:pPr>
            <w:r>
              <w:rPr>
                <w:rFonts w:hint="eastAsia" w:ascii="仿宋" w:eastAsia="仿宋" w:cs="仿宋"/>
                <w:lang w:eastAsia="zh-CN"/>
              </w:rPr>
              <w:t>6</w:t>
            </w:r>
          </w:p>
        </w:tc>
        <w:tc>
          <w:tcPr>
            <w:tcW w:w="3100"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0"/>
              <w:ind w:left="1151"/>
              <w:rPr>
                <w:rFonts w:ascii="仿宋" w:eastAsia="仿宋" w:cs="仿宋"/>
                <w:lang w:eastAsia="zh-CN"/>
              </w:rPr>
            </w:pPr>
            <w:r>
              <w:rPr>
                <w:rFonts w:hint="eastAsia" w:ascii="仿宋" w:eastAsia="仿宋" w:cs="仿宋"/>
                <w:lang w:eastAsia="zh-CN"/>
              </w:rPr>
              <w:t>6</w:t>
            </w:r>
          </w:p>
        </w:tc>
        <w:tc>
          <w:tcPr>
            <w:tcW w:w="1664"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0"/>
              <w:ind w:left="11"/>
              <w:jc w:val="center"/>
              <w:rPr>
                <w:rFonts w:ascii="仿宋" w:eastAsia="仿宋" w:cs="仿宋"/>
              </w:rPr>
            </w:pPr>
            <w:r>
              <w:rPr>
                <w:rFonts w:ascii="仿宋" w:eastAsia="仿宋" w:cs="仿宋"/>
              </w:rPr>
              <w:t>0</w:t>
            </w:r>
          </w:p>
        </w:tc>
        <w:tc>
          <w:tcPr>
            <w:tcW w:w="2946" w:type="dxa"/>
            <w:tcBorders>
              <w:top w:val="single" w:color="000000" w:sz="4" w:space="0"/>
              <w:left w:val="single" w:color="000000" w:sz="4" w:space="0"/>
              <w:bottom w:val="single" w:color="000000" w:sz="4" w:space="0"/>
              <w:right w:val="single" w:color="000000" w:sz="4" w:space="0"/>
            </w:tcBorders>
          </w:tcPr>
          <w:p>
            <w:pPr>
              <w:pStyle w:val="36"/>
              <w:kinsoku w:val="0"/>
              <w:overflowPunct w:val="0"/>
              <w:spacing w:before="124"/>
              <w:ind w:left="109"/>
              <w:rPr>
                <w:rFonts w:ascii="仿宋" w:eastAsia="仿宋" w:cs="仿宋"/>
              </w:rPr>
            </w:pPr>
            <w:r>
              <w:rPr>
                <w:rFonts w:hint="eastAsia" w:ascii="仿宋" w:eastAsia="仿宋" w:cs="仿宋"/>
              </w:rPr>
              <w:t>无增减变化</w:t>
            </w:r>
          </w:p>
        </w:tc>
      </w:tr>
    </w:tbl>
    <w:p>
      <w:pPr>
        <w:pStyle w:val="31"/>
      </w:pPr>
    </w:p>
    <w:p>
      <w:pPr>
        <w:spacing w:before="10" w:after="10"/>
        <w:ind w:firstLine="640"/>
        <w:outlineLvl w:val="5"/>
        <w:rPr>
          <w:rFonts w:eastAsia="黑体"/>
          <w:lang w:eastAsia="zh-CN"/>
        </w:rPr>
        <w:sectPr>
          <w:pgSz w:w="16840" w:h="11900" w:orient="landscape"/>
          <w:pgMar w:top="1361" w:right="1020" w:bottom="1134" w:left="1020" w:header="720" w:footer="720" w:gutter="0"/>
          <w:cols w:space="720" w:num="1"/>
          <w:docGrid w:linePitch="326" w:charSpace="0"/>
        </w:sectPr>
      </w:pPr>
    </w:p>
    <w:p>
      <w:pPr>
        <w:ind w:firstLine="320" w:firstLineChars="100"/>
        <w:rPr>
          <w:rFonts w:ascii="方正仿宋_GBK" w:cs="方正仿宋_GBK" w:eastAsiaTheme="minorEastAsia"/>
          <w:b/>
          <w:color w:val="000000"/>
          <w:sz w:val="28"/>
          <w:lang w:eastAsia="zh-CN"/>
        </w:rPr>
      </w:pPr>
      <w:r>
        <w:rPr>
          <w:rFonts w:ascii="黑体" w:eastAsia="黑体" w:cs="黑体"/>
          <w:color w:val="000000"/>
          <w:sz w:val="32"/>
        </w:rPr>
        <w:t>五、单位项目预算安排情况及绩效目</w:t>
      </w:r>
      <w:r>
        <w:rPr>
          <w:rFonts w:hint="eastAsia" w:ascii="黑体" w:eastAsia="黑体" w:cs="黑体"/>
          <w:color w:val="000000"/>
          <w:sz w:val="32"/>
          <w:lang w:eastAsia="zh-CN"/>
        </w:rPr>
        <w:t>标</w:t>
      </w:r>
    </w:p>
    <w:p>
      <w:pPr>
        <w:ind w:firstLine="281" w:firstLineChars="100"/>
      </w:pPr>
      <w:r>
        <w:rPr>
          <w:rFonts w:hint="eastAsia" w:ascii="方正仿宋_GBK" w:eastAsia="方正仿宋_GBK" w:cs="方正仿宋_GBK"/>
          <w:b/>
          <w:color w:val="000000"/>
          <w:sz w:val="28"/>
          <w:lang w:eastAsia="zh-CN"/>
        </w:rPr>
        <w:t>1</w:t>
      </w:r>
      <w:r>
        <w:rPr>
          <w:rFonts w:ascii="方正仿宋_GBK" w:eastAsia="方正仿宋_GBK" w:cs="方正仿宋_GBK"/>
          <w:b/>
          <w:color w:val="000000"/>
          <w:sz w:val="28"/>
        </w:rPr>
        <w:t>、综合业务费绩效目标表</w:t>
      </w:r>
    </w:p>
    <w:tbl>
      <w:tblPr>
        <w:tblStyle w:val="8"/>
        <w:tblW w:w="1501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2"/>
        <w:gridCol w:w="2225"/>
        <w:gridCol w:w="2781"/>
        <w:gridCol w:w="2781"/>
        <w:gridCol w:w="2502"/>
        <w:gridCol w:w="1902"/>
        <w:gridCol w:w="15"/>
        <w:gridCol w:w="156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018" w:type="dxa"/>
            <w:gridSpan w:val="8"/>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2" w:type="dxa"/>
            <w:vAlign w:val="center"/>
          </w:tcPr>
          <w:p>
            <w:pPr>
              <w:pStyle w:val="13"/>
            </w:pPr>
            <w:r>
              <w:t>项目编码</w:t>
            </w:r>
          </w:p>
        </w:tc>
        <w:tc>
          <w:tcPr>
            <w:tcW w:w="5006" w:type="dxa"/>
            <w:gridSpan w:val="2"/>
            <w:vAlign w:val="center"/>
          </w:tcPr>
          <w:p>
            <w:pPr>
              <w:pStyle w:val="15"/>
            </w:pPr>
            <w:r>
              <w:t>13060624P00002710151R</w:t>
            </w:r>
          </w:p>
        </w:tc>
        <w:tc>
          <w:tcPr>
            <w:tcW w:w="2781" w:type="dxa"/>
            <w:vAlign w:val="center"/>
          </w:tcPr>
          <w:p>
            <w:pPr>
              <w:pStyle w:val="13"/>
            </w:pPr>
            <w:r>
              <w:t>项目名称</w:t>
            </w:r>
          </w:p>
        </w:tc>
        <w:tc>
          <w:tcPr>
            <w:tcW w:w="5979" w:type="dxa"/>
            <w:gridSpan w:val="4"/>
            <w:vAlign w:val="center"/>
          </w:tcPr>
          <w:p>
            <w:pPr>
              <w:pStyle w:val="15"/>
            </w:pPr>
            <w:r>
              <w:t>综合业务费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2" w:type="dxa"/>
            <w:vMerge w:val="restart"/>
            <w:vAlign w:val="center"/>
          </w:tcPr>
          <w:p>
            <w:pPr>
              <w:pStyle w:val="13"/>
            </w:pPr>
            <w:r>
              <w:t>预算规模及资金用途</w:t>
            </w:r>
          </w:p>
        </w:tc>
        <w:tc>
          <w:tcPr>
            <w:tcW w:w="2225" w:type="dxa"/>
            <w:vAlign w:val="center"/>
          </w:tcPr>
          <w:p>
            <w:pPr>
              <w:pStyle w:val="13"/>
            </w:pPr>
            <w:r>
              <w:t>预算数</w:t>
            </w:r>
          </w:p>
        </w:tc>
        <w:tc>
          <w:tcPr>
            <w:tcW w:w="2781" w:type="dxa"/>
            <w:vAlign w:val="center"/>
          </w:tcPr>
          <w:p>
            <w:pPr>
              <w:pStyle w:val="15"/>
            </w:pPr>
            <w:r>
              <w:t>111.30</w:t>
            </w:r>
          </w:p>
        </w:tc>
        <w:tc>
          <w:tcPr>
            <w:tcW w:w="2781" w:type="dxa"/>
            <w:vAlign w:val="center"/>
          </w:tcPr>
          <w:p>
            <w:pPr>
              <w:pStyle w:val="13"/>
            </w:pPr>
            <w:r>
              <w:t>其中：财政    资金</w:t>
            </w:r>
          </w:p>
        </w:tc>
        <w:tc>
          <w:tcPr>
            <w:tcW w:w="2502" w:type="dxa"/>
            <w:vAlign w:val="center"/>
          </w:tcPr>
          <w:p>
            <w:pPr>
              <w:pStyle w:val="15"/>
            </w:pPr>
            <w:r>
              <w:t>111.30</w:t>
            </w:r>
          </w:p>
        </w:tc>
        <w:tc>
          <w:tcPr>
            <w:tcW w:w="1917" w:type="dxa"/>
            <w:gridSpan w:val="2"/>
            <w:vAlign w:val="center"/>
          </w:tcPr>
          <w:p>
            <w:pPr>
              <w:pStyle w:val="13"/>
            </w:pPr>
            <w:r>
              <w:t>其他资金</w:t>
            </w:r>
          </w:p>
        </w:tc>
        <w:tc>
          <w:tcPr>
            <w:tcW w:w="1560"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2" w:type="dxa"/>
            <w:vMerge w:val="continue"/>
          </w:tcPr>
          <w:p/>
        </w:tc>
        <w:tc>
          <w:tcPr>
            <w:tcW w:w="13766" w:type="dxa"/>
            <w:gridSpan w:val="7"/>
            <w:vAlign w:val="center"/>
          </w:tcPr>
          <w:p>
            <w:pPr>
              <w:pStyle w:val="15"/>
            </w:pPr>
            <w:r>
              <w:t>保障机关日常工作正常运行，确保各项专项资金得到合理利用，推进各项工作扎实开展。日常工作正常运转达到90%以上。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2" w:type="dxa"/>
            <w:vMerge w:val="restart"/>
            <w:vAlign w:val="center"/>
          </w:tcPr>
          <w:p>
            <w:pPr>
              <w:pStyle w:val="13"/>
            </w:pPr>
            <w:r>
              <w:t>资金支出计划（%）</w:t>
            </w:r>
          </w:p>
        </w:tc>
        <w:tc>
          <w:tcPr>
            <w:tcW w:w="5006" w:type="dxa"/>
            <w:gridSpan w:val="2"/>
            <w:vAlign w:val="center"/>
          </w:tcPr>
          <w:p>
            <w:pPr>
              <w:pStyle w:val="13"/>
            </w:pPr>
            <w:r>
              <w:t>3月底</w:t>
            </w:r>
          </w:p>
        </w:tc>
        <w:tc>
          <w:tcPr>
            <w:tcW w:w="2781" w:type="dxa"/>
            <w:vAlign w:val="center"/>
          </w:tcPr>
          <w:p>
            <w:pPr>
              <w:pStyle w:val="13"/>
            </w:pPr>
            <w:r>
              <w:t>6月底</w:t>
            </w:r>
          </w:p>
        </w:tc>
        <w:tc>
          <w:tcPr>
            <w:tcW w:w="2502" w:type="dxa"/>
            <w:vAlign w:val="center"/>
          </w:tcPr>
          <w:p>
            <w:pPr>
              <w:pStyle w:val="13"/>
            </w:pPr>
            <w:r>
              <w:t>10月底</w:t>
            </w:r>
          </w:p>
        </w:tc>
        <w:tc>
          <w:tcPr>
            <w:tcW w:w="3477" w:type="dxa"/>
            <w:gridSpan w:val="3"/>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2" w:type="dxa"/>
            <w:vMerge w:val="continue"/>
          </w:tcPr>
          <w:p/>
        </w:tc>
        <w:tc>
          <w:tcPr>
            <w:tcW w:w="5006" w:type="dxa"/>
            <w:gridSpan w:val="2"/>
            <w:vAlign w:val="center"/>
          </w:tcPr>
          <w:p>
            <w:pPr>
              <w:pStyle w:val="16"/>
            </w:pPr>
            <w:r>
              <w:t>27.83</w:t>
            </w:r>
          </w:p>
        </w:tc>
        <w:tc>
          <w:tcPr>
            <w:tcW w:w="2781" w:type="dxa"/>
            <w:vAlign w:val="center"/>
          </w:tcPr>
          <w:p>
            <w:pPr>
              <w:pStyle w:val="16"/>
            </w:pPr>
            <w:r>
              <w:t>55.65</w:t>
            </w:r>
          </w:p>
        </w:tc>
        <w:tc>
          <w:tcPr>
            <w:tcW w:w="2502" w:type="dxa"/>
            <w:vAlign w:val="center"/>
          </w:tcPr>
          <w:p>
            <w:pPr>
              <w:pStyle w:val="16"/>
            </w:pPr>
            <w:r>
              <w:t>83.48</w:t>
            </w:r>
          </w:p>
        </w:tc>
        <w:tc>
          <w:tcPr>
            <w:tcW w:w="3477" w:type="dxa"/>
            <w:gridSpan w:val="3"/>
            <w:vAlign w:val="center"/>
          </w:tcPr>
          <w:p>
            <w:pPr>
              <w:pStyle w:val="16"/>
            </w:pPr>
            <w:r>
              <w:t>111.30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2" w:type="dxa"/>
            <w:vAlign w:val="center"/>
          </w:tcPr>
          <w:p>
            <w:pPr>
              <w:pStyle w:val="13"/>
            </w:pPr>
            <w:r>
              <w:t>绩效目标</w:t>
            </w:r>
          </w:p>
        </w:tc>
        <w:tc>
          <w:tcPr>
            <w:tcW w:w="13766" w:type="dxa"/>
            <w:gridSpan w:val="7"/>
            <w:vAlign w:val="center"/>
          </w:tcPr>
          <w:p>
            <w:pPr>
              <w:pStyle w:val="15"/>
            </w:pPr>
            <w:r>
              <w:t>1.保障机关日常工作正常运行，确保各项专项资金得到合理利用，推进各项工作扎实开展。日常工作正常运转达到90%以上。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52" w:type="dxa"/>
            <w:vAlign w:val="center"/>
          </w:tcPr>
          <w:p>
            <w:pPr>
              <w:pStyle w:val="13"/>
            </w:pPr>
            <w:r>
              <w:t>一级指标</w:t>
            </w:r>
          </w:p>
        </w:tc>
        <w:tc>
          <w:tcPr>
            <w:tcW w:w="2225" w:type="dxa"/>
            <w:vAlign w:val="center"/>
          </w:tcPr>
          <w:p>
            <w:pPr>
              <w:pStyle w:val="13"/>
            </w:pPr>
            <w:r>
              <w:t>二级指标</w:t>
            </w:r>
          </w:p>
        </w:tc>
        <w:tc>
          <w:tcPr>
            <w:tcW w:w="2781" w:type="dxa"/>
            <w:vAlign w:val="center"/>
          </w:tcPr>
          <w:p>
            <w:pPr>
              <w:pStyle w:val="13"/>
            </w:pPr>
            <w:r>
              <w:t>三级指标</w:t>
            </w:r>
          </w:p>
        </w:tc>
        <w:tc>
          <w:tcPr>
            <w:tcW w:w="5283" w:type="dxa"/>
            <w:gridSpan w:val="2"/>
            <w:vAlign w:val="center"/>
          </w:tcPr>
          <w:p>
            <w:pPr>
              <w:pStyle w:val="13"/>
            </w:pPr>
            <w:r>
              <w:t>绩效指标描述</w:t>
            </w:r>
          </w:p>
        </w:tc>
        <w:tc>
          <w:tcPr>
            <w:tcW w:w="1902" w:type="dxa"/>
            <w:vAlign w:val="center"/>
          </w:tcPr>
          <w:p>
            <w:pPr>
              <w:pStyle w:val="13"/>
            </w:pPr>
            <w:r>
              <w:t>指标值</w:t>
            </w:r>
          </w:p>
        </w:tc>
        <w:tc>
          <w:tcPr>
            <w:tcW w:w="1575" w:type="dxa"/>
            <w:gridSpan w:val="2"/>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2" w:type="dxa"/>
            <w:vMerge w:val="restart"/>
            <w:vAlign w:val="center"/>
          </w:tcPr>
          <w:p>
            <w:pPr>
              <w:pStyle w:val="16"/>
            </w:pPr>
            <w:r>
              <w:t>产出指标</w:t>
            </w:r>
          </w:p>
        </w:tc>
        <w:tc>
          <w:tcPr>
            <w:tcW w:w="2225" w:type="dxa"/>
            <w:vAlign w:val="center"/>
          </w:tcPr>
          <w:p>
            <w:pPr>
              <w:pStyle w:val="15"/>
            </w:pPr>
            <w:r>
              <w:t>数量指标</w:t>
            </w:r>
          </w:p>
        </w:tc>
        <w:tc>
          <w:tcPr>
            <w:tcW w:w="2781" w:type="dxa"/>
            <w:vAlign w:val="center"/>
          </w:tcPr>
          <w:p>
            <w:pPr>
              <w:pStyle w:val="15"/>
            </w:pPr>
            <w:r>
              <w:t>工作日保障单位运转</w:t>
            </w:r>
          </w:p>
        </w:tc>
        <w:tc>
          <w:tcPr>
            <w:tcW w:w="5283" w:type="dxa"/>
            <w:gridSpan w:val="2"/>
            <w:vAlign w:val="center"/>
          </w:tcPr>
          <w:p>
            <w:pPr>
              <w:pStyle w:val="15"/>
            </w:pPr>
            <w:r>
              <w:t>工作日保障单位运转时间</w:t>
            </w:r>
          </w:p>
        </w:tc>
        <w:tc>
          <w:tcPr>
            <w:tcW w:w="1902" w:type="dxa"/>
            <w:vAlign w:val="center"/>
          </w:tcPr>
          <w:p>
            <w:pPr>
              <w:pStyle w:val="15"/>
            </w:pPr>
            <w:r>
              <w:t>≥8小时</w:t>
            </w:r>
          </w:p>
        </w:tc>
        <w:tc>
          <w:tcPr>
            <w:tcW w:w="1575" w:type="dxa"/>
            <w:gridSpan w:val="2"/>
            <w:vAlign w:val="center"/>
          </w:tcPr>
          <w:p>
            <w:pPr>
              <w:pStyle w:val="15"/>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2" w:type="dxa"/>
            <w:vMerge w:val="continue"/>
            <w:vAlign w:val="center"/>
          </w:tcPr>
          <w:p/>
        </w:tc>
        <w:tc>
          <w:tcPr>
            <w:tcW w:w="2225" w:type="dxa"/>
            <w:vAlign w:val="center"/>
          </w:tcPr>
          <w:p>
            <w:pPr>
              <w:pStyle w:val="15"/>
            </w:pPr>
            <w:r>
              <w:t>质量指标</w:t>
            </w:r>
          </w:p>
        </w:tc>
        <w:tc>
          <w:tcPr>
            <w:tcW w:w="2781" w:type="dxa"/>
            <w:vAlign w:val="center"/>
          </w:tcPr>
          <w:p>
            <w:pPr>
              <w:pStyle w:val="15"/>
            </w:pPr>
            <w:r>
              <w:t>经费支出准确率</w:t>
            </w:r>
          </w:p>
        </w:tc>
        <w:tc>
          <w:tcPr>
            <w:tcW w:w="5283" w:type="dxa"/>
            <w:gridSpan w:val="2"/>
            <w:vAlign w:val="center"/>
          </w:tcPr>
          <w:p>
            <w:pPr>
              <w:pStyle w:val="15"/>
            </w:pPr>
            <w:r>
              <w:t>经费支出准确完成情况</w:t>
            </w:r>
          </w:p>
        </w:tc>
        <w:tc>
          <w:tcPr>
            <w:tcW w:w="1902" w:type="dxa"/>
            <w:vAlign w:val="center"/>
          </w:tcPr>
          <w:p>
            <w:pPr>
              <w:pStyle w:val="15"/>
            </w:pPr>
            <w:r>
              <w:t>≥95百分比</w:t>
            </w:r>
          </w:p>
        </w:tc>
        <w:tc>
          <w:tcPr>
            <w:tcW w:w="1575" w:type="dxa"/>
            <w:gridSpan w:val="2"/>
            <w:vAlign w:val="center"/>
          </w:tcPr>
          <w:p>
            <w:pPr>
              <w:pStyle w:val="15"/>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2" w:type="dxa"/>
            <w:vMerge w:val="continue"/>
            <w:vAlign w:val="center"/>
          </w:tcPr>
          <w:p/>
        </w:tc>
        <w:tc>
          <w:tcPr>
            <w:tcW w:w="2225" w:type="dxa"/>
            <w:vAlign w:val="center"/>
          </w:tcPr>
          <w:p>
            <w:pPr>
              <w:pStyle w:val="15"/>
            </w:pPr>
            <w:r>
              <w:t>时效指标</w:t>
            </w:r>
          </w:p>
        </w:tc>
        <w:tc>
          <w:tcPr>
            <w:tcW w:w="2781" w:type="dxa"/>
            <w:vAlign w:val="center"/>
          </w:tcPr>
          <w:p>
            <w:pPr>
              <w:pStyle w:val="15"/>
            </w:pPr>
            <w:r>
              <w:t>资金拨付及时率</w:t>
            </w:r>
          </w:p>
        </w:tc>
        <w:tc>
          <w:tcPr>
            <w:tcW w:w="5283" w:type="dxa"/>
            <w:gridSpan w:val="2"/>
            <w:vAlign w:val="center"/>
          </w:tcPr>
          <w:p>
            <w:pPr>
              <w:pStyle w:val="15"/>
            </w:pPr>
            <w:r>
              <w:t>完成工作资金拨付及时情况</w:t>
            </w:r>
          </w:p>
        </w:tc>
        <w:tc>
          <w:tcPr>
            <w:tcW w:w="1902" w:type="dxa"/>
            <w:vAlign w:val="center"/>
          </w:tcPr>
          <w:p>
            <w:pPr>
              <w:pStyle w:val="15"/>
            </w:pPr>
            <w:r>
              <w:t>≥95百分比</w:t>
            </w:r>
          </w:p>
        </w:tc>
        <w:tc>
          <w:tcPr>
            <w:tcW w:w="1575" w:type="dxa"/>
            <w:gridSpan w:val="2"/>
            <w:vAlign w:val="center"/>
          </w:tcPr>
          <w:p>
            <w:pPr>
              <w:pStyle w:val="15"/>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2" w:type="dxa"/>
            <w:vMerge w:val="continue"/>
            <w:vAlign w:val="center"/>
          </w:tcPr>
          <w:p/>
        </w:tc>
        <w:tc>
          <w:tcPr>
            <w:tcW w:w="2225" w:type="dxa"/>
            <w:vAlign w:val="center"/>
          </w:tcPr>
          <w:p>
            <w:pPr>
              <w:pStyle w:val="15"/>
            </w:pPr>
            <w:r>
              <w:t>成本指标</w:t>
            </w:r>
          </w:p>
        </w:tc>
        <w:tc>
          <w:tcPr>
            <w:tcW w:w="2781" w:type="dxa"/>
            <w:vAlign w:val="center"/>
          </w:tcPr>
          <w:p>
            <w:pPr>
              <w:pStyle w:val="15"/>
            </w:pPr>
            <w:r>
              <w:t>预算成本支出数</w:t>
            </w:r>
          </w:p>
        </w:tc>
        <w:tc>
          <w:tcPr>
            <w:tcW w:w="5283" w:type="dxa"/>
            <w:gridSpan w:val="2"/>
            <w:vAlign w:val="center"/>
          </w:tcPr>
          <w:p>
            <w:pPr>
              <w:pStyle w:val="15"/>
            </w:pPr>
            <w:r>
              <w:t>项目预算执行情况</w:t>
            </w:r>
          </w:p>
        </w:tc>
        <w:tc>
          <w:tcPr>
            <w:tcW w:w="1902" w:type="dxa"/>
            <w:vAlign w:val="center"/>
          </w:tcPr>
          <w:p>
            <w:pPr>
              <w:pStyle w:val="15"/>
            </w:pPr>
            <w:r>
              <w:t>≤111.3万元</w:t>
            </w:r>
          </w:p>
        </w:tc>
        <w:tc>
          <w:tcPr>
            <w:tcW w:w="1575" w:type="dxa"/>
            <w:gridSpan w:val="2"/>
            <w:vAlign w:val="center"/>
          </w:tcPr>
          <w:p>
            <w:pPr>
              <w:pStyle w:val="15"/>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2" w:type="dxa"/>
            <w:vMerge w:val="restart"/>
            <w:vAlign w:val="center"/>
          </w:tcPr>
          <w:p>
            <w:pPr>
              <w:pStyle w:val="16"/>
            </w:pPr>
            <w:r>
              <w:t>效益指标</w:t>
            </w:r>
          </w:p>
        </w:tc>
        <w:tc>
          <w:tcPr>
            <w:tcW w:w="2225" w:type="dxa"/>
            <w:vAlign w:val="center"/>
          </w:tcPr>
          <w:p>
            <w:pPr>
              <w:pStyle w:val="15"/>
            </w:pPr>
            <w:r>
              <w:t>经济效益指标</w:t>
            </w:r>
          </w:p>
        </w:tc>
        <w:tc>
          <w:tcPr>
            <w:tcW w:w="2781" w:type="dxa"/>
            <w:vAlign w:val="center"/>
          </w:tcPr>
          <w:p>
            <w:pPr>
              <w:pStyle w:val="15"/>
            </w:pPr>
            <w:r>
              <w:t>发挥财政资金使用效益</w:t>
            </w:r>
          </w:p>
        </w:tc>
        <w:tc>
          <w:tcPr>
            <w:tcW w:w="5283" w:type="dxa"/>
            <w:gridSpan w:val="2"/>
            <w:vAlign w:val="center"/>
          </w:tcPr>
          <w:p>
            <w:pPr>
              <w:pStyle w:val="15"/>
            </w:pPr>
            <w:r>
              <w:t>财政资金使用情况</w:t>
            </w:r>
          </w:p>
        </w:tc>
        <w:tc>
          <w:tcPr>
            <w:tcW w:w="1902" w:type="dxa"/>
            <w:vAlign w:val="center"/>
          </w:tcPr>
          <w:p>
            <w:pPr>
              <w:pStyle w:val="15"/>
            </w:pPr>
            <w:r>
              <w:t>≥95百分比</w:t>
            </w:r>
          </w:p>
        </w:tc>
        <w:tc>
          <w:tcPr>
            <w:tcW w:w="1575" w:type="dxa"/>
            <w:gridSpan w:val="2"/>
            <w:vAlign w:val="center"/>
          </w:tcPr>
          <w:p>
            <w:pPr>
              <w:pStyle w:val="15"/>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2" w:type="dxa"/>
            <w:vMerge w:val="continue"/>
            <w:vAlign w:val="center"/>
          </w:tcPr>
          <w:p/>
        </w:tc>
        <w:tc>
          <w:tcPr>
            <w:tcW w:w="2225" w:type="dxa"/>
            <w:vAlign w:val="center"/>
          </w:tcPr>
          <w:p>
            <w:pPr>
              <w:pStyle w:val="15"/>
            </w:pPr>
            <w:r>
              <w:t>社会效益指标</w:t>
            </w:r>
          </w:p>
        </w:tc>
        <w:tc>
          <w:tcPr>
            <w:tcW w:w="2781" w:type="dxa"/>
            <w:vAlign w:val="center"/>
          </w:tcPr>
          <w:p>
            <w:pPr>
              <w:pStyle w:val="15"/>
            </w:pPr>
            <w:r>
              <w:t>社会稳定排查率</w:t>
            </w:r>
          </w:p>
        </w:tc>
        <w:tc>
          <w:tcPr>
            <w:tcW w:w="5283" w:type="dxa"/>
            <w:gridSpan w:val="2"/>
            <w:vAlign w:val="center"/>
          </w:tcPr>
          <w:p>
            <w:pPr>
              <w:pStyle w:val="15"/>
            </w:pPr>
            <w:r>
              <w:t>维护社会稳定情况</w:t>
            </w:r>
          </w:p>
        </w:tc>
        <w:tc>
          <w:tcPr>
            <w:tcW w:w="1902" w:type="dxa"/>
            <w:vAlign w:val="center"/>
          </w:tcPr>
          <w:p>
            <w:pPr>
              <w:pStyle w:val="15"/>
            </w:pPr>
            <w:r>
              <w:t>≥90百分比</w:t>
            </w:r>
          </w:p>
        </w:tc>
        <w:tc>
          <w:tcPr>
            <w:tcW w:w="1575" w:type="dxa"/>
            <w:gridSpan w:val="2"/>
            <w:vAlign w:val="center"/>
          </w:tcPr>
          <w:p>
            <w:pPr>
              <w:pStyle w:val="15"/>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2" w:type="dxa"/>
            <w:vMerge w:val="continue"/>
            <w:vAlign w:val="center"/>
          </w:tcPr>
          <w:p/>
        </w:tc>
        <w:tc>
          <w:tcPr>
            <w:tcW w:w="2225" w:type="dxa"/>
            <w:vAlign w:val="center"/>
          </w:tcPr>
          <w:p>
            <w:pPr>
              <w:pStyle w:val="15"/>
            </w:pPr>
            <w:r>
              <w:t>可持续影响指标</w:t>
            </w:r>
          </w:p>
        </w:tc>
        <w:tc>
          <w:tcPr>
            <w:tcW w:w="2781" w:type="dxa"/>
            <w:vAlign w:val="center"/>
          </w:tcPr>
          <w:p>
            <w:pPr>
              <w:pStyle w:val="15"/>
            </w:pPr>
            <w:r>
              <w:t>持续做好救助工作，帮助可救助人群</w:t>
            </w:r>
          </w:p>
        </w:tc>
        <w:tc>
          <w:tcPr>
            <w:tcW w:w="5283" w:type="dxa"/>
            <w:gridSpan w:val="2"/>
            <w:vAlign w:val="center"/>
          </w:tcPr>
          <w:p>
            <w:pPr>
              <w:pStyle w:val="15"/>
            </w:pPr>
            <w:r>
              <w:t>救助工作开展情况</w:t>
            </w:r>
          </w:p>
        </w:tc>
        <w:tc>
          <w:tcPr>
            <w:tcW w:w="1902" w:type="dxa"/>
            <w:vAlign w:val="center"/>
          </w:tcPr>
          <w:p>
            <w:pPr>
              <w:pStyle w:val="15"/>
            </w:pPr>
            <w:r>
              <w:t>持续帮助可救助人群，提高社会幸福指数。</w:t>
            </w:r>
          </w:p>
        </w:tc>
        <w:tc>
          <w:tcPr>
            <w:tcW w:w="1575" w:type="dxa"/>
            <w:gridSpan w:val="2"/>
            <w:vAlign w:val="center"/>
          </w:tcPr>
          <w:p>
            <w:pPr>
              <w:pStyle w:val="15"/>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2" w:type="dxa"/>
            <w:vMerge w:val="continue"/>
            <w:vAlign w:val="center"/>
          </w:tcPr>
          <w:p/>
        </w:tc>
        <w:tc>
          <w:tcPr>
            <w:tcW w:w="2225" w:type="dxa"/>
            <w:vAlign w:val="center"/>
          </w:tcPr>
          <w:p>
            <w:pPr>
              <w:pStyle w:val="15"/>
            </w:pPr>
            <w:r>
              <w:t>生态效益指标</w:t>
            </w:r>
          </w:p>
        </w:tc>
        <w:tc>
          <w:tcPr>
            <w:tcW w:w="2781" w:type="dxa"/>
            <w:vAlign w:val="center"/>
          </w:tcPr>
          <w:p>
            <w:pPr>
              <w:pStyle w:val="15"/>
            </w:pPr>
            <w:r>
              <w:t>该项目不涉及</w:t>
            </w:r>
          </w:p>
        </w:tc>
        <w:tc>
          <w:tcPr>
            <w:tcW w:w="5283" w:type="dxa"/>
            <w:gridSpan w:val="2"/>
            <w:vAlign w:val="center"/>
          </w:tcPr>
          <w:p>
            <w:pPr>
              <w:pStyle w:val="15"/>
            </w:pPr>
            <w:r>
              <w:t>该项目不涉及</w:t>
            </w:r>
          </w:p>
        </w:tc>
        <w:tc>
          <w:tcPr>
            <w:tcW w:w="1902" w:type="dxa"/>
            <w:vAlign w:val="center"/>
          </w:tcPr>
          <w:p>
            <w:pPr>
              <w:pStyle w:val="15"/>
            </w:pPr>
            <w:r>
              <w:t>该项目不涉及</w:t>
            </w:r>
          </w:p>
        </w:tc>
        <w:tc>
          <w:tcPr>
            <w:tcW w:w="1575" w:type="dxa"/>
            <w:gridSpan w:val="2"/>
            <w:vAlign w:val="center"/>
          </w:tcPr>
          <w:p>
            <w:pPr>
              <w:pStyle w:val="15"/>
            </w:pPr>
            <w:r>
              <w:t>该项目不涉及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2" w:type="dxa"/>
            <w:vAlign w:val="center"/>
          </w:tcPr>
          <w:p>
            <w:pPr>
              <w:pStyle w:val="16"/>
            </w:pPr>
            <w:r>
              <w:t>满意度指标</w:t>
            </w:r>
          </w:p>
        </w:tc>
        <w:tc>
          <w:tcPr>
            <w:tcW w:w="2225" w:type="dxa"/>
            <w:vAlign w:val="center"/>
          </w:tcPr>
          <w:p>
            <w:pPr>
              <w:pStyle w:val="15"/>
            </w:pPr>
            <w:r>
              <w:t>服务对象满意度指标</w:t>
            </w:r>
          </w:p>
        </w:tc>
        <w:tc>
          <w:tcPr>
            <w:tcW w:w="2781" w:type="dxa"/>
            <w:vAlign w:val="center"/>
          </w:tcPr>
          <w:p>
            <w:pPr>
              <w:pStyle w:val="15"/>
            </w:pPr>
            <w:r>
              <w:t>群众满意率</w:t>
            </w:r>
          </w:p>
        </w:tc>
        <w:tc>
          <w:tcPr>
            <w:tcW w:w="5283" w:type="dxa"/>
            <w:gridSpan w:val="2"/>
            <w:vAlign w:val="center"/>
          </w:tcPr>
          <w:p>
            <w:pPr>
              <w:pStyle w:val="15"/>
            </w:pPr>
            <w:r>
              <w:t>收集年度满意度调查结果</w:t>
            </w:r>
          </w:p>
        </w:tc>
        <w:tc>
          <w:tcPr>
            <w:tcW w:w="1902" w:type="dxa"/>
            <w:vAlign w:val="center"/>
          </w:tcPr>
          <w:p>
            <w:pPr>
              <w:pStyle w:val="15"/>
            </w:pPr>
            <w:r>
              <w:t>≥95百分比</w:t>
            </w:r>
          </w:p>
        </w:tc>
        <w:tc>
          <w:tcPr>
            <w:tcW w:w="1575" w:type="dxa"/>
            <w:gridSpan w:val="2"/>
            <w:vAlign w:val="center"/>
          </w:tcPr>
          <w:p>
            <w:pPr>
              <w:pStyle w:val="15"/>
            </w:pPr>
            <w:r>
              <w:t>相关满意度问卷调查</w:t>
            </w:r>
          </w:p>
        </w:tc>
      </w:tr>
    </w:tbl>
    <w:p>
      <w:pPr>
        <w:spacing w:line="2" w:lineRule="exact"/>
        <w:jc w:val="center"/>
      </w:pPr>
    </w:p>
    <w:p>
      <w:pPr>
        <w:sectPr>
          <w:pgSz w:w="16840" w:h="11900" w:orient="landscape"/>
          <w:pgMar w:top="1361" w:right="1020" w:bottom="1134" w:left="1020" w:header="720" w:footer="720" w:gutter="0"/>
          <w:cols w:space="720" w:num="1"/>
          <w:docGrid w:linePitch="326" w:charSpace="0"/>
        </w:sectPr>
      </w:pPr>
    </w:p>
    <w:p>
      <w:pPr>
        <w:ind w:firstLine="560"/>
      </w:pPr>
      <w:r>
        <w:rPr>
          <w:rFonts w:hint="eastAsia" w:ascii="方正仿宋_GBK" w:eastAsia="方正仿宋_GBK" w:cs="方正仿宋_GBK"/>
          <w:b/>
          <w:color w:val="000000"/>
          <w:sz w:val="28"/>
          <w:lang w:eastAsia="zh-CN"/>
        </w:rPr>
        <w:t>2</w:t>
      </w:r>
      <w:r>
        <w:rPr>
          <w:rFonts w:ascii="方正仿宋_GBK" w:eastAsia="方正仿宋_GBK" w:cs="方正仿宋_GBK"/>
          <w:b/>
          <w:color w:val="000000"/>
          <w:sz w:val="28"/>
        </w:rPr>
        <w:t>、综治经费绩效目标表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13060624P000027101506</w:t>
            </w:r>
          </w:p>
        </w:tc>
        <w:tc>
          <w:tcPr>
            <w:tcW w:w="2835" w:type="dxa"/>
            <w:vAlign w:val="center"/>
          </w:tcPr>
          <w:p>
            <w:pPr>
              <w:pStyle w:val="13"/>
            </w:pPr>
            <w:r>
              <w:t>项目名称</w:t>
            </w:r>
          </w:p>
        </w:tc>
        <w:tc>
          <w:tcPr>
            <w:tcW w:w="6094" w:type="dxa"/>
            <w:gridSpan w:val="3"/>
            <w:vAlign w:val="center"/>
          </w:tcPr>
          <w:p>
            <w:pPr>
              <w:pStyle w:val="15"/>
            </w:pPr>
            <w:r>
              <w:t>综治经费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42.00</w:t>
            </w:r>
          </w:p>
        </w:tc>
        <w:tc>
          <w:tcPr>
            <w:tcW w:w="2835" w:type="dxa"/>
            <w:vAlign w:val="center"/>
          </w:tcPr>
          <w:p>
            <w:pPr>
              <w:pStyle w:val="13"/>
            </w:pPr>
            <w:r>
              <w:t>其中：财政    资金</w:t>
            </w:r>
          </w:p>
        </w:tc>
        <w:tc>
          <w:tcPr>
            <w:tcW w:w="2551" w:type="dxa"/>
            <w:vAlign w:val="center"/>
          </w:tcPr>
          <w:p>
            <w:pPr>
              <w:pStyle w:val="15"/>
            </w:pPr>
            <w:r>
              <w:t>42.00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社会治安突出问题得以解决，社会矛盾纠纷得以排查和调处，社会治安形势得以好转。全区稳定达到90%以上。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10.50</w:t>
            </w:r>
          </w:p>
        </w:tc>
        <w:tc>
          <w:tcPr>
            <w:tcW w:w="2835" w:type="dxa"/>
            <w:vAlign w:val="center"/>
          </w:tcPr>
          <w:p>
            <w:pPr>
              <w:pStyle w:val="16"/>
            </w:pPr>
            <w:r>
              <w:t>21.00</w:t>
            </w:r>
          </w:p>
        </w:tc>
        <w:tc>
          <w:tcPr>
            <w:tcW w:w="2551" w:type="dxa"/>
            <w:vAlign w:val="center"/>
          </w:tcPr>
          <w:p>
            <w:pPr>
              <w:pStyle w:val="16"/>
            </w:pPr>
            <w:r>
              <w:t>31.50</w:t>
            </w:r>
          </w:p>
        </w:tc>
        <w:tc>
          <w:tcPr>
            <w:tcW w:w="3543" w:type="dxa"/>
            <w:gridSpan w:val="2"/>
            <w:vAlign w:val="center"/>
          </w:tcPr>
          <w:p>
            <w:pPr>
              <w:pStyle w:val="16"/>
            </w:pPr>
            <w:r>
              <w:t>42.00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1.社会治安突出问题得以解决，社会矛盾纠纷得以排查和调处，社会治安形势得以好转。全区稳定达到90%以上。</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工作日保障单位运转</w:t>
            </w:r>
          </w:p>
        </w:tc>
        <w:tc>
          <w:tcPr>
            <w:tcW w:w="5386" w:type="dxa"/>
            <w:vAlign w:val="center"/>
          </w:tcPr>
          <w:p>
            <w:pPr>
              <w:pStyle w:val="15"/>
            </w:pPr>
            <w:r>
              <w:t>工作日保障单位运转时间</w:t>
            </w:r>
          </w:p>
        </w:tc>
        <w:tc>
          <w:tcPr>
            <w:tcW w:w="2268" w:type="dxa"/>
            <w:vAlign w:val="center"/>
          </w:tcPr>
          <w:p>
            <w:pPr>
              <w:pStyle w:val="15"/>
            </w:pPr>
            <w:r>
              <w:t>≥8小时</w:t>
            </w:r>
          </w:p>
        </w:tc>
        <w:tc>
          <w:tcPr>
            <w:tcW w:w="1276" w:type="dxa"/>
            <w:vAlign w:val="center"/>
          </w:tcPr>
          <w:p>
            <w:pPr>
              <w:pStyle w:val="15"/>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经费支出准确率</w:t>
            </w:r>
          </w:p>
        </w:tc>
        <w:tc>
          <w:tcPr>
            <w:tcW w:w="5386" w:type="dxa"/>
            <w:vAlign w:val="center"/>
          </w:tcPr>
          <w:p>
            <w:pPr>
              <w:pStyle w:val="15"/>
            </w:pPr>
            <w:r>
              <w:t>经费支出准确完成情况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资金拨付及时率</w:t>
            </w:r>
          </w:p>
        </w:tc>
        <w:tc>
          <w:tcPr>
            <w:tcW w:w="5386" w:type="dxa"/>
            <w:vAlign w:val="center"/>
          </w:tcPr>
          <w:p>
            <w:pPr>
              <w:pStyle w:val="15"/>
            </w:pPr>
            <w:r>
              <w:t>完成工作资金拨付及时情况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预算成本支出数</w:t>
            </w:r>
          </w:p>
        </w:tc>
        <w:tc>
          <w:tcPr>
            <w:tcW w:w="5386" w:type="dxa"/>
            <w:vAlign w:val="center"/>
          </w:tcPr>
          <w:p>
            <w:pPr>
              <w:pStyle w:val="15"/>
            </w:pPr>
            <w:r>
              <w:t>项目预算执行情况</w:t>
            </w:r>
          </w:p>
        </w:tc>
        <w:tc>
          <w:tcPr>
            <w:tcW w:w="2268" w:type="dxa"/>
            <w:vAlign w:val="center"/>
          </w:tcPr>
          <w:p>
            <w:pPr>
              <w:pStyle w:val="15"/>
            </w:pPr>
            <w:r>
              <w:t>≤42万元</w:t>
            </w:r>
          </w:p>
        </w:tc>
        <w:tc>
          <w:tcPr>
            <w:tcW w:w="1276" w:type="dxa"/>
            <w:vAlign w:val="center"/>
          </w:tcPr>
          <w:p>
            <w:pPr>
              <w:pStyle w:val="15"/>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发挥财政资金使用效益</w:t>
            </w:r>
          </w:p>
        </w:tc>
        <w:tc>
          <w:tcPr>
            <w:tcW w:w="5386" w:type="dxa"/>
            <w:vAlign w:val="center"/>
          </w:tcPr>
          <w:p>
            <w:pPr>
              <w:pStyle w:val="15"/>
            </w:pPr>
            <w:r>
              <w:t>财政资金使用情况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社会稳定排查率</w:t>
            </w:r>
          </w:p>
        </w:tc>
        <w:tc>
          <w:tcPr>
            <w:tcW w:w="5386" w:type="dxa"/>
            <w:vAlign w:val="center"/>
          </w:tcPr>
          <w:p>
            <w:pPr>
              <w:pStyle w:val="15"/>
            </w:pPr>
            <w:r>
              <w:t>维护社会稳定情况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“雪亮工程”服务建设逐步达到社会全覆盖</w:t>
            </w:r>
          </w:p>
        </w:tc>
        <w:tc>
          <w:tcPr>
            <w:tcW w:w="5386" w:type="dxa"/>
            <w:vAlign w:val="center"/>
          </w:tcPr>
          <w:p>
            <w:pPr>
              <w:pStyle w:val="15"/>
            </w:pPr>
            <w:r>
              <w:t>“雪亮工程”服务持续建设情况</w:t>
            </w:r>
          </w:p>
        </w:tc>
        <w:tc>
          <w:tcPr>
            <w:tcW w:w="2268" w:type="dxa"/>
            <w:vAlign w:val="center"/>
          </w:tcPr>
          <w:p>
            <w:pPr>
              <w:pStyle w:val="15"/>
            </w:pPr>
            <w:r>
              <w:t>通过“雪亮工程”服务持续建设，提高社会幸福指数。</w:t>
            </w:r>
          </w:p>
        </w:tc>
        <w:tc>
          <w:tcPr>
            <w:tcW w:w="1276" w:type="dxa"/>
            <w:vAlign w:val="center"/>
          </w:tcPr>
          <w:p>
            <w:pPr>
              <w:pStyle w:val="15"/>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该项目不涉及</w:t>
            </w:r>
          </w:p>
        </w:tc>
        <w:tc>
          <w:tcPr>
            <w:tcW w:w="5386" w:type="dxa"/>
            <w:vAlign w:val="center"/>
          </w:tcPr>
          <w:p>
            <w:pPr>
              <w:pStyle w:val="15"/>
            </w:pPr>
            <w:r>
              <w:t>该项目不涉及</w:t>
            </w:r>
          </w:p>
        </w:tc>
        <w:tc>
          <w:tcPr>
            <w:tcW w:w="2268" w:type="dxa"/>
            <w:vAlign w:val="center"/>
          </w:tcPr>
          <w:p>
            <w:pPr>
              <w:pStyle w:val="15"/>
            </w:pPr>
            <w:r>
              <w:t>该项目不涉及</w:t>
            </w:r>
          </w:p>
        </w:tc>
        <w:tc>
          <w:tcPr>
            <w:tcW w:w="1276" w:type="dxa"/>
            <w:vAlign w:val="center"/>
          </w:tcPr>
          <w:p>
            <w:pPr>
              <w:pStyle w:val="15"/>
            </w:pPr>
            <w:r>
              <w:t>该项目不涉及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群众满意率</w:t>
            </w:r>
          </w:p>
        </w:tc>
        <w:tc>
          <w:tcPr>
            <w:tcW w:w="5386" w:type="dxa"/>
            <w:vAlign w:val="center"/>
          </w:tcPr>
          <w:p>
            <w:pPr>
              <w:pStyle w:val="15"/>
            </w:pPr>
            <w:r>
              <w:t>收集年度满意度调查结果</w:t>
            </w:r>
          </w:p>
        </w:tc>
        <w:tc>
          <w:tcPr>
            <w:tcW w:w="2268" w:type="dxa"/>
            <w:vAlign w:val="center"/>
          </w:tcPr>
          <w:p>
            <w:pPr>
              <w:pStyle w:val="15"/>
            </w:pPr>
            <w:r>
              <w:t>≥95百分比</w:t>
            </w:r>
          </w:p>
        </w:tc>
        <w:tc>
          <w:tcPr>
            <w:tcW w:w="1276" w:type="dxa"/>
            <w:vAlign w:val="center"/>
          </w:tcPr>
          <w:p>
            <w:pPr>
              <w:pStyle w:val="15"/>
            </w:pPr>
            <w:r>
              <w:t>相关满意度问卷调查</w:t>
            </w:r>
          </w:p>
        </w:tc>
      </w:tr>
    </w:tbl>
    <w:p>
      <w:pPr>
        <w:sectPr>
          <w:pgSz w:w="16840" w:h="11900" w:orient="landscape"/>
          <w:pgMar w:top="1361" w:right="1020" w:bottom="1134" w:left="1020" w:header="720" w:footer="720" w:gutter="0"/>
          <w:cols w:space="720" w:num="1"/>
          <w:docGrid w:linePitch="326" w:charSpace="0"/>
        </w:sectPr>
      </w:pPr>
    </w:p>
    <w:p>
      <w:pPr>
        <w:spacing w:before="10" w:after="10"/>
        <w:ind w:firstLine="640"/>
        <w:outlineLvl w:val="5"/>
      </w:pPr>
      <w:r>
        <w:rPr>
          <w:rFonts w:ascii="黑体" w:eastAsia="黑体" w:cs="黑体"/>
          <w:color w:val="000000"/>
          <w:sz w:val="32"/>
        </w:rPr>
        <w:t>六、政府采购预算情况</w:t>
      </w:r>
    </w:p>
    <w:p>
      <w:pPr>
        <w:jc w:val="center"/>
      </w:pPr>
      <w:r>
        <w:rPr>
          <w:rFonts w:asci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216001中国共产党保定市莲池区委政法委员会本级</w:t>
            </w:r>
          </w:p>
        </w:tc>
        <w:tc>
          <w:tcPr>
            <w:tcW w:w="7710"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eastAsia="黑体" w:cs="黑体"/>
          <w:color w:val="000000"/>
          <w:sz w:val="32"/>
        </w:rPr>
        <w:t>七、国有资产信息</w:t>
      </w:r>
    </w:p>
    <w:p>
      <w:pPr>
        <w:spacing w:line="500" w:lineRule="exact"/>
        <w:ind w:firstLine="560"/>
      </w:pPr>
      <w:r>
        <w:rPr>
          <w:rFonts w:eastAsia="方正仿宋_GBK"/>
          <w:color w:val="000000"/>
          <w:sz w:val="28"/>
        </w:rPr>
        <w:t>中国共产党保定市莲池区委政法委员会本级上年末固定资产金额为</w:t>
      </w:r>
      <w:r>
        <w:rPr>
          <w:rFonts w:hint="eastAsia" w:eastAsiaTheme="minorEastAsia"/>
          <w:color w:val="000000"/>
          <w:sz w:val="28"/>
          <w:lang w:eastAsia="zh-CN"/>
        </w:rPr>
        <w:t>102.05</w:t>
      </w:r>
      <w:r>
        <w:rPr>
          <w:rFonts w:eastAsia="方正仿宋_GBK"/>
          <w:color w:val="000000"/>
          <w:sz w:val="28"/>
        </w:rPr>
        <w:t>万元（详见下表）。本年度拟购置固定资产总额为0.00万元，已按要求列入政府采购预算，详见政府采购预算表。</w:t>
      </w:r>
    </w:p>
    <w:p>
      <w:pPr>
        <w:jc w:val="center"/>
        <w:rPr>
          <w:rFonts w:ascii="方正小标宋_GBK" w:eastAsia="方正小标宋_GBK" w:cs="方正小标宋_GBK"/>
          <w:color w:val="000000"/>
          <w:sz w:val="36"/>
        </w:rPr>
      </w:pPr>
      <w:r>
        <w:rPr>
          <w:rFonts w:ascii="方正小标宋_GBK" w:eastAsia="方正小标宋_GBK" w:cs="方正小标宋_GBK"/>
          <w:color w:val="000000"/>
          <w:sz w:val="36"/>
        </w:rPr>
        <w:t>单位固定资产占用情况表</w:t>
      </w:r>
    </w:p>
    <w:p>
      <w:pPr>
        <w:ind w:firstLine="960" w:firstLineChars="400"/>
        <w:jc w:val="both"/>
        <w:rPr>
          <w:rFonts w:ascii="方正小标宋_GBK" w:eastAsia="方正小标宋_GBK" w:cs="方正小标宋_GBK"/>
          <w:color w:val="000000"/>
        </w:rPr>
      </w:pPr>
      <w:r>
        <w:rPr>
          <w:rFonts w:hint="eastAsia" w:ascii="方正小标宋_GBK" w:eastAsia="方正小标宋_GBK" w:cs="方正小标宋_GBK"/>
          <w:color w:val="000000"/>
        </w:rPr>
        <w:t>216001中国共产党保定市莲池区委政法委员会本级</w:t>
      </w:r>
      <w:r>
        <w:rPr>
          <w:rFonts w:hint="eastAsia" w:ascii="方正小标宋_GBK" w:eastAsia="方正小标宋_GBK" w:cs="方正小标宋_GBK"/>
          <w:color w:val="000000"/>
        </w:rPr>
        <w:tab/>
      </w:r>
      <w:r>
        <w:rPr>
          <w:rFonts w:hint="eastAsia" w:ascii="方正小标宋_GBK" w:cs="方正小标宋_GBK" w:eastAsiaTheme="minorEastAsia"/>
          <w:color w:val="000000"/>
          <w:lang w:eastAsia="zh-CN"/>
        </w:rPr>
        <w:t xml:space="preserve">                                     </w:t>
      </w:r>
      <w:r>
        <w:rPr>
          <w:rFonts w:hint="eastAsia" w:ascii="方正小标宋_GBK" w:eastAsia="方正小标宋_GBK" w:cs="方正小标宋_GBK"/>
          <w:color w:val="000000"/>
        </w:rPr>
        <w:t>截止时间：202</w:t>
      </w:r>
      <w:r>
        <w:rPr>
          <w:rFonts w:hint="eastAsia" w:ascii="方正小标宋_GBK" w:eastAsia="方正小标宋_GBK" w:cs="方正小标宋_GBK"/>
          <w:color w:val="000000"/>
          <w:lang w:eastAsia="zh-CN"/>
        </w:rPr>
        <w:t>3</w:t>
      </w:r>
      <w:r>
        <w:rPr>
          <w:rFonts w:hint="eastAsia" w:ascii="方正小标宋_GBK" w:eastAsia="方正小标宋_GBK" w:cs="方正小标宋_GBK"/>
          <w:color w:val="000000"/>
        </w:rPr>
        <w:t>-12-31</w:t>
      </w:r>
    </w:p>
    <w:tbl>
      <w:tblPr>
        <w:tblStyle w:val="8"/>
        <w:tblpPr w:leftFromText="180" w:rightFromText="180" w:vertAnchor="text" w:horzAnchor="page" w:tblpX="1787" w:tblpY="161"/>
        <w:tblOverlap w:val="never"/>
        <w:tblW w:w="0" w:type="auto"/>
        <w:tblInd w:w="0" w:type="dxa"/>
        <w:tblLayout w:type="fixed"/>
        <w:tblCellMar>
          <w:top w:w="0" w:type="dxa"/>
          <w:left w:w="0" w:type="dxa"/>
          <w:bottom w:w="0" w:type="dxa"/>
          <w:right w:w="0" w:type="dxa"/>
        </w:tblCellMar>
      </w:tblPr>
      <w:tblGrid>
        <w:gridCol w:w="7232"/>
        <w:gridCol w:w="1416"/>
        <w:gridCol w:w="4503"/>
      </w:tblGrid>
      <w:tr>
        <w:tblPrEx>
          <w:tblCellMar>
            <w:top w:w="0" w:type="dxa"/>
            <w:left w:w="0" w:type="dxa"/>
            <w:bottom w:w="0" w:type="dxa"/>
            <w:right w:w="0" w:type="dxa"/>
          </w:tblCellMar>
        </w:tblPrEx>
        <w:trPr>
          <w:trHeight w:val="1134" w:hRule="atLeast"/>
        </w:trPr>
        <w:tc>
          <w:tcPr>
            <w:tcW w:w="7232" w:type="dxa"/>
            <w:tcBorders>
              <w:top w:val="single" w:color="000000" w:sz="6" w:space="0"/>
              <w:left w:val="single" w:color="000000" w:sz="6" w:space="0"/>
              <w:bottom w:val="single" w:color="000000" w:sz="6" w:space="0"/>
              <w:right w:val="single" w:color="000000" w:sz="6" w:space="0"/>
            </w:tcBorders>
          </w:tcPr>
          <w:p>
            <w:pPr>
              <w:pStyle w:val="36"/>
              <w:kinsoku w:val="0"/>
              <w:overflowPunct w:val="0"/>
              <w:rPr>
                <w:rFonts w:ascii="仿宋" w:eastAsia="仿宋" w:cs="仿宋"/>
              </w:rPr>
            </w:pPr>
          </w:p>
          <w:p>
            <w:pPr>
              <w:pStyle w:val="36"/>
              <w:kinsoku w:val="0"/>
              <w:overflowPunct w:val="0"/>
              <w:spacing w:before="189"/>
              <w:ind w:left="3114" w:right="3103"/>
              <w:jc w:val="center"/>
              <w:rPr>
                <w:rFonts w:ascii="仿宋" w:eastAsia="仿宋" w:cs="仿宋"/>
              </w:rPr>
            </w:pPr>
            <w:r>
              <w:rPr>
                <w:rFonts w:hint="eastAsia" w:ascii="仿宋" w:eastAsia="仿宋" w:cs="仿宋"/>
              </w:rPr>
              <w:t>项目</w:t>
            </w:r>
          </w:p>
        </w:tc>
        <w:tc>
          <w:tcPr>
            <w:tcW w:w="1416" w:type="dxa"/>
            <w:tcBorders>
              <w:top w:val="single" w:color="000000" w:sz="6" w:space="0"/>
              <w:left w:val="single" w:color="000000" w:sz="6" w:space="0"/>
              <w:bottom w:val="single" w:color="000000" w:sz="6" w:space="0"/>
              <w:right w:val="single" w:color="000000" w:sz="6" w:space="0"/>
            </w:tcBorders>
          </w:tcPr>
          <w:p>
            <w:pPr>
              <w:pStyle w:val="36"/>
              <w:kinsoku w:val="0"/>
              <w:overflowPunct w:val="0"/>
              <w:rPr>
                <w:rFonts w:ascii="仿宋" w:eastAsia="仿宋" w:cs="仿宋"/>
              </w:rPr>
            </w:pPr>
          </w:p>
          <w:p>
            <w:pPr>
              <w:pStyle w:val="36"/>
              <w:kinsoku w:val="0"/>
              <w:overflowPunct w:val="0"/>
              <w:spacing w:before="189"/>
              <w:ind w:left="147" w:right="133"/>
              <w:jc w:val="center"/>
              <w:rPr>
                <w:rFonts w:ascii="仿宋" w:eastAsia="仿宋" w:cs="仿宋"/>
              </w:rPr>
            </w:pPr>
            <w:r>
              <w:rPr>
                <w:rFonts w:hint="eastAsia" w:ascii="仿宋" w:eastAsia="仿宋" w:cs="仿宋"/>
              </w:rPr>
              <w:t>数量</w:t>
            </w:r>
          </w:p>
        </w:tc>
        <w:tc>
          <w:tcPr>
            <w:tcW w:w="4503" w:type="dxa"/>
            <w:tcBorders>
              <w:top w:val="single" w:color="000000" w:sz="6" w:space="0"/>
              <w:left w:val="single" w:color="000000" w:sz="6" w:space="0"/>
              <w:bottom w:val="single" w:color="000000" w:sz="6" w:space="0"/>
              <w:right w:val="single" w:color="000000" w:sz="6" w:space="0"/>
            </w:tcBorders>
          </w:tcPr>
          <w:p>
            <w:pPr>
              <w:pStyle w:val="36"/>
              <w:kinsoku w:val="0"/>
              <w:overflowPunct w:val="0"/>
              <w:rPr>
                <w:rFonts w:ascii="仿宋" w:eastAsia="仿宋" w:cs="仿宋"/>
              </w:rPr>
            </w:pPr>
          </w:p>
          <w:p>
            <w:pPr>
              <w:pStyle w:val="36"/>
              <w:kinsoku w:val="0"/>
              <w:overflowPunct w:val="0"/>
              <w:spacing w:before="189"/>
              <w:ind w:left="1091" w:right="1077"/>
              <w:jc w:val="center"/>
              <w:rPr>
                <w:rFonts w:ascii="仿宋" w:eastAsia="仿宋" w:cs="仿宋"/>
              </w:rPr>
            </w:pPr>
            <w:r>
              <w:rPr>
                <w:rFonts w:hint="eastAsia" w:ascii="仿宋" w:eastAsia="仿宋" w:cs="仿宋"/>
              </w:rPr>
              <w:t>价值（单位：万元）</w:t>
            </w:r>
          </w:p>
        </w:tc>
      </w:tr>
      <w:tr>
        <w:tblPrEx>
          <w:tblCellMar>
            <w:top w:w="0" w:type="dxa"/>
            <w:left w:w="0" w:type="dxa"/>
            <w:bottom w:w="0" w:type="dxa"/>
            <w:right w:w="0" w:type="dxa"/>
          </w:tblCellMar>
        </w:tblPrEx>
        <w:trPr>
          <w:trHeight w:val="561" w:hRule="atLeast"/>
        </w:trPr>
        <w:tc>
          <w:tcPr>
            <w:tcW w:w="7232" w:type="dxa"/>
            <w:tcBorders>
              <w:top w:val="single" w:color="000000" w:sz="6" w:space="0"/>
              <w:left w:val="single" w:color="000000" w:sz="6" w:space="0"/>
              <w:bottom w:val="single" w:color="000000" w:sz="6" w:space="0"/>
              <w:right w:val="single" w:color="000000" w:sz="6" w:space="0"/>
            </w:tcBorders>
          </w:tcPr>
          <w:p>
            <w:pPr>
              <w:pStyle w:val="36"/>
              <w:kinsoku w:val="0"/>
              <w:overflowPunct w:val="0"/>
              <w:spacing w:before="209"/>
              <w:ind w:left="3114" w:right="3103"/>
              <w:jc w:val="center"/>
              <w:rPr>
                <w:rFonts w:ascii="仿宋" w:eastAsia="仿宋" w:cs="仿宋"/>
              </w:rPr>
            </w:pPr>
            <w:r>
              <w:rPr>
                <w:rFonts w:hint="eastAsia" w:ascii="仿宋" w:eastAsia="仿宋" w:cs="仿宋"/>
              </w:rPr>
              <w:t>资产总额</w:t>
            </w:r>
          </w:p>
        </w:tc>
        <w:tc>
          <w:tcPr>
            <w:tcW w:w="1416" w:type="dxa"/>
            <w:tcBorders>
              <w:top w:val="single" w:color="000000" w:sz="6" w:space="0"/>
              <w:left w:val="single" w:color="000000" w:sz="6" w:space="0"/>
              <w:bottom w:val="single" w:color="000000" w:sz="6" w:space="0"/>
              <w:right w:val="single" w:color="000000" w:sz="6" w:space="0"/>
            </w:tcBorders>
          </w:tcPr>
          <w:p>
            <w:pPr>
              <w:pStyle w:val="36"/>
              <w:kinsoku w:val="0"/>
              <w:overflowPunct w:val="0"/>
              <w:rPr>
                <w:rFonts w:eastAsiaTheme="minorEastAsia"/>
                <w:sz w:val="26"/>
                <w:szCs w:val="26"/>
              </w:rPr>
            </w:pPr>
          </w:p>
        </w:tc>
        <w:tc>
          <w:tcPr>
            <w:tcW w:w="4503" w:type="dxa"/>
            <w:tcBorders>
              <w:top w:val="single" w:color="000000" w:sz="6" w:space="0"/>
              <w:left w:val="single" w:color="000000" w:sz="6" w:space="0"/>
              <w:bottom w:val="single" w:color="000000" w:sz="6" w:space="0"/>
              <w:right w:val="single" w:color="000000" w:sz="6" w:space="0"/>
            </w:tcBorders>
          </w:tcPr>
          <w:p>
            <w:pPr>
              <w:pStyle w:val="36"/>
              <w:kinsoku w:val="0"/>
              <w:overflowPunct w:val="0"/>
              <w:spacing w:before="209"/>
              <w:ind w:left="1091" w:right="1077"/>
              <w:jc w:val="center"/>
              <w:rPr>
                <w:rFonts w:ascii="仿宋" w:eastAsia="仿宋" w:cs="仿宋"/>
                <w:lang w:eastAsia="zh-CN"/>
              </w:rPr>
            </w:pPr>
            <w:r>
              <w:rPr>
                <w:rFonts w:hint="eastAsia" w:ascii="仿宋" w:eastAsia="仿宋" w:cs="仿宋"/>
                <w:lang w:eastAsia="zh-CN"/>
              </w:rPr>
              <w:t>102.05</w:t>
            </w:r>
          </w:p>
        </w:tc>
      </w:tr>
      <w:tr>
        <w:tblPrEx>
          <w:tblCellMar>
            <w:top w:w="0" w:type="dxa"/>
            <w:left w:w="0" w:type="dxa"/>
            <w:bottom w:w="0" w:type="dxa"/>
            <w:right w:w="0" w:type="dxa"/>
          </w:tblCellMar>
        </w:tblPrEx>
        <w:trPr>
          <w:trHeight w:val="558" w:hRule="atLeast"/>
        </w:trPr>
        <w:tc>
          <w:tcPr>
            <w:tcW w:w="7232" w:type="dxa"/>
            <w:tcBorders>
              <w:top w:val="single" w:color="000000" w:sz="6" w:space="0"/>
              <w:left w:val="single" w:color="000000" w:sz="6" w:space="0"/>
              <w:bottom w:val="single" w:color="000000" w:sz="6" w:space="0"/>
              <w:right w:val="single" w:color="000000" w:sz="6" w:space="0"/>
            </w:tcBorders>
          </w:tcPr>
          <w:p>
            <w:pPr>
              <w:pStyle w:val="36"/>
              <w:kinsoku w:val="0"/>
              <w:overflowPunct w:val="0"/>
              <w:spacing w:before="208"/>
              <w:ind w:left="107"/>
              <w:rPr>
                <w:rFonts w:ascii="仿宋" w:eastAsia="仿宋" w:cs="仿宋"/>
              </w:rPr>
            </w:pPr>
            <w:r>
              <w:rPr>
                <w:rFonts w:ascii="仿宋" w:eastAsia="仿宋" w:cs="仿宋"/>
              </w:rPr>
              <w:t>1</w:t>
            </w:r>
            <w:r>
              <w:rPr>
                <w:rFonts w:hint="eastAsia" w:ascii="仿宋" w:eastAsia="仿宋" w:cs="仿宋"/>
              </w:rPr>
              <w:t>、房屋（平方米）</w:t>
            </w:r>
          </w:p>
        </w:tc>
        <w:tc>
          <w:tcPr>
            <w:tcW w:w="1416" w:type="dxa"/>
            <w:tcBorders>
              <w:top w:val="single" w:color="000000" w:sz="6" w:space="0"/>
              <w:left w:val="single" w:color="000000" w:sz="6" w:space="0"/>
              <w:bottom w:val="single" w:color="000000" w:sz="6" w:space="0"/>
              <w:right w:val="single" w:color="000000" w:sz="6" w:space="0"/>
            </w:tcBorders>
          </w:tcPr>
          <w:p>
            <w:pPr>
              <w:pStyle w:val="36"/>
              <w:kinsoku w:val="0"/>
              <w:overflowPunct w:val="0"/>
              <w:spacing w:before="208"/>
              <w:ind w:left="147" w:right="133"/>
              <w:jc w:val="center"/>
              <w:rPr>
                <w:rFonts w:ascii="仿宋" w:eastAsia="仿宋" w:cs="仿宋"/>
              </w:rPr>
            </w:pPr>
          </w:p>
        </w:tc>
        <w:tc>
          <w:tcPr>
            <w:tcW w:w="4503" w:type="dxa"/>
            <w:tcBorders>
              <w:top w:val="single" w:color="000000" w:sz="6" w:space="0"/>
              <w:left w:val="single" w:color="000000" w:sz="6" w:space="0"/>
              <w:bottom w:val="single" w:color="000000" w:sz="6" w:space="0"/>
              <w:right w:val="single" w:color="000000" w:sz="6" w:space="0"/>
            </w:tcBorders>
          </w:tcPr>
          <w:p>
            <w:pPr>
              <w:pStyle w:val="36"/>
              <w:kinsoku w:val="0"/>
              <w:overflowPunct w:val="0"/>
              <w:spacing w:before="208"/>
              <w:ind w:left="1091" w:right="1077"/>
              <w:jc w:val="center"/>
              <w:rPr>
                <w:rFonts w:ascii="仿宋" w:eastAsia="仿宋" w:cs="仿宋"/>
              </w:rPr>
            </w:pPr>
          </w:p>
        </w:tc>
      </w:tr>
      <w:tr>
        <w:tblPrEx>
          <w:tblCellMar>
            <w:top w:w="0" w:type="dxa"/>
            <w:left w:w="0" w:type="dxa"/>
            <w:bottom w:w="0" w:type="dxa"/>
            <w:right w:w="0" w:type="dxa"/>
          </w:tblCellMar>
        </w:tblPrEx>
        <w:trPr>
          <w:trHeight w:val="561" w:hRule="atLeast"/>
        </w:trPr>
        <w:tc>
          <w:tcPr>
            <w:tcW w:w="7232" w:type="dxa"/>
            <w:tcBorders>
              <w:top w:val="single" w:color="000000" w:sz="6" w:space="0"/>
              <w:left w:val="single" w:color="000000" w:sz="6" w:space="0"/>
              <w:bottom w:val="single" w:color="000000" w:sz="6" w:space="0"/>
              <w:right w:val="single" w:color="000000" w:sz="6" w:space="0"/>
            </w:tcBorders>
          </w:tcPr>
          <w:p>
            <w:pPr>
              <w:pStyle w:val="36"/>
              <w:kinsoku w:val="0"/>
              <w:overflowPunct w:val="0"/>
              <w:spacing w:before="211"/>
              <w:ind w:left="467"/>
              <w:rPr>
                <w:rFonts w:ascii="仿宋" w:eastAsia="仿宋" w:cs="仿宋"/>
              </w:rPr>
            </w:pPr>
            <w:r>
              <w:rPr>
                <w:rFonts w:hint="eastAsia" w:ascii="仿宋" w:eastAsia="仿宋" w:cs="仿宋"/>
              </w:rPr>
              <w:t>其中：办公用房（平方米）</w:t>
            </w:r>
          </w:p>
        </w:tc>
        <w:tc>
          <w:tcPr>
            <w:tcW w:w="1416" w:type="dxa"/>
            <w:tcBorders>
              <w:top w:val="single" w:color="000000" w:sz="6" w:space="0"/>
              <w:left w:val="single" w:color="000000" w:sz="6" w:space="0"/>
              <w:bottom w:val="single" w:color="000000" w:sz="6" w:space="0"/>
              <w:right w:val="single" w:color="000000" w:sz="6" w:space="0"/>
            </w:tcBorders>
          </w:tcPr>
          <w:p>
            <w:pPr>
              <w:pStyle w:val="36"/>
              <w:kinsoku w:val="0"/>
              <w:overflowPunct w:val="0"/>
              <w:rPr>
                <w:rFonts w:eastAsiaTheme="minorEastAsia"/>
                <w:sz w:val="26"/>
                <w:szCs w:val="26"/>
              </w:rPr>
            </w:pPr>
          </w:p>
        </w:tc>
        <w:tc>
          <w:tcPr>
            <w:tcW w:w="4503" w:type="dxa"/>
            <w:tcBorders>
              <w:top w:val="single" w:color="000000" w:sz="6" w:space="0"/>
              <w:left w:val="single" w:color="000000" w:sz="6" w:space="0"/>
              <w:bottom w:val="single" w:color="000000" w:sz="6" w:space="0"/>
              <w:right w:val="single" w:color="000000" w:sz="6" w:space="0"/>
            </w:tcBorders>
          </w:tcPr>
          <w:p>
            <w:pPr>
              <w:pStyle w:val="36"/>
              <w:kinsoku w:val="0"/>
              <w:overflowPunct w:val="0"/>
              <w:rPr>
                <w:rFonts w:eastAsiaTheme="minorEastAsia"/>
                <w:sz w:val="26"/>
                <w:szCs w:val="26"/>
              </w:rPr>
            </w:pPr>
          </w:p>
        </w:tc>
      </w:tr>
      <w:tr>
        <w:tblPrEx>
          <w:tblCellMar>
            <w:top w:w="0" w:type="dxa"/>
            <w:left w:w="0" w:type="dxa"/>
            <w:bottom w:w="0" w:type="dxa"/>
            <w:right w:w="0" w:type="dxa"/>
          </w:tblCellMar>
        </w:tblPrEx>
        <w:trPr>
          <w:trHeight w:val="570" w:hRule="atLeast"/>
        </w:trPr>
        <w:tc>
          <w:tcPr>
            <w:tcW w:w="7232" w:type="dxa"/>
            <w:tcBorders>
              <w:top w:val="single" w:color="000000" w:sz="6" w:space="0"/>
              <w:left w:val="single" w:color="000000" w:sz="6" w:space="0"/>
              <w:bottom w:val="single" w:color="000000" w:sz="6" w:space="0"/>
              <w:right w:val="single" w:color="000000" w:sz="6" w:space="0"/>
            </w:tcBorders>
          </w:tcPr>
          <w:p>
            <w:pPr>
              <w:pStyle w:val="36"/>
              <w:kinsoku w:val="0"/>
              <w:overflowPunct w:val="0"/>
              <w:spacing w:before="213"/>
              <w:ind w:left="107"/>
              <w:rPr>
                <w:rFonts w:ascii="仿宋" w:eastAsia="仿宋" w:cs="仿宋"/>
              </w:rPr>
            </w:pPr>
            <w:r>
              <w:rPr>
                <w:rFonts w:ascii="仿宋" w:eastAsia="仿宋" w:cs="仿宋"/>
              </w:rPr>
              <w:t>2</w:t>
            </w:r>
            <w:r>
              <w:rPr>
                <w:rFonts w:hint="eastAsia" w:ascii="仿宋" w:eastAsia="仿宋" w:cs="仿宋"/>
              </w:rPr>
              <w:t>、车辆（台、辆）</w:t>
            </w:r>
          </w:p>
        </w:tc>
        <w:tc>
          <w:tcPr>
            <w:tcW w:w="1416" w:type="dxa"/>
            <w:tcBorders>
              <w:top w:val="single" w:color="000000" w:sz="6" w:space="0"/>
              <w:left w:val="single" w:color="000000" w:sz="6" w:space="0"/>
              <w:bottom w:val="single" w:color="000000" w:sz="6" w:space="0"/>
              <w:right w:val="single" w:color="000000" w:sz="6" w:space="0"/>
            </w:tcBorders>
          </w:tcPr>
          <w:p>
            <w:pPr>
              <w:pStyle w:val="36"/>
              <w:kinsoku w:val="0"/>
              <w:overflowPunct w:val="0"/>
              <w:spacing w:before="213"/>
              <w:ind w:left="147" w:right="133"/>
              <w:jc w:val="center"/>
              <w:rPr>
                <w:rFonts w:ascii="仿宋" w:eastAsia="仿宋" w:cs="仿宋"/>
              </w:rPr>
            </w:pPr>
            <w:r>
              <w:rPr>
                <w:rFonts w:hint="eastAsia" w:ascii="仿宋" w:eastAsia="仿宋" w:cs="仿宋"/>
              </w:rPr>
              <w:t>2</w:t>
            </w:r>
          </w:p>
        </w:tc>
        <w:tc>
          <w:tcPr>
            <w:tcW w:w="4503" w:type="dxa"/>
            <w:tcBorders>
              <w:top w:val="single" w:color="000000" w:sz="6" w:space="0"/>
              <w:left w:val="single" w:color="000000" w:sz="6" w:space="0"/>
              <w:bottom w:val="single" w:color="000000" w:sz="6" w:space="0"/>
              <w:right w:val="single" w:color="000000" w:sz="6" w:space="0"/>
            </w:tcBorders>
          </w:tcPr>
          <w:p>
            <w:pPr>
              <w:pStyle w:val="36"/>
              <w:kinsoku w:val="0"/>
              <w:overflowPunct w:val="0"/>
              <w:spacing w:before="213"/>
              <w:ind w:left="1091" w:right="1077"/>
              <w:jc w:val="center"/>
              <w:rPr>
                <w:rFonts w:ascii="仿宋" w:eastAsia="仿宋" w:cs="仿宋"/>
              </w:rPr>
            </w:pPr>
            <w:r>
              <w:rPr>
                <w:rFonts w:hint="eastAsia" w:ascii="仿宋" w:eastAsia="仿宋" w:cs="仿宋"/>
              </w:rPr>
              <w:t>31.36</w:t>
            </w:r>
          </w:p>
        </w:tc>
      </w:tr>
      <w:tr>
        <w:tblPrEx>
          <w:tblCellMar>
            <w:top w:w="0" w:type="dxa"/>
            <w:left w:w="0" w:type="dxa"/>
            <w:bottom w:w="0" w:type="dxa"/>
            <w:right w:w="0" w:type="dxa"/>
          </w:tblCellMar>
        </w:tblPrEx>
        <w:trPr>
          <w:trHeight w:val="600" w:hRule="atLeast"/>
        </w:trPr>
        <w:tc>
          <w:tcPr>
            <w:tcW w:w="7232" w:type="dxa"/>
            <w:tcBorders>
              <w:top w:val="single" w:color="000000" w:sz="6" w:space="0"/>
              <w:left w:val="single" w:color="000000" w:sz="6" w:space="0"/>
              <w:bottom w:val="single" w:color="000000" w:sz="6" w:space="0"/>
              <w:right w:val="single" w:color="000000" w:sz="6" w:space="0"/>
            </w:tcBorders>
          </w:tcPr>
          <w:p>
            <w:pPr>
              <w:pStyle w:val="36"/>
              <w:kinsoku w:val="0"/>
              <w:overflowPunct w:val="0"/>
              <w:spacing w:before="9"/>
              <w:rPr>
                <w:rFonts w:ascii="仿宋" w:eastAsia="仿宋" w:cs="仿宋"/>
                <w:sz w:val="17"/>
                <w:szCs w:val="17"/>
              </w:rPr>
            </w:pPr>
          </w:p>
          <w:p>
            <w:pPr>
              <w:pStyle w:val="36"/>
              <w:kinsoku w:val="0"/>
              <w:overflowPunct w:val="0"/>
              <w:spacing w:before="1"/>
              <w:ind w:left="107"/>
              <w:rPr>
                <w:rFonts w:ascii="仿宋" w:eastAsia="仿宋" w:cs="仿宋"/>
              </w:rPr>
            </w:pPr>
            <w:r>
              <w:rPr>
                <w:rFonts w:ascii="仿宋" w:eastAsia="仿宋" w:cs="仿宋"/>
              </w:rPr>
              <w:t>3</w:t>
            </w:r>
            <w:r>
              <w:rPr>
                <w:rFonts w:hint="eastAsia" w:ascii="仿宋" w:eastAsia="仿宋" w:cs="仿宋"/>
              </w:rPr>
              <w:t>、单价在</w:t>
            </w:r>
            <w:r>
              <w:rPr>
                <w:rFonts w:ascii="仿宋" w:eastAsia="仿宋" w:cs="仿宋"/>
              </w:rPr>
              <w:t xml:space="preserve"> 20 </w:t>
            </w:r>
            <w:r>
              <w:rPr>
                <w:rFonts w:hint="eastAsia" w:ascii="仿宋" w:eastAsia="仿宋" w:cs="仿宋"/>
              </w:rPr>
              <w:t>万以上的设备（台、套）</w:t>
            </w:r>
          </w:p>
        </w:tc>
        <w:tc>
          <w:tcPr>
            <w:tcW w:w="1416" w:type="dxa"/>
            <w:tcBorders>
              <w:top w:val="single" w:color="000000" w:sz="6" w:space="0"/>
              <w:left w:val="single" w:color="000000" w:sz="6" w:space="0"/>
              <w:bottom w:val="single" w:color="000000" w:sz="6" w:space="0"/>
              <w:right w:val="single" w:color="000000" w:sz="6" w:space="0"/>
            </w:tcBorders>
          </w:tcPr>
          <w:p>
            <w:pPr>
              <w:pStyle w:val="36"/>
              <w:kinsoku w:val="0"/>
              <w:overflowPunct w:val="0"/>
              <w:spacing w:before="9"/>
              <w:rPr>
                <w:rFonts w:ascii="仿宋" w:eastAsia="仿宋" w:cs="仿宋"/>
                <w:sz w:val="17"/>
                <w:szCs w:val="17"/>
              </w:rPr>
            </w:pPr>
          </w:p>
          <w:p>
            <w:pPr>
              <w:pStyle w:val="36"/>
              <w:kinsoku w:val="0"/>
              <w:overflowPunct w:val="0"/>
              <w:spacing w:before="1"/>
              <w:ind w:left="147" w:right="133"/>
              <w:jc w:val="center"/>
              <w:rPr>
                <w:rFonts w:ascii="仿宋" w:eastAsia="仿宋" w:cs="仿宋"/>
              </w:rPr>
            </w:pPr>
            <w:r>
              <w:rPr>
                <w:rFonts w:ascii="仿宋" w:eastAsia="仿宋" w:cs="仿宋"/>
              </w:rPr>
              <w:t>——</w:t>
            </w:r>
          </w:p>
        </w:tc>
        <w:tc>
          <w:tcPr>
            <w:tcW w:w="4503" w:type="dxa"/>
            <w:tcBorders>
              <w:top w:val="single" w:color="000000" w:sz="6" w:space="0"/>
              <w:left w:val="single" w:color="000000" w:sz="6" w:space="0"/>
              <w:bottom w:val="single" w:color="000000" w:sz="6" w:space="0"/>
              <w:right w:val="single" w:color="000000" w:sz="6" w:space="0"/>
            </w:tcBorders>
          </w:tcPr>
          <w:p>
            <w:pPr>
              <w:pStyle w:val="36"/>
              <w:kinsoku w:val="0"/>
              <w:overflowPunct w:val="0"/>
              <w:spacing w:before="1"/>
              <w:ind w:left="1091" w:right="1077"/>
              <w:jc w:val="center"/>
              <w:rPr>
                <w:rFonts w:ascii="仿宋" w:eastAsia="仿宋" w:cs="仿宋"/>
              </w:rPr>
            </w:pPr>
          </w:p>
        </w:tc>
      </w:tr>
      <w:tr>
        <w:tblPrEx>
          <w:tblCellMar>
            <w:top w:w="0" w:type="dxa"/>
            <w:left w:w="0" w:type="dxa"/>
            <w:bottom w:w="0" w:type="dxa"/>
            <w:right w:w="0" w:type="dxa"/>
          </w:tblCellMar>
        </w:tblPrEx>
        <w:trPr>
          <w:trHeight w:val="570" w:hRule="atLeast"/>
        </w:trPr>
        <w:tc>
          <w:tcPr>
            <w:tcW w:w="7232" w:type="dxa"/>
            <w:tcBorders>
              <w:top w:val="single" w:color="000000" w:sz="6" w:space="0"/>
              <w:left w:val="single" w:color="000000" w:sz="6" w:space="0"/>
              <w:bottom w:val="single" w:color="000000" w:sz="6" w:space="0"/>
              <w:right w:val="single" w:color="000000" w:sz="6" w:space="0"/>
            </w:tcBorders>
          </w:tcPr>
          <w:p>
            <w:pPr>
              <w:pStyle w:val="36"/>
              <w:kinsoku w:val="0"/>
              <w:overflowPunct w:val="0"/>
              <w:spacing w:before="213"/>
              <w:ind w:left="107"/>
              <w:rPr>
                <w:rFonts w:ascii="仿宋" w:eastAsia="仿宋" w:cs="仿宋"/>
              </w:rPr>
            </w:pPr>
            <w:r>
              <w:rPr>
                <w:rFonts w:ascii="仿宋" w:eastAsia="仿宋" w:cs="仿宋"/>
              </w:rPr>
              <w:t>4</w:t>
            </w:r>
            <w:r>
              <w:rPr>
                <w:rFonts w:hint="eastAsia" w:ascii="仿宋" w:eastAsia="仿宋" w:cs="仿宋"/>
              </w:rPr>
              <w:t>、其他固定资产</w:t>
            </w:r>
          </w:p>
        </w:tc>
        <w:tc>
          <w:tcPr>
            <w:tcW w:w="1416" w:type="dxa"/>
            <w:tcBorders>
              <w:top w:val="single" w:color="000000" w:sz="6" w:space="0"/>
              <w:left w:val="single" w:color="000000" w:sz="6" w:space="0"/>
              <w:bottom w:val="single" w:color="000000" w:sz="6" w:space="0"/>
              <w:right w:val="single" w:color="000000" w:sz="6" w:space="0"/>
            </w:tcBorders>
          </w:tcPr>
          <w:p>
            <w:pPr>
              <w:pStyle w:val="36"/>
              <w:kinsoku w:val="0"/>
              <w:overflowPunct w:val="0"/>
              <w:spacing w:before="213"/>
              <w:ind w:left="147" w:right="133"/>
              <w:jc w:val="center"/>
              <w:rPr>
                <w:rFonts w:hint="default" w:ascii="仿宋" w:eastAsia="仿宋" w:cs="仿宋"/>
                <w:lang w:val="en-US" w:eastAsia="zh-CN"/>
              </w:rPr>
            </w:pPr>
            <w:r>
              <w:rPr>
                <w:rFonts w:hint="eastAsia" w:ascii="仿宋" w:eastAsia="仿宋" w:cs="仿宋"/>
                <w:lang w:val="en-US" w:eastAsia="zh-CN"/>
              </w:rPr>
              <w:t>669</w:t>
            </w:r>
          </w:p>
        </w:tc>
        <w:tc>
          <w:tcPr>
            <w:tcW w:w="4503" w:type="dxa"/>
            <w:tcBorders>
              <w:top w:val="single" w:color="000000" w:sz="6" w:space="0"/>
              <w:left w:val="single" w:color="000000" w:sz="6" w:space="0"/>
              <w:bottom w:val="single" w:color="000000" w:sz="6" w:space="0"/>
              <w:right w:val="single" w:color="000000" w:sz="6" w:space="0"/>
            </w:tcBorders>
          </w:tcPr>
          <w:p>
            <w:pPr>
              <w:pStyle w:val="36"/>
              <w:kinsoku w:val="0"/>
              <w:overflowPunct w:val="0"/>
              <w:spacing w:before="213"/>
              <w:ind w:left="1091" w:right="1077"/>
              <w:jc w:val="center"/>
              <w:rPr>
                <w:rFonts w:ascii="仿宋" w:eastAsia="仿宋" w:cs="仿宋"/>
                <w:lang w:eastAsia="zh-CN"/>
              </w:rPr>
            </w:pPr>
            <w:r>
              <w:rPr>
                <w:rFonts w:hint="eastAsia" w:ascii="仿宋" w:eastAsia="仿宋" w:cs="仿宋"/>
                <w:lang w:eastAsia="zh-CN"/>
              </w:rPr>
              <w:t>70.69</w:t>
            </w:r>
          </w:p>
        </w:tc>
      </w:tr>
    </w:tbl>
    <w:p>
      <w:pPr>
        <w:ind w:firstLine="640"/>
      </w:pPr>
    </w:p>
    <w:p>
      <w:pPr>
        <w:spacing w:before="10" w:after="10"/>
        <w:ind w:firstLine="640"/>
        <w:outlineLvl w:val="5"/>
      </w:pPr>
      <w:r>
        <w:rPr>
          <w:rFonts w:asci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方正兰亭超细黑简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方正兰亭超细黑简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rawingGridHorizontalSpacing w:val="120"/>
  <w:drawingGridVerticalSpacing w:val="163"/>
  <w:displayHorizontalDrawingGridEvery w:val="0"/>
  <w:characterSpacingControl w:val="doNotCompress"/>
  <w:compat>
    <w:spaceForUL/>
    <w:doNotExpandShiftReturn/>
    <w:adjustLineHeightInTable/>
    <w:useFELayout/>
    <w:compatSetting w:name="compatibilityMode" w:uri="http://schemas.microsoft.com/office/word" w:val="12"/>
  </w:compat>
  <w:rsids>
    <w:rsidRoot w:val="00360A60"/>
    <w:rsid w:val="002372ED"/>
    <w:rsid w:val="00302F0D"/>
    <w:rsid w:val="00360A60"/>
    <w:rsid w:val="0039231E"/>
    <w:rsid w:val="004163C8"/>
    <w:rsid w:val="0046282B"/>
    <w:rsid w:val="00465513"/>
    <w:rsid w:val="00507F5D"/>
    <w:rsid w:val="00543731"/>
    <w:rsid w:val="005D6953"/>
    <w:rsid w:val="006A4BEB"/>
    <w:rsid w:val="00722A06"/>
    <w:rsid w:val="0077407B"/>
    <w:rsid w:val="007E39C5"/>
    <w:rsid w:val="00961ED7"/>
    <w:rsid w:val="009677DC"/>
    <w:rsid w:val="00BA7117"/>
    <w:rsid w:val="00C60209"/>
    <w:rsid w:val="00D3321B"/>
    <w:rsid w:val="00D70BD8"/>
    <w:rsid w:val="00D712E4"/>
    <w:rsid w:val="00E80069"/>
    <w:rsid w:val="00EF3653"/>
    <w:rsid w:val="00F47D66"/>
    <w:rsid w:val="1F3F6F1A"/>
    <w:rsid w:val="29E17832"/>
    <w:rsid w:val="31227A52"/>
    <w:rsid w:val="37111FD6"/>
    <w:rsid w:val="37EB2C87"/>
    <w:rsid w:val="444F2BB0"/>
    <w:rsid w:val="45F229D0"/>
    <w:rsid w:val="46311BC1"/>
    <w:rsid w:val="4C9243BB"/>
    <w:rsid w:val="55450248"/>
    <w:rsid w:val="5B8432D3"/>
    <w:rsid w:val="66C45A23"/>
    <w:rsid w:val="6D5905FA"/>
    <w:rsid w:val="6DD959F7"/>
    <w:rsid w:val="78993E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rFonts w:ascii="仿宋" w:eastAsia="仿宋" w:cs="仿宋"/>
      <w:sz w:val="32"/>
      <w:szCs w:val="32"/>
    </w:rPr>
  </w:style>
  <w:style w:type="paragraph" w:styleId="6">
    <w:name w:val="footer"/>
    <w:basedOn w:val="1"/>
    <w:link w:val="39"/>
    <w:qFormat/>
    <w:uiPriority w:val="0"/>
    <w:pPr>
      <w:tabs>
        <w:tab w:val="center" w:pos="4153"/>
        <w:tab w:val="right" w:pos="8306"/>
      </w:tabs>
      <w:snapToGrid w:val="0"/>
    </w:pPr>
    <w:rPr>
      <w:sz w:val="18"/>
      <w:szCs w:val="18"/>
    </w:rPr>
  </w:style>
  <w:style w:type="paragraph" w:styleId="7">
    <w:name w:val="header"/>
    <w:basedOn w:val="1"/>
    <w:link w:val="38"/>
    <w:uiPriority w:val="0"/>
    <w:pPr>
      <w:pBdr>
        <w:bottom w:val="single" w:color="auto" w:sz="6" w:space="1"/>
      </w:pBdr>
      <w:tabs>
        <w:tab w:val="center" w:pos="4153"/>
        <w:tab w:val="right" w:pos="8306"/>
      </w:tabs>
      <w:snapToGrid w:val="0"/>
      <w:jc w:val="center"/>
    </w:pPr>
    <w:rPr>
      <w:sz w:val="18"/>
      <w:szCs w:val="18"/>
    </w:rPr>
  </w:style>
  <w:style w:type="paragraph" w:customStyle="1" w:styleId="10">
    <w:name w:val="单元格样式22"/>
    <w:basedOn w:val="1"/>
    <w:qFormat/>
    <w:uiPriority w:val="0"/>
    <w:pPr>
      <w:jc w:val="right"/>
    </w:pPr>
    <w:rPr>
      <w:rFonts w:ascii="方正小标宋_GBK" w:eastAsia="方正小标宋_GBK" w:cs="方正小标宋_GBK"/>
    </w:rPr>
  </w:style>
  <w:style w:type="paragraph" w:customStyle="1" w:styleId="11">
    <w:name w:val="单元格样式21"/>
    <w:basedOn w:val="1"/>
    <w:qFormat/>
    <w:uiPriority w:val="0"/>
    <w:pPr>
      <w:jc w:val="center"/>
    </w:pPr>
    <w:rPr>
      <w:rFonts w:ascii="方正小标宋_GBK" w:eastAsia="方正小标宋_GBK" w:cs="方正小标宋_GBK"/>
    </w:rPr>
  </w:style>
  <w:style w:type="paragraph" w:customStyle="1" w:styleId="12">
    <w:name w:val="单元格样式20"/>
    <w:basedOn w:val="1"/>
    <w:qFormat/>
    <w:uiPriority w:val="0"/>
    <w:rPr>
      <w:rFonts w:ascii="方正小标宋_GBK" w:eastAsia="方正小标宋_GBK" w:cs="方正小标宋_GBK"/>
    </w:rPr>
  </w:style>
  <w:style w:type="paragraph" w:customStyle="1" w:styleId="13">
    <w:name w:val="单元格样式1"/>
    <w:basedOn w:val="1"/>
    <w:qFormat/>
    <w:uiPriority w:val="0"/>
    <w:pPr>
      <w:jc w:val="center"/>
    </w:pPr>
    <w:rPr>
      <w:rFonts w:ascii="方正书宋_GBK" w:eastAsia="方正书宋_GBK" w:cs="方正书宋_GBK"/>
      <w:b/>
      <w:sz w:val="21"/>
    </w:rPr>
  </w:style>
  <w:style w:type="paragraph" w:customStyle="1" w:styleId="14">
    <w:name w:val="单元格样式4"/>
    <w:basedOn w:val="1"/>
    <w:uiPriority w:val="0"/>
    <w:pPr>
      <w:jc w:val="right"/>
    </w:pPr>
    <w:rPr>
      <w:rFonts w:ascii="方正书宋_GBK" w:eastAsia="方正书宋_GBK" w:cs="方正书宋_GBK"/>
      <w:sz w:val="21"/>
    </w:rPr>
  </w:style>
  <w:style w:type="paragraph" w:customStyle="1" w:styleId="15">
    <w:name w:val="单元格样式2"/>
    <w:basedOn w:val="1"/>
    <w:qFormat/>
    <w:uiPriority w:val="0"/>
    <w:rPr>
      <w:rFonts w:ascii="方正书宋_GBK" w:eastAsia="方正书宋_GBK" w:cs="方正书宋_GBK"/>
      <w:sz w:val="21"/>
    </w:rPr>
  </w:style>
  <w:style w:type="paragraph" w:customStyle="1" w:styleId="16">
    <w:name w:val="单元格样式3"/>
    <w:basedOn w:val="1"/>
    <w:uiPriority w:val="0"/>
    <w:pPr>
      <w:jc w:val="center"/>
    </w:pPr>
    <w:rPr>
      <w:rFonts w:ascii="方正书宋_GBK" w:eastAsia="方正书宋_GBK" w:cs="方正书宋_GBK"/>
      <w:sz w:val="21"/>
    </w:rPr>
  </w:style>
  <w:style w:type="paragraph" w:customStyle="1" w:styleId="17">
    <w:name w:val="单元格样式6"/>
    <w:basedOn w:val="1"/>
    <w:uiPriority w:val="0"/>
    <w:pPr>
      <w:jc w:val="center"/>
    </w:pPr>
    <w:rPr>
      <w:rFonts w:ascii="方正书宋_GBK" w:eastAsia="方正书宋_GBK" w:cs="方正书宋_GBK"/>
      <w:b/>
      <w:sz w:val="21"/>
    </w:rPr>
  </w:style>
  <w:style w:type="paragraph" w:customStyle="1" w:styleId="18">
    <w:name w:val="单元格样式7"/>
    <w:basedOn w:val="1"/>
    <w:uiPriority w:val="0"/>
    <w:pPr>
      <w:jc w:val="right"/>
    </w:pPr>
    <w:rPr>
      <w:rFonts w:ascii="方正书宋_GBK" w:eastAsia="方正书宋_GBK" w:cs="方正书宋_GBK"/>
      <w:b/>
      <w:sz w:val="21"/>
    </w:rPr>
  </w:style>
  <w:style w:type="paragraph" w:customStyle="1" w:styleId="19">
    <w:name w:val="单元格样式5"/>
    <w:basedOn w:val="1"/>
    <w:uiPriority w:val="0"/>
    <w:rPr>
      <w:rFonts w:ascii="方正书宋_GBK" w:eastAsia="方正书宋_GBK" w:cs="方正书宋_GBK"/>
      <w:b/>
      <w:sz w:val="21"/>
    </w:rPr>
  </w:style>
  <w:style w:type="paragraph" w:customStyle="1" w:styleId="20">
    <w:name w:val="插入文本样式-插入预算公开部门职责文件"/>
    <w:basedOn w:val="1"/>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uiPriority w:val="0"/>
    <w:pPr>
      <w:spacing w:line="500" w:lineRule="exact"/>
      <w:ind w:firstLine="560"/>
    </w:pPr>
    <w:rPr>
      <w:rFonts w:eastAsia="方正仿宋_GBK"/>
      <w:sz w:val="28"/>
    </w:rPr>
  </w:style>
  <w:style w:type="paragraph" w:customStyle="1" w:styleId="27">
    <w:name w:val="单元格样式23"/>
    <w:basedOn w:val="1"/>
    <w:uiPriority w:val="0"/>
    <w:pPr>
      <w:jc w:val="right"/>
    </w:pPr>
    <w:rPr>
      <w:rFonts w:ascii="方正书宋_GBK" w:eastAsia="方正书宋_GBK" w:cs="方正书宋_GBK"/>
    </w:rPr>
  </w:style>
  <w:style w:type="paragraph" w:customStyle="1" w:styleId="28">
    <w:name w:val="插入文本样式-插入单位职责文件"/>
    <w:basedOn w:val="1"/>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2">
    <w:name w:val="目录 21"/>
    <w:basedOn w:val="1"/>
    <w:uiPriority w:val="0"/>
    <w:pPr>
      <w:ind w:left="240"/>
    </w:pPr>
  </w:style>
  <w:style w:type="paragraph" w:customStyle="1" w:styleId="33">
    <w:name w:val="目录 31"/>
    <w:basedOn w:val="1"/>
    <w:uiPriority w:val="0"/>
    <w:pPr>
      <w:ind w:left="480"/>
    </w:pPr>
  </w:style>
  <w:style w:type="paragraph" w:customStyle="1" w:styleId="34">
    <w:name w:val="目录 41"/>
    <w:basedOn w:val="1"/>
    <w:uiPriority w:val="0"/>
    <w:pPr>
      <w:ind w:left="720"/>
    </w:pPr>
  </w:style>
  <w:style w:type="paragraph" w:customStyle="1" w:styleId="35">
    <w:name w:val="目录 11"/>
    <w:basedOn w:val="1"/>
    <w:uiPriority w:val="0"/>
    <w:pPr>
      <w:spacing w:before="120"/>
      <w:ind w:firstLine="560"/>
    </w:pPr>
    <w:rPr>
      <w:rFonts w:eastAsia="方正仿宋_GBK"/>
      <w:color w:val="000000"/>
      <w:sz w:val="28"/>
    </w:rPr>
  </w:style>
  <w:style w:type="paragraph" w:customStyle="1" w:styleId="36">
    <w:name w:val="Table Paragraph"/>
    <w:basedOn w:val="1"/>
    <w:qFormat/>
    <w:uiPriority w:val="1"/>
  </w:style>
  <w:style w:type="paragraph" w:customStyle="1" w:styleId="37">
    <w:name w:val="插入文本样式-插入部门职责文件"/>
    <w:basedOn w:val="1"/>
    <w:qFormat/>
    <w:uiPriority w:val="0"/>
    <w:pPr>
      <w:spacing w:line="500" w:lineRule="exact"/>
      <w:ind w:firstLine="560"/>
    </w:pPr>
    <w:rPr>
      <w:rFonts w:eastAsia="方正仿宋_GBK"/>
      <w:sz w:val="28"/>
    </w:rPr>
  </w:style>
  <w:style w:type="character" w:customStyle="1" w:styleId="38">
    <w:name w:val="页眉 字符"/>
    <w:basedOn w:val="9"/>
    <w:link w:val="7"/>
    <w:uiPriority w:val="0"/>
    <w:rPr>
      <w:rFonts w:eastAsia="Times New Roman"/>
      <w:sz w:val="18"/>
      <w:szCs w:val="18"/>
      <w:lang w:eastAsia="uk-UA"/>
    </w:rPr>
  </w:style>
  <w:style w:type="character" w:customStyle="1" w:styleId="39">
    <w:name w:val="页脚 字符"/>
    <w:basedOn w:val="9"/>
    <w:link w:val="6"/>
    <w:uiPriority w:val="0"/>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3725</Words>
  <Characters>21238</Characters>
  <Lines>176</Lines>
  <Paragraphs>49</Paragraphs>
  <TotalTime>6</TotalTime>
  <ScaleCrop>false</ScaleCrop>
  <LinksUpToDate>false</LinksUpToDate>
  <CharactersWithSpaces>24914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2024-01-30T15:09:00Z</dcterms:created>
  <dc:creator>Administrator</dc:creator>
  <cp:lastModifiedBy>善恶双子</cp:lastModifiedBy>
  <dcterms:modified xsi:type="dcterms:W3CDTF">2025-09-10T01:51:46Z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