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20</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一、保定市莲池区委网络安全和信息化委员会办公室本级收支预算</w:t>
      </w:r>
      <w:r>
        <w:tab/>
      </w:r>
      <w:r>
        <w:fldChar w:fldCharType="begin"/>
      </w:r>
      <w:r>
        <w:instrText xml:space="preserve">PAGEREF _Toc_4_4_0000000021 \h</w:instrText>
      </w:r>
      <w:r>
        <w:fldChar w:fldCharType="separate"/>
      </w:r>
      <w:r>
        <w:t>22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199.91</w:t>
            </w:r>
          </w:p>
        </w:tc>
        <w:tc>
          <w:tcPr>
            <w:tcW w:w="4535" w:type="dxa"/>
            <w:vAlign w:val="center"/>
          </w:tcPr>
          <w:p>
            <w:pPr>
              <w:pStyle w:val="14"/>
            </w:pPr>
            <w:r>
              <w:t>一、一般公共服务支出</w:t>
            </w:r>
          </w:p>
        </w:tc>
        <w:tc>
          <w:tcPr>
            <w:tcW w:w="2126" w:type="dxa"/>
            <w:vAlign w:val="center"/>
          </w:tcPr>
          <w:p>
            <w:pPr>
              <w:pStyle w:val="13"/>
            </w:pPr>
            <w:r>
              <w:t>199.91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199.91</w:t>
            </w:r>
          </w:p>
        </w:tc>
        <w:tc>
          <w:tcPr>
            <w:tcW w:w="4535" w:type="dxa"/>
            <w:vAlign w:val="center"/>
          </w:tcPr>
          <w:p>
            <w:pPr>
              <w:pStyle w:val="16"/>
            </w:pPr>
            <w:r>
              <w:t>本年支出合计</w:t>
            </w:r>
          </w:p>
        </w:tc>
        <w:tc>
          <w:tcPr>
            <w:tcW w:w="2126" w:type="dxa"/>
            <w:vAlign w:val="center"/>
          </w:tcPr>
          <w:p>
            <w:pPr>
              <w:pStyle w:val="17"/>
            </w:pPr>
            <w:r>
              <w:t>199.91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199.91</w:t>
            </w:r>
          </w:p>
        </w:tc>
        <w:tc>
          <w:tcPr>
            <w:tcW w:w="4535" w:type="dxa"/>
            <w:vAlign w:val="center"/>
          </w:tcPr>
          <w:p>
            <w:pPr>
              <w:pStyle w:val="16"/>
            </w:pPr>
            <w:r>
              <w:t>支出总计</w:t>
            </w:r>
          </w:p>
        </w:tc>
        <w:tc>
          <w:tcPr>
            <w:tcW w:w="2126" w:type="dxa"/>
            <w:vAlign w:val="center"/>
          </w:tcPr>
          <w:p>
            <w:pPr>
              <w:pStyle w:val="17"/>
            </w:pPr>
            <w:r>
              <w:t>199.91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199.91</w:t>
            </w:r>
          </w:p>
        </w:tc>
        <w:tc>
          <w:tcPr>
            <w:tcW w:w="1134" w:type="dxa"/>
            <w:vAlign w:val="center"/>
          </w:tcPr>
          <w:p>
            <w:pPr>
              <w:pStyle w:val="17"/>
            </w:pPr>
            <w:r>
              <w:t>199.91</w:t>
            </w:r>
          </w:p>
        </w:tc>
        <w:tc>
          <w:tcPr>
            <w:tcW w:w="1134" w:type="dxa"/>
            <w:vAlign w:val="center"/>
          </w:tcPr>
          <w:p>
            <w:pPr>
              <w:pStyle w:val="17"/>
            </w:pPr>
            <w:r>
              <w:t>199.91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199.91</w:t>
            </w:r>
          </w:p>
        </w:tc>
        <w:tc>
          <w:tcPr>
            <w:tcW w:w="1134" w:type="dxa"/>
            <w:vAlign w:val="center"/>
          </w:tcPr>
          <w:p>
            <w:pPr>
              <w:pStyle w:val="13"/>
            </w:pPr>
            <w:r>
              <w:t>199.91</w:t>
            </w:r>
          </w:p>
        </w:tc>
        <w:tc>
          <w:tcPr>
            <w:tcW w:w="1134" w:type="dxa"/>
            <w:vAlign w:val="center"/>
          </w:tcPr>
          <w:p>
            <w:pPr>
              <w:pStyle w:val="13"/>
            </w:pPr>
            <w:r>
              <w:t>199.91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5"/>
            </w:pPr>
            <w:r>
              <w:t>3</w:t>
            </w:r>
          </w:p>
        </w:tc>
        <w:tc>
          <w:tcPr>
            <w:tcW w:w="992" w:type="dxa"/>
            <w:vAlign w:val="center"/>
          </w:tcPr>
          <w:p>
            <w:pPr>
              <w:pStyle w:val="14"/>
            </w:pPr>
            <w:r>
              <w:t>20137</w:t>
            </w:r>
          </w:p>
        </w:tc>
        <w:tc>
          <w:tcPr>
            <w:tcW w:w="1559" w:type="dxa"/>
            <w:vAlign w:val="center"/>
          </w:tcPr>
          <w:p>
            <w:pPr>
              <w:pStyle w:val="14"/>
            </w:pPr>
            <w:r>
              <w:t>网信事务</w:t>
            </w:r>
          </w:p>
        </w:tc>
        <w:tc>
          <w:tcPr>
            <w:tcW w:w="1134" w:type="dxa"/>
            <w:vAlign w:val="center"/>
          </w:tcPr>
          <w:p>
            <w:pPr>
              <w:pStyle w:val="13"/>
            </w:pPr>
            <w:r>
              <w:t>199.91</w:t>
            </w:r>
          </w:p>
        </w:tc>
        <w:tc>
          <w:tcPr>
            <w:tcW w:w="1134" w:type="dxa"/>
            <w:vAlign w:val="center"/>
          </w:tcPr>
          <w:p>
            <w:pPr>
              <w:pStyle w:val="13"/>
            </w:pPr>
            <w:r>
              <w:t>199.91</w:t>
            </w:r>
          </w:p>
        </w:tc>
        <w:tc>
          <w:tcPr>
            <w:tcW w:w="1134" w:type="dxa"/>
            <w:vAlign w:val="center"/>
          </w:tcPr>
          <w:p>
            <w:pPr>
              <w:pStyle w:val="13"/>
            </w:pPr>
            <w:r>
              <w:t>199.91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2013701</w:t>
            </w:r>
          </w:p>
        </w:tc>
        <w:tc>
          <w:tcPr>
            <w:tcW w:w="1559" w:type="dxa"/>
            <w:vAlign w:val="center"/>
          </w:tcPr>
          <w:p>
            <w:pPr>
              <w:pStyle w:val="14"/>
            </w:pPr>
            <w:r>
              <w:t>行政运行</w:t>
            </w:r>
          </w:p>
        </w:tc>
        <w:tc>
          <w:tcPr>
            <w:tcW w:w="1134" w:type="dxa"/>
            <w:vAlign w:val="center"/>
          </w:tcPr>
          <w:p>
            <w:pPr>
              <w:pStyle w:val="13"/>
            </w:pPr>
            <w:r>
              <w:t>149.91</w:t>
            </w:r>
          </w:p>
        </w:tc>
        <w:tc>
          <w:tcPr>
            <w:tcW w:w="1134" w:type="dxa"/>
            <w:vAlign w:val="center"/>
          </w:tcPr>
          <w:p>
            <w:pPr>
              <w:pStyle w:val="13"/>
            </w:pPr>
            <w:r>
              <w:t>149.91</w:t>
            </w:r>
          </w:p>
        </w:tc>
        <w:tc>
          <w:tcPr>
            <w:tcW w:w="1134" w:type="dxa"/>
            <w:vAlign w:val="center"/>
          </w:tcPr>
          <w:p>
            <w:pPr>
              <w:pStyle w:val="13"/>
            </w:pPr>
            <w:r>
              <w:t>149.91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5"/>
            </w:pPr>
            <w:r>
              <w:t>5</w:t>
            </w:r>
          </w:p>
        </w:tc>
        <w:tc>
          <w:tcPr>
            <w:tcW w:w="992" w:type="dxa"/>
            <w:vAlign w:val="center"/>
          </w:tcPr>
          <w:p>
            <w:pPr>
              <w:pStyle w:val="14"/>
            </w:pPr>
            <w:r>
              <w:t>2013702</w:t>
            </w:r>
          </w:p>
        </w:tc>
        <w:tc>
          <w:tcPr>
            <w:tcW w:w="1559" w:type="dxa"/>
            <w:vAlign w:val="center"/>
          </w:tcPr>
          <w:p>
            <w:pPr>
              <w:pStyle w:val="14"/>
            </w:pPr>
            <w:r>
              <w:t>一般行政管理事务</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2013799</w:t>
            </w:r>
          </w:p>
        </w:tc>
        <w:tc>
          <w:tcPr>
            <w:tcW w:w="1559" w:type="dxa"/>
            <w:vAlign w:val="center"/>
          </w:tcPr>
          <w:p>
            <w:pPr>
              <w:pStyle w:val="14"/>
            </w:pPr>
            <w:r>
              <w:t>其他网信事务支出</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199.91</w:t>
            </w:r>
          </w:p>
        </w:tc>
        <w:tc>
          <w:tcPr>
            <w:tcW w:w="1361" w:type="dxa"/>
            <w:vAlign w:val="center"/>
          </w:tcPr>
          <w:p>
            <w:pPr>
              <w:pStyle w:val="17"/>
            </w:pPr>
            <w:r>
              <w:t>149.91</w:t>
            </w:r>
          </w:p>
        </w:tc>
        <w:tc>
          <w:tcPr>
            <w:tcW w:w="1361" w:type="dxa"/>
            <w:vAlign w:val="center"/>
          </w:tcPr>
          <w:p>
            <w:pPr>
              <w:pStyle w:val="17"/>
            </w:pPr>
            <w:r>
              <w:t>50.00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199.91</w:t>
            </w:r>
          </w:p>
        </w:tc>
        <w:tc>
          <w:tcPr>
            <w:tcW w:w="1361" w:type="dxa"/>
            <w:vAlign w:val="center"/>
          </w:tcPr>
          <w:p>
            <w:pPr>
              <w:pStyle w:val="13"/>
            </w:pPr>
            <w:r>
              <w:t>149.91</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5"/>
            </w:pPr>
            <w:r>
              <w:t>3</w:t>
            </w:r>
          </w:p>
        </w:tc>
        <w:tc>
          <w:tcPr>
            <w:tcW w:w="992" w:type="dxa"/>
            <w:vAlign w:val="center"/>
          </w:tcPr>
          <w:p>
            <w:pPr>
              <w:pStyle w:val="14"/>
            </w:pPr>
            <w:r>
              <w:t>20137</w:t>
            </w:r>
          </w:p>
        </w:tc>
        <w:tc>
          <w:tcPr>
            <w:tcW w:w="4535" w:type="dxa"/>
            <w:vAlign w:val="center"/>
          </w:tcPr>
          <w:p>
            <w:pPr>
              <w:pStyle w:val="14"/>
            </w:pPr>
            <w:r>
              <w:t>网信事务</w:t>
            </w:r>
          </w:p>
        </w:tc>
        <w:tc>
          <w:tcPr>
            <w:tcW w:w="1361" w:type="dxa"/>
            <w:vAlign w:val="center"/>
          </w:tcPr>
          <w:p>
            <w:pPr>
              <w:pStyle w:val="13"/>
            </w:pPr>
            <w:r>
              <w:t>199.91</w:t>
            </w:r>
          </w:p>
        </w:tc>
        <w:tc>
          <w:tcPr>
            <w:tcW w:w="1361" w:type="dxa"/>
            <w:vAlign w:val="center"/>
          </w:tcPr>
          <w:p>
            <w:pPr>
              <w:pStyle w:val="13"/>
            </w:pPr>
            <w:r>
              <w:t>149.91</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2013701</w:t>
            </w:r>
          </w:p>
        </w:tc>
        <w:tc>
          <w:tcPr>
            <w:tcW w:w="4535" w:type="dxa"/>
            <w:vAlign w:val="center"/>
          </w:tcPr>
          <w:p>
            <w:pPr>
              <w:pStyle w:val="14"/>
            </w:pPr>
            <w:r>
              <w:t>行政运行</w:t>
            </w:r>
          </w:p>
        </w:tc>
        <w:tc>
          <w:tcPr>
            <w:tcW w:w="1361" w:type="dxa"/>
            <w:vAlign w:val="center"/>
          </w:tcPr>
          <w:p>
            <w:pPr>
              <w:pStyle w:val="13"/>
            </w:pPr>
            <w:r>
              <w:t>149.91</w:t>
            </w:r>
          </w:p>
        </w:tc>
        <w:tc>
          <w:tcPr>
            <w:tcW w:w="1361" w:type="dxa"/>
            <w:vAlign w:val="center"/>
          </w:tcPr>
          <w:p>
            <w:pPr>
              <w:pStyle w:val="13"/>
            </w:pPr>
            <w:r>
              <w:t>149.91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5"/>
            </w:pPr>
            <w:r>
              <w:t>5</w:t>
            </w:r>
          </w:p>
        </w:tc>
        <w:tc>
          <w:tcPr>
            <w:tcW w:w="992" w:type="dxa"/>
            <w:vAlign w:val="center"/>
          </w:tcPr>
          <w:p>
            <w:pPr>
              <w:pStyle w:val="14"/>
            </w:pPr>
            <w:r>
              <w:t>2013702</w:t>
            </w:r>
          </w:p>
        </w:tc>
        <w:tc>
          <w:tcPr>
            <w:tcW w:w="4535" w:type="dxa"/>
            <w:vAlign w:val="center"/>
          </w:tcPr>
          <w:p>
            <w:pPr>
              <w:pStyle w:val="14"/>
            </w:pPr>
            <w:r>
              <w:t>一般行政管理事务</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5"/>
            </w:pPr>
            <w:r>
              <w:t>6</w:t>
            </w:r>
          </w:p>
        </w:tc>
        <w:tc>
          <w:tcPr>
            <w:tcW w:w="992" w:type="dxa"/>
            <w:vAlign w:val="center"/>
          </w:tcPr>
          <w:p>
            <w:pPr>
              <w:pStyle w:val="14"/>
            </w:pPr>
            <w:r>
              <w:t>2013799</w:t>
            </w:r>
          </w:p>
        </w:tc>
        <w:tc>
          <w:tcPr>
            <w:tcW w:w="4535" w:type="dxa"/>
            <w:vAlign w:val="center"/>
          </w:tcPr>
          <w:p>
            <w:pPr>
              <w:pStyle w:val="14"/>
            </w:pPr>
            <w:r>
              <w:t>其他网信事务支出</w:t>
            </w: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199.91</w:t>
            </w:r>
          </w:p>
        </w:tc>
        <w:tc>
          <w:tcPr>
            <w:tcW w:w="3402" w:type="dxa"/>
            <w:vAlign w:val="center"/>
          </w:tcPr>
          <w:p>
            <w:pPr>
              <w:pStyle w:val="14"/>
            </w:pPr>
            <w:r>
              <w:t>一、一般公共服务支出</w:t>
            </w:r>
          </w:p>
        </w:tc>
        <w:tc>
          <w:tcPr>
            <w:tcW w:w="1474" w:type="dxa"/>
            <w:vAlign w:val="center"/>
          </w:tcPr>
          <w:p>
            <w:pPr>
              <w:pStyle w:val="13"/>
            </w:pPr>
            <w:r>
              <w:t>199.91</w:t>
            </w:r>
          </w:p>
        </w:tc>
        <w:tc>
          <w:tcPr>
            <w:tcW w:w="1474" w:type="dxa"/>
            <w:vAlign w:val="center"/>
          </w:tcPr>
          <w:p>
            <w:pPr>
              <w:pStyle w:val="13"/>
            </w:pPr>
            <w:r>
              <w:t>199.91</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199.91</w:t>
            </w:r>
          </w:p>
        </w:tc>
        <w:tc>
          <w:tcPr>
            <w:tcW w:w="3402" w:type="dxa"/>
            <w:vAlign w:val="center"/>
          </w:tcPr>
          <w:p>
            <w:pPr>
              <w:pStyle w:val="16"/>
            </w:pPr>
            <w:r>
              <w:t>本年支出合计</w:t>
            </w:r>
          </w:p>
        </w:tc>
        <w:tc>
          <w:tcPr>
            <w:tcW w:w="1474" w:type="dxa"/>
            <w:vAlign w:val="center"/>
          </w:tcPr>
          <w:p>
            <w:pPr>
              <w:pStyle w:val="17"/>
            </w:pPr>
            <w:r>
              <w:t>199.91</w:t>
            </w:r>
          </w:p>
        </w:tc>
        <w:tc>
          <w:tcPr>
            <w:tcW w:w="1474" w:type="dxa"/>
            <w:vAlign w:val="center"/>
          </w:tcPr>
          <w:p>
            <w:pPr>
              <w:pStyle w:val="17"/>
            </w:pPr>
            <w:r>
              <w:t>199.91</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199.91</w:t>
            </w:r>
          </w:p>
        </w:tc>
        <w:tc>
          <w:tcPr>
            <w:tcW w:w="3402" w:type="dxa"/>
            <w:vAlign w:val="center"/>
          </w:tcPr>
          <w:p>
            <w:pPr>
              <w:pStyle w:val="16"/>
            </w:pPr>
            <w:r>
              <w:t>支出总计</w:t>
            </w:r>
          </w:p>
        </w:tc>
        <w:tc>
          <w:tcPr>
            <w:tcW w:w="1474" w:type="dxa"/>
            <w:vAlign w:val="center"/>
          </w:tcPr>
          <w:p>
            <w:pPr>
              <w:pStyle w:val="17"/>
            </w:pPr>
            <w:r>
              <w:t>199.91</w:t>
            </w:r>
          </w:p>
        </w:tc>
        <w:tc>
          <w:tcPr>
            <w:tcW w:w="1474" w:type="dxa"/>
            <w:vAlign w:val="center"/>
          </w:tcPr>
          <w:p>
            <w:pPr>
              <w:pStyle w:val="17"/>
            </w:pPr>
            <w:r>
              <w:t>199.91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199.91</w:t>
            </w:r>
          </w:p>
        </w:tc>
        <w:tc>
          <w:tcPr>
            <w:tcW w:w="2551" w:type="dxa"/>
            <w:vAlign w:val="center"/>
          </w:tcPr>
          <w:p>
            <w:pPr>
              <w:pStyle w:val="17"/>
            </w:pPr>
            <w:r>
              <w:t>149.91</w:t>
            </w:r>
          </w:p>
        </w:tc>
        <w:tc>
          <w:tcPr>
            <w:tcW w:w="2551" w:type="dxa"/>
            <w:vAlign w:val="center"/>
          </w:tcPr>
          <w:p>
            <w:pPr>
              <w:pStyle w:val="17"/>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199.91</w:t>
            </w:r>
          </w:p>
        </w:tc>
        <w:tc>
          <w:tcPr>
            <w:tcW w:w="2551" w:type="dxa"/>
            <w:vAlign w:val="center"/>
          </w:tcPr>
          <w:p>
            <w:pPr>
              <w:pStyle w:val="13"/>
            </w:pPr>
            <w:r>
              <w:t>149.91</w:t>
            </w:r>
          </w:p>
        </w:tc>
        <w:tc>
          <w:tcPr>
            <w:tcW w:w="2551" w:type="dxa"/>
            <w:vAlign w:val="center"/>
          </w:tcPr>
          <w:p>
            <w:pPr>
              <w:pStyle w:val="13"/>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20137</w:t>
            </w:r>
          </w:p>
        </w:tc>
        <w:tc>
          <w:tcPr>
            <w:tcW w:w="4535" w:type="dxa"/>
            <w:vAlign w:val="center"/>
          </w:tcPr>
          <w:p>
            <w:pPr>
              <w:pStyle w:val="14"/>
            </w:pPr>
            <w:r>
              <w:t>网信事务</w:t>
            </w:r>
          </w:p>
        </w:tc>
        <w:tc>
          <w:tcPr>
            <w:tcW w:w="2551" w:type="dxa"/>
            <w:vAlign w:val="center"/>
          </w:tcPr>
          <w:p>
            <w:pPr>
              <w:pStyle w:val="13"/>
            </w:pPr>
            <w:r>
              <w:t>199.91</w:t>
            </w:r>
          </w:p>
        </w:tc>
        <w:tc>
          <w:tcPr>
            <w:tcW w:w="2551" w:type="dxa"/>
            <w:vAlign w:val="center"/>
          </w:tcPr>
          <w:p>
            <w:pPr>
              <w:pStyle w:val="13"/>
            </w:pPr>
            <w:r>
              <w:t>149.91</w:t>
            </w:r>
          </w:p>
        </w:tc>
        <w:tc>
          <w:tcPr>
            <w:tcW w:w="2551" w:type="dxa"/>
            <w:vAlign w:val="center"/>
          </w:tcPr>
          <w:p>
            <w:pPr>
              <w:pStyle w:val="13"/>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2013701</w:t>
            </w:r>
          </w:p>
        </w:tc>
        <w:tc>
          <w:tcPr>
            <w:tcW w:w="4535" w:type="dxa"/>
            <w:vAlign w:val="center"/>
          </w:tcPr>
          <w:p>
            <w:pPr>
              <w:pStyle w:val="14"/>
            </w:pPr>
            <w:r>
              <w:t>行政运行</w:t>
            </w:r>
          </w:p>
        </w:tc>
        <w:tc>
          <w:tcPr>
            <w:tcW w:w="2551" w:type="dxa"/>
            <w:vAlign w:val="center"/>
          </w:tcPr>
          <w:p>
            <w:pPr>
              <w:pStyle w:val="13"/>
            </w:pPr>
            <w:r>
              <w:t>149.91</w:t>
            </w:r>
          </w:p>
        </w:tc>
        <w:tc>
          <w:tcPr>
            <w:tcW w:w="2551" w:type="dxa"/>
            <w:vAlign w:val="center"/>
          </w:tcPr>
          <w:p>
            <w:pPr>
              <w:pStyle w:val="13"/>
            </w:pPr>
            <w:r>
              <w:t>149.91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2013702</w:t>
            </w:r>
          </w:p>
        </w:tc>
        <w:tc>
          <w:tcPr>
            <w:tcW w:w="4535" w:type="dxa"/>
            <w:vAlign w:val="center"/>
          </w:tcPr>
          <w:p>
            <w:pPr>
              <w:pStyle w:val="14"/>
            </w:pPr>
            <w:r>
              <w:t>一般行政管理事务</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2013799</w:t>
            </w:r>
          </w:p>
        </w:tc>
        <w:tc>
          <w:tcPr>
            <w:tcW w:w="4535" w:type="dxa"/>
            <w:vAlign w:val="center"/>
          </w:tcPr>
          <w:p>
            <w:pPr>
              <w:pStyle w:val="14"/>
            </w:pPr>
            <w:r>
              <w:t>其他网信事务支出</w:t>
            </w:r>
          </w:p>
        </w:tc>
        <w:tc>
          <w:tcPr>
            <w:tcW w:w="2551" w:type="dxa"/>
            <w:vAlign w:val="center"/>
          </w:tcPr>
          <w:p>
            <w:pPr>
              <w:pStyle w:val="13"/>
            </w:pPr>
            <w:r>
              <w:t>35.00</w:t>
            </w:r>
          </w:p>
        </w:tc>
        <w:tc>
          <w:tcPr>
            <w:tcW w:w="2551" w:type="dxa"/>
            <w:vAlign w:val="center"/>
          </w:tcPr>
          <w:p>
            <w:pPr>
              <w:pStyle w:val="13"/>
            </w:pPr>
          </w:p>
        </w:tc>
        <w:tc>
          <w:tcPr>
            <w:tcW w:w="2551" w:type="dxa"/>
            <w:vAlign w:val="center"/>
          </w:tcPr>
          <w:p>
            <w:pPr>
              <w:pStyle w:val="13"/>
            </w:pPr>
            <w:r>
              <w:t>35.00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149.91</w:t>
            </w:r>
          </w:p>
        </w:tc>
        <w:tc>
          <w:tcPr>
            <w:tcW w:w="2551" w:type="dxa"/>
            <w:vAlign w:val="center"/>
          </w:tcPr>
          <w:p>
            <w:pPr>
              <w:pStyle w:val="17"/>
            </w:pPr>
            <w:r>
              <w:t>138.08</w:t>
            </w:r>
          </w:p>
        </w:tc>
        <w:tc>
          <w:tcPr>
            <w:tcW w:w="2551" w:type="dxa"/>
            <w:vAlign w:val="center"/>
          </w:tcPr>
          <w:p>
            <w:pPr>
              <w:pStyle w:val="17"/>
            </w:pPr>
            <w:r>
              <w:t>11.83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138.08</w:t>
            </w:r>
          </w:p>
        </w:tc>
        <w:tc>
          <w:tcPr>
            <w:tcW w:w="2551" w:type="dxa"/>
            <w:vAlign w:val="center"/>
          </w:tcPr>
          <w:p>
            <w:pPr>
              <w:pStyle w:val="13"/>
            </w:pPr>
            <w:r>
              <w:t>138.08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38.00</w:t>
            </w:r>
          </w:p>
        </w:tc>
        <w:tc>
          <w:tcPr>
            <w:tcW w:w="2551" w:type="dxa"/>
            <w:vAlign w:val="center"/>
          </w:tcPr>
          <w:p>
            <w:pPr>
              <w:pStyle w:val="13"/>
            </w:pPr>
            <w:r>
              <w:t>38.00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31.02</w:t>
            </w:r>
          </w:p>
        </w:tc>
        <w:tc>
          <w:tcPr>
            <w:tcW w:w="2551" w:type="dxa"/>
            <w:vAlign w:val="center"/>
          </w:tcPr>
          <w:p>
            <w:pPr>
              <w:pStyle w:val="13"/>
            </w:pPr>
            <w:r>
              <w:t>31.02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27.00</w:t>
            </w:r>
          </w:p>
        </w:tc>
        <w:tc>
          <w:tcPr>
            <w:tcW w:w="2551" w:type="dxa"/>
            <w:vAlign w:val="center"/>
          </w:tcPr>
          <w:p>
            <w:pPr>
              <w:pStyle w:val="13"/>
            </w:pPr>
            <w:r>
              <w:t>27.00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8.00</w:t>
            </w:r>
          </w:p>
        </w:tc>
        <w:tc>
          <w:tcPr>
            <w:tcW w:w="2551" w:type="dxa"/>
            <w:vAlign w:val="center"/>
          </w:tcPr>
          <w:p>
            <w:pPr>
              <w:pStyle w:val="13"/>
            </w:pPr>
            <w:r>
              <w:t>8.00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13.00</w:t>
            </w:r>
          </w:p>
        </w:tc>
        <w:tc>
          <w:tcPr>
            <w:tcW w:w="2551" w:type="dxa"/>
            <w:vAlign w:val="center"/>
          </w:tcPr>
          <w:p>
            <w:pPr>
              <w:pStyle w:val="13"/>
            </w:pPr>
            <w:r>
              <w:t>13.00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5.06</w:t>
            </w:r>
          </w:p>
        </w:tc>
        <w:tc>
          <w:tcPr>
            <w:tcW w:w="2551" w:type="dxa"/>
            <w:vAlign w:val="center"/>
          </w:tcPr>
          <w:p>
            <w:pPr>
              <w:pStyle w:val="13"/>
            </w:pPr>
            <w:r>
              <w:t>5.06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3.00</w:t>
            </w:r>
          </w:p>
        </w:tc>
        <w:tc>
          <w:tcPr>
            <w:tcW w:w="2551" w:type="dxa"/>
            <w:vAlign w:val="center"/>
          </w:tcPr>
          <w:p>
            <w:pPr>
              <w:pStyle w:val="13"/>
            </w:pPr>
            <w:r>
              <w:t>3.00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2.00</w:t>
            </w:r>
          </w:p>
        </w:tc>
        <w:tc>
          <w:tcPr>
            <w:tcW w:w="2551" w:type="dxa"/>
            <w:vAlign w:val="center"/>
          </w:tcPr>
          <w:p>
            <w:pPr>
              <w:pStyle w:val="13"/>
            </w:pPr>
            <w:r>
              <w:t>2.00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11.00</w:t>
            </w:r>
          </w:p>
        </w:tc>
        <w:tc>
          <w:tcPr>
            <w:tcW w:w="2551" w:type="dxa"/>
            <w:vAlign w:val="center"/>
          </w:tcPr>
          <w:p>
            <w:pPr>
              <w:pStyle w:val="13"/>
            </w:pPr>
            <w:r>
              <w:t>11.00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11.83</w:t>
            </w:r>
          </w:p>
        </w:tc>
        <w:tc>
          <w:tcPr>
            <w:tcW w:w="2551" w:type="dxa"/>
            <w:vAlign w:val="center"/>
          </w:tcPr>
          <w:p>
            <w:pPr>
              <w:pStyle w:val="13"/>
            </w:pPr>
          </w:p>
        </w:tc>
        <w:tc>
          <w:tcPr>
            <w:tcW w:w="2551" w:type="dxa"/>
            <w:vAlign w:val="center"/>
          </w:tcPr>
          <w:p>
            <w:pPr>
              <w:pStyle w:val="13"/>
            </w:pPr>
            <w:r>
              <w:t>11.83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1.62</w:t>
            </w:r>
          </w:p>
        </w:tc>
        <w:tc>
          <w:tcPr>
            <w:tcW w:w="2551" w:type="dxa"/>
            <w:vAlign w:val="center"/>
          </w:tcPr>
          <w:p>
            <w:pPr>
              <w:pStyle w:val="13"/>
            </w:pPr>
          </w:p>
        </w:tc>
        <w:tc>
          <w:tcPr>
            <w:tcW w:w="2551" w:type="dxa"/>
            <w:vAlign w:val="center"/>
          </w:tcPr>
          <w:p>
            <w:pPr>
              <w:pStyle w:val="13"/>
            </w:pPr>
            <w:r>
              <w:t>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3.54</w:t>
            </w:r>
          </w:p>
        </w:tc>
        <w:tc>
          <w:tcPr>
            <w:tcW w:w="2551" w:type="dxa"/>
            <w:vAlign w:val="center"/>
          </w:tcPr>
          <w:p>
            <w:pPr>
              <w:pStyle w:val="13"/>
            </w:pPr>
          </w:p>
        </w:tc>
        <w:tc>
          <w:tcPr>
            <w:tcW w:w="2551" w:type="dxa"/>
            <w:vAlign w:val="center"/>
          </w:tcPr>
          <w:p>
            <w:pPr>
              <w:pStyle w:val="13"/>
            </w:pPr>
            <w:r>
              <w:t>3.54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0.74</w:t>
            </w:r>
          </w:p>
        </w:tc>
        <w:tc>
          <w:tcPr>
            <w:tcW w:w="2551" w:type="dxa"/>
            <w:vAlign w:val="center"/>
          </w:tcPr>
          <w:p>
            <w:pPr>
              <w:pStyle w:val="13"/>
            </w:pPr>
          </w:p>
        </w:tc>
        <w:tc>
          <w:tcPr>
            <w:tcW w:w="2551" w:type="dxa"/>
            <w:vAlign w:val="center"/>
          </w:tcPr>
          <w:p>
            <w:pPr>
              <w:pStyle w:val="13"/>
            </w:pPr>
            <w:r>
              <w:t>0.74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0.88</w:t>
            </w:r>
          </w:p>
        </w:tc>
        <w:tc>
          <w:tcPr>
            <w:tcW w:w="2551" w:type="dxa"/>
            <w:vAlign w:val="center"/>
          </w:tcPr>
          <w:p>
            <w:pPr>
              <w:pStyle w:val="13"/>
            </w:pPr>
          </w:p>
        </w:tc>
        <w:tc>
          <w:tcPr>
            <w:tcW w:w="2551" w:type="dxa"/>
            <w:vAlign w:val="center"/>
          </w:tcPr>
          <w:p>
            <w:pPr>
              <w:pStyle w:val="13"/>
            </w:pPr>
            <w:r>
              <w:t>0.88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0.05</w:t>
            </w:r>
          </w:p>
        </w:tc>
        <w:tc>
          <w:tcPr>
            <w:tcW w:w="2551" w:type="dxa"/>
            <w:vAlign w:val="center"/>
          </w:tcPr>
          <w:p>
            <w:pPr>
              <w:pStyle w:val="13"/>
            </w:pPr>
          </w:p>
        </w:tc>
        <w:tc>
          <w:tcPr>
            <w:tcW w:w="2551" w:type="dxa"/>
            <w:vAlign w:val="center"/>
          </w:tcPr>
          <w:p>
            <w:pPr>
              <w:pStyle w:val="13"/>
            </w:pPr>
            <w:r>
              <w:t>0.05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保定市莲池区委网络安全和信息化委员会办公室2025年部门预算信息公开情况说明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保定市莲池区委网络安全和信息化委员会办公室2025年部门预算信息公开情况说明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按照《中华人民共和国预算法》、《地方预决算公开操作规程》和《关于进一步推进预算公开工作的实施意见》规定，现将保定市莲池区委网络安全和信息化委员会办公室2025年部门预算公开如下：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rPr>
          <w:rFonts w:hint="eastAsia" w:ascii="仿宋_GB2312" w:hAnsi="仿宋_GB2312" w:eastAsia="仿宋_GB2312" w:cs="仿宋_GB2312"/>
          <w:sz w:val="32"/>
          <w:szCs w:val="32"/>
          <w:lang w:eastAsia="zh-CN"/>
        </w:rPr>
        <w:t>中共保定市莲池区委网络安全和信息化委员会办公室部门职责内容属涉密信息，不予公开。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保定市莲池区委网络安全和信息化委员会办公室本级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rPr>
          <w:rFonts w:ascii="黑体" w:hAnsi="黑体" w:eastAsia="黑体" w:cs="黑体"/>
          <w:color w:val="000000"/>
          <w:sz w:val="32"/>
        </w:rPr>
      </w:pPr>
      <w:bookmarkStart w:id="10" w:name="_Toc_3_3_0000000011"/>
    </w:p>
    <w:p>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pPr>
        <w:pStyle w:val="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按照预算管理有关规定，目前部门预算的编制实行综合预算管理，即全部收入和支出都反映在预算中。保定市莲池区委网络安全和信息化委员会办公室机关及所属事业单位的收支包含在部门预算中。</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、收入说明</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反映本部门当年全部收入。2025年预算收入199.91</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其中：一般公共预算收入199.91万元，基金预算收入0.00万元，国有资本经营预算收入0.00万元，财政专户核拨收入0.00万元，单位资金收入0.00万元，上年结转结余0.00万元。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、支出说明</w:t>
      </w:r>
    </w:p>
    <w:p>
      <w:pPr>
        <w:widowControl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收支预算总表支出栏、基本支出表、项目支出表按经济分类和支出功能分类科目编制，反映保定市莲池区委网络安全和信息化委员会办公室年度部门预算中支出预算的总体情况。</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lang w:eastAsia="zh-CN"/>
        </w:rPr>
        <w:t>199.91</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eastAsia="zh-CN"/>
        </w:rPr>
        <w:t>149.91</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其中：人员经费</w:t>
      </w:r>
      <w:r>
        <w:rPr>
          <w:rFonts w:hint="eastAsia" w:ascii="仿宋_GB2312" w:hAnsi="仿宋_GB2312" w:eastAsia="仿宋_GB2312" w:cs="仿宋_GB2312"/>
          <w:sz w:val="32"/>
          <w:szCs w:val="32"/>
          <w:lang w:eastAsia="zh-CN"/>
        </w:rPr>
        <w:t>138.08</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日常公用经费</w:t>
      </w:r>
      <w:r>
        <w:rPr>
          <w:rFonts w:hint="eastAsia" w:ascii="仿宋_GB2312" w:hAnsi="仿宋_GB2312" w:eastAsia="仿宋_GB2312" w:cs="仿宋_GB2312"/>
          <w:sz w:val="32"/>
          <w:szCs w:val="32"/>
          <w:lang w:eastAsia="zh-CN"/>
        </w:rPr>
        <w:t>11.83</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专项公用支出</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.00</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其中：</w:t>
      </w:r>
      <w:r>
        <w:rPr>
          <w:rFonts w:hint="eastAsia" w:ascii="仿宋_GB2312" w:hAnsi="仿宋_GB2312" w:eastAsia="仿宋_GB2312" w:cs="仿宋_GB2312"/>
          <w:sz w:val="32"/>
          <w:szCs w:val="32"/>
          <w:lang w:eastAsia="zh-CN"/>
        </w:rPr>
        <w:t>综合业务费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15</w:t>
      </w:r>
      <w:r>
        <w:rPr>
          <w:rFonts w:hint="eastAsia" w:ascii="仿宋_GB2312" w:hAnsi="仿宋_GB2312" w:eastAsia="仿宋_GB2312" w:cs="仿宋_GB2312"/>
          <w:sz w:val="32"/>
          <w:szCs w:val="32"/>
        </w:rPr>
        <w:t>万元</w:t>
      </w:r>
    </w:p>
    <w:p>
      <w:pPr>
        <w:widowControl w:val="0"/>
        <w:spacing w:line="560" w:lineRule="exact"/>
        <w:ind w:firstLine="1920" w:firstLineChars="6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网络舆情系统</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20万元</w:t>
      </w:r>
    </w:p>
    <w:p>
      <w:pPr>
        <w:widowControl w:val="0"/>
        <w:spacing w:line="560" w:lineRule="exact"/>
        <w:ind w:firstLine="1920" w:firstLineChars="6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自媒体宣传专项经费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15</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、比上年增减情况</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本年度预算收支安排</w:t>
      </w:r>
      <w:r>
        <w:rPr>
          <w:rFonts w:hint="eastAsia" w:ascii="仿宋_GB2312" w:hAnsi="仿宋_GB2312" w:eastAsia="仿宋_GB2312" w:cs="仿宋_GB2312"/>
          <w:sz w:val="32"/>
          <w:szCs w:val="32"/>
          <w:lang w:eastAsia="zh-CN"/>
        </w:rPr>
        <w:t>199.91万元，</w:t>
      </w:r>
      <w:r>
        <w:rPr>
          <w:rFonts w:hint="eastAsia" w:ascii="仿宋_GB2312" w:hAnsi="仿宋_GB2312" w:eastAsia="仿宋_GB2312" w:cs="仿宋_GB2312"/>
          <w:sz w:val="32"/>
          <w:szCs w:val="32"/>
        </w:rPr>
        <w:t>较上年</w:t>
      </w:r>
      <w:r>
        <w:rPr>
          <w:rFonts w:hint="eastAsia" w:ascii="仿宋_GB2312" w:hAnsi="仿宋_GB2312" w:eastAsia="仿宋_GB2312" w:cs="仿宋_GB2312"/>
          <w:sz w:val="32"/>
          <w:szCs w:val="32"/>
          <w:lang w:val="en-US" w:eastAsia="zh-CN"/>
        </w:rPr>
        <w:t>减少3.91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减少3.91</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因</w:t>
      </w:r>
      <w:r>
        <w:rPr>
          <w:rFonts w:hint="eastAsia" w:ascii="仿宋_GB2312" w:hAnsi="仿宋_GB2312" w:eastAsia="仿宋_GB2312" w:cs="仿宋_GB2312"/>
          <w:sz w:val="32"/>
          <w:szCs w:val="32"/>
          <w:lang w:val="en-US" w:eastAsia="zh-CN"/>
        </w:rPr>
        <w:t>人员变动</w:t>
      </w:r>
      <w:r>
        <w:rPr>
          <w:rFonts w:hint="eastAsia" w:ascii="仿宋_GB2312" w:hAnsi="仿宋_GB2312" w:eastAsia="仿宋_GB2312" w:cs="仿宋_GB2312"/>
          <w:sz w:val="32"/>
          <w:szCs w:val="32"/>
          <w:lang w:eastAsia="zh-CN"/>
        </w:rPr>
        <w:t>，人员经费和日常公用经费</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sz w:val="32"/>
          <w:szCs w:val="32"/>
        </w:rPr>
        <w:t>。</w:t>
      </w:r>
    </w:p>
    <w:p>
      <w:pPr>
        <w:pStyle w:val="20"/>
        <w:ind w:left="0" w:leftChars="0" w:firstLine="0" w:firstLineChars="0"/>
        <w:rPr>
          <w:rFonts w:hint="eastAsia" w:ascii="仿宋_GB2312" w:hAnsi="仿宋_GB2312" w:eastAsia="仿宋_GB2312" w:cs="仿宋_GB2312"/>
          <w:sz w:val="32"/>
          <w:szCs w:val="32"/>
          <w:lang w:eastAsia="zh-CN"/>
        </w:r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widowControl w:val="0"/>
        <w:spacing w:line="560" w:lineRule="exact"/>
        <w:ind w:firstLine="640" w:firstLineChars="200"/>
        <w:rPr>
          <w:rFonts w:hint="default" w:ascii="黑体" w:hAnsi="黑体" w:eastAsia="黑体" w:cs="黑体"/>
          <w:color w:val="000000"/>
          <w:sz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年，我部门机关运行经费安排</w:t>
      </w:r>
      <w:r>
        <w:rPr>
          <w:rFonts w:hint="eastAsia" w:ascii="仿宋_GB2312" w:hAnsi="仿宋_GB2312" w:eastAsia="仿宋_GB2312" w:cs="仿宋_GB2312"/>
          <w:sz w:val="32"/>
          <w:szCs w:val="32"/>
          <w:lang w:val="en-US" w:eastAsia="zh-CN"/>
        </w:rPr>
        <w:t>11.83</w:t>
      </w:r>
      <w:r>
        <w:rPr>
          <w:rFonts w:hint="eastAsia" w:ascii="仿宋_GB2312" w:hAnsi="仿宋_GB2312" w:eastAsia="仿宋_GB2312" w:cs="仿宋_GB2312"/>
          <w:sz w:val="32"/>
          <w:szCs w:val="32"/>
          <w:lang w:eastAsia="zh-CN"/>
        </w:rPr>
        <w:t>万元，其中：办公费</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lang w:eastAsia="zh-CN"/>
        </w:rPr>
        <w:t>万元，水费0万元，邮电费</w:t>
      </w:r>
      <w:r>
        <w:rPr>
          <w:rFonts w:hint="eastAsia" w:ascii="仿宋_GB2312" w:hAnsi="仿宋_GB2312" w:eastAsia="仿宋_GB2312" w:cs="仿宋_GB2312"/>
          <w:sz w:val="32"/>
          <w:szCs w:val="32"/>
          <w:lang w:val="en-US" w:eastAsia="zh-CN"/>
        </w:rPr>
        <w:t>3.54</w:t>
      </w:r>
      <w:r>
        <w:rPr>
          <w:rFonts w:hint="eastAsia" w:ascii="仿宋_GB2312" w:hAnsi="仿宋_GB2312" w:eastAsia="仿宋_GB2312" w:cs="仿宋_GB2312"/>
          <w:sz w:val="32"/>
          <w:szCs w:val="32"/>
          <w:lang w:eastAsia="zh-CN"/>
        </w:rPr>
        <w:t>万元，物业管理费0万元，差旅费0万元，维修（护）费0万元，工会经费和福利费</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lang w:eastAsia="zh-CN"/>
        </w:rPr>
        <w:t>万元，公务用车运行维护费0万元，其他交通费用</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万元，其他支出0.0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万元。</w:t>
      </w:r>
    </w:p>
    <w:p>
      <w:pPr>
        <w:pStyle w:val="21"/>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tbl>
      <w:tblPr>
        <w:tblStyle w:val="6"/>
        <w:tblW w:w="5000" w:type="pct"/>
        <w:tblInd w:w="0" w:type="dxa"/>
        <w:tblLayout w:type="autofit"/>
        <w:tblCellMar>
          <w:top w:w="0" w:type="dxa"/>
          <w:left w:w="108" w:type="dxa"/>
          <w:bottom w:w="0" w:type="dxa"/>
          <w:right w:w="108" w:type="dxa"/>
        </w:tblCellMar>
      </w:tblPr>
      <w:tblGrid>
        <w:gridCol w:w="3078"/>
        <w:gridCol w:w="2616"/>
        <w:gridCol w:w="2616"/>
        <w:gridCol w:w="2306"/>
        <w:gridCol w:w="4400"/>
      </w:tblGrid>
      <w:tr>
        <w:tblPrEx>
          <w:tblCellMar>
            <w:top w:w="0" w:type="dxa"/>
            <w:left w:w="108" w:type="dxa"/>
            <w:bottom w:w="0" w:type="dxa"/>
            <w:right w:w="108" w:type="dxa"/>
          </w:tblCellMar>
        </w:tblPrEx>
        <w:trPr>
          <w:trHeight w:val="405" w:hRule="atLeast"/>
        </w:trPr>
        <w:tc>
          <w:tcPr>
            <w:tcW w:w="5000" w:type="pct"/>
            <w:gridSpan w:val="5"/>
            <w:tcBorders>
              <w:top w:val="nil"/>
              <w:left w:val="nil"/>
              <w:bottom w:val="nil"/>
              <w:right w:val="nil"/>
            </w:tcBorders>
            <w:shd w:val="clear" w:color="auto" w:fill="auto"/>
            <w:noWrap/>
            <w:vAlign w:val="center"/>
          </w:tcPr>
          <w:p>
            <w:pPr>
              <w:spacing w:line="520" w:lineRule="exact"/>
              <w:jc w:val="center"/>
              <w:rPr>
                <w:rFonts w:ascii="黑体" w:hAnsi="黑体" w:eastAsia="黑体" w:cs="宋体"/>
                <w:color w:val="000000"/>
                <w:sz w:val="32"/>
                <w:szCs w:val="32"/>
              </w:rPr>
            </w:pPr>
            <w:r>
              <w:rPr>
                <w:rFonts w:hint="eastAsia" w:ascii="黑体" w:hAnsi="黑体" w:eastAsia="黑体"/>
                <w:color w:val="000000"/>
                <w:sz w:val="32"/>
                <w:szCs w:val="32"/>
              </w:rPr>
              <w:t>“三公”经费预算情况及增减变化原因</w:t>
            </w:r>
          </w:p>
        </w:tc>
      </w:tr>
      <w:tr>
        <w:tblPrEx>
          <w:tblCellMar>
            <w:top w:w="0" w:type="dxa"/>
            <w:left w:w="108" w:type="dxa"/>
            <w:bottom w:w="0" w:type="dxa"/>
            <w:right w:w="108" w:type="dxa"/>
          </w:tblCellMar>
        </w:tblPrEx>
        <w:trPr>
          <w:trHeight w:val="232" w:hRule="atLeast"/>
        </w:trPr>
        <w:tc>
          <w:tcPr>
            <w:tcW w:w="1025"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768" w:type="pct"/>
            <w:tcBorders>
              <w:top w:val="nil"/>
              <w:left w:val="nil"/>
              <w:bottom w:val="nil"/>
              <w:right w:val="nil"/>
            </w:tcBorders>
            <w:shd w:val="clear" w:color="auto" w:fill="auto"/>
            <w:noWrap/>
            <w:vAlign w:val="center"/>
          </w:tcPr>
          <w:p>
            <w:pPr>
              <w:rPr>
                <w:rFonts w:ascii="宋体" w:hAnsi="宋体" w:cs="宋体"/>
                <w:color w:val="000000"/>
              </w:rPr>
            </w:pPr>
          </w:p>
        </w:tc>
        <w:tc>
          <w:tcPr>
            <w:tcW w:w="1465" w:type="pct"/>
            <w:tcBorders>
              <w:top w:val="nil"/>
              <w:left w:val="nil"/>
              <w:bottom w:val="nil"/>
              <w:right w:val="nil"/>
            </w:tcBorders>
            <w:shd w:val="clear" w:color="auto" w:fill="auto"/>
            <w:noWrap/>
            <w:vAlign w:val="center"/>
          </w:tcPr>
          <w:p>
            <w:pPr>
              <w:jc w:val="right"/>
              <w:rPr>
                <w:rFonts w:ascii="宋体" w:hAnsi="宋体" w:cs="宋体"/>
                <w:color w:val="000000"/>
              </w:rPr>
            </w:pPr>
            <w:r>
              <w:rPr>
                <w:rFonts w:hint="eastAsia" w:ascii="宋体" w:hAnsi="宋体" w:cs="宋体"/>
                <w:color w:val="000000"/>
              </w:rPr>
              <w:t>单位：万元</w:t>
            </w:r>
          </w:p>
        </w:tc>
      </w:tr>
      <w:tr>
        <w:tblPrEx>
          <w:tblCellMar>
            <w:top w:w="0" w:type="dxa"/>
            <w:left w:w="108" w:type="dxa"/>
            <w:bottom w:w="0" w:type="dxa"/>
            <w:right w:w="108" w:type="dxa"/>
          </w:tblCellMar>
        </w:tblPrEx>
        <w:trPr>
          <w:trHeight w:val="285"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项目名称</w:t>
            </w:r>
          </w:p>
        </w:tc>
        <w:tc>
          <w:tcPr>
            <w:tcW w:w="87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202</w:t>
            </w:r>
            <w:r>
              <w:rPr>
                <w:rFonts w:hint="eastAsia" w:ascii="仿宋_GB2312" w:hAnsi="仿宋" w:eastAsia="仿宋_GB2312" w:cs="宋体"/>
                <w:color w:val="000000"/>
                <w:lang w:val="en-US" w:eastAsia="zh-CN"/>
              </w:rPr>
              <w:t>3</w:t>
            </w:r>
            <w:r>
              <w:rPr>
                <w:rFonts w:hint="eastAsia" w:ascii="仿宋_GB2312" w:hAnsi="仿宋" w:eastAsia="仿宋_GB2312" w:cs="宋体"/>
                <w:color w:val="000000"/>
              </w:rPr>
              <w:t>年度预算</w:t>
            </w:r>
          </w:p>
        </w:tc>
        <w:tc>
          <w:tcPr>
            <w:tcW w:w="87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202</w:t>
            </w:r>
            <w:r>
              <w:rPr>
                <w:rFonts w:hint="eastAsia" w:ascii="仿宋_GB2312" w:hAnsi="仿宋" w:eastAsia="仿宋_GB2312" w:cs="宋体"/>
                <w:color w:val="000000"/>
                <w:lang w:val="en-US" w:eastAsia="zh-CN"/>
              </w:rPr>
              <w:t>4</w:t>
            </w:r>
            <w:r>
              <w:rPr>
                <w:rFonts w:hint="eastAsia" w:ascii="仿宋_GB2312" w:hAnsi="仿宋" w:eastAsia="仿宋_GB2312" w:cs="宋体"/>
                <w:color w:val="000000"/>
              </w:rPr>
              <w:t>年度预算</w:t>
            </w:r>
          </w:p>
        </w:tc>
        <w:tc>
          <w:tcPr>
            <w:tcW w:w="768"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增减金额</w:t>
            </w:r>
          </w:p>
        </w:tc>
        <w:tc>
          <w:tcPr>
            <w:tcW w:w="1465"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变化原因</w:t>
            </w:r>
          </w:p>
        </w:tc>
      </w:tr>
      <w:tr>
        <w:tblPrEx>
          <w:tblCellMar>
            <w:top w:w="0" w:type="dxa"/>
            <w:left w:w="108" w:type="dxa"/>
            <w:bottom w:w="0" w:type="dxa"/>
            <w:right w:w="108" w:type="dxa"/>
          </w:tblCellMar>
        </w:tblPrEx>
        <w:trPr>
          <w:trHeight w:val="687"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因公出国经费</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lang w:eastAsia="zh-CN"/>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616"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公务用车购置经费</w:t>
            </w:r>
          </w:p>
        </w:tc>
        <w:tc>
          <w:tcPr>
            <w:tcW w:w="871"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609"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公务用车运行经费</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542"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公务接待费支出</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561"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合计</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285" w:hRule="atLeast"/>
        </w:trPr>
        <w:tc>
          <w:tcPr>
            <w:tcW w:w="1025"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768" w:type="pct"/>
            <w:tcBorders>
              <w:top w:val="nil"/>
              <w:left w:val="nil"/>
              <w:bottom w:val="nil"/>
              <w:right w:val="nil"/>
            </w:tcBorders>
            <w:shd w:val="clear" w:color="auto" w:fill="auto"/>
            <w:noWrap/>
            <w:vAlign w:val="center"/>
          </w:tcPr>
          <w:p>
            <w:pPr>
              <w:rPr>
                <w:rFonts w:ascii="宋体" w:hAnsi="宋体" w:cs="宋体"/>
                <w:color w:val="000000"/>
              </w:rPr>
            </w:pPr>
          </w:p>
        </w:tc>
        <w:tc>
          <w:tcPr>
            <w:tcW w:w="1465" w:type="pct"/>
            <w:tcBorders>
              <w:top w:val="nil"/>
              <w:left w:val="nil"/>
              <w:bottom w:val="nil"/>
              <w:right w:val="nil"/>
            </w:tcBorders>
            <w:shd w:val="clear" w:color="auto" w:fill="auto"/>
            <w:noWrap/>
            <w:vAlign w:val="center"/>
          </w:tcPr>
          <w:p>
            <w:pPr>
              <w:rPr>
                <w:rFonts w:ascii="宋体" w:hAnsi="宋体" w:cs="宋体"/>
                <w:color w:val="000000"/>
              </w:rPr>
            </w:pPr>
          </w:p>
        </w:tc>
      </w:tr>
    </w:tbl>
    <w:p>
      <w:pPr>
        <w:pStyle w:val="22"/>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（一）总体绩效目标</w:t>
      </w:r>
    </w:p>
    <w:p>
      <w:pPr>
        <w:pStyle w:val="23"/>
      </w:pPr>
      <w:r>
        <w:rPr>
          <w:rFonts w:hint="eastAsia" w:ascii="仿宋_GB2312" w:hAnsi="仿宋_GB2312" w:eastAsia="仿宋_GB2312" w:cs="仿宋_GB2312"/>
          <w:sz w:val="32"/>
          <w:szCs w:val="32"/>
          <w:lang w:val="en-US" w:eastAsia="uk-UA" w:bidi="ar-SA"/>
        </w:rPr>
        <w:t>202</w:t>
      </w:r>
      <w:r>
        <w:rPr>
          <w:rFonts w:hint="eastAsia" w:ascii="仿宋_GB2312" w:hAnsi="仿宋_GB2312" w:eastAsia="仿宋_GB2312" w:cs="仿宋_GB2312"/>
          <w:sz w:val="32"/>
          <w:szCs w:val="32"/>
          <w:lang w:val="en-US" w:eastAsia="zh-CN" w:bidi="ar-SA"/>
        </w:rPr>
        <w:t>5</w:t>
      </w:r>
      <w:r>
        <w:rPr>
          <w:rFonts w:hint="eastAsia" w:ascii="仿宋_GB2312" w:hAnsi="仿宋_GB2312" w:eastAsia="仿宋_GB2312" w:cs="仿宋_GB2312"/>
          <w:sz w:val="32"/>
          <w:szCs w:val="32"/>
          <w:lang w:val="en-US" w:eastAsia="uk-UA" w:bidi="ar-SA"/>
        </w:rPr>
        <w:t>年做好全区网络安全和信息化工作，要以习近平新时代中国特色社会主义思想特别是习近平总书记关于网络强国的重要思想为指导，深入贯彻落实中央、省、市、区重要会议及网络安全和信息化工作会议精神，着力防范风险、凝聚共识、争取人心、着力筑牢网络安全屏障，着力以信息化突破推动经济社会高质量发展，切实增强“四个意识”，树牢“四个自信”，</w:t>
      </w:r>
      <w:r>
        <w:rPr>
          <w:rFonts w:hint="eastAsia" w:ascii="仿宋_GB2312" w:hAnsi="仿宋_GB2312" w:eastAsia="仿宋_GB2312" w:cs="仿宋_GB2312"/>
          <w:sz w:val="32"/>
          <w:szCs w:val="32"/>
          <w:lang w:val="en-US" w:eastAsia="zh-CN" w:bidi="ar-SA"/>
        </w:rPr>
        <w:t>不忘初心、牢记使命</w:t>
      </w:r>
      <w:r>
        <w:rPr>
          <w:rFonts w:hint="eastAsia" w:ascii="仿宋_GB2312" w:hAnsi="仿宋_GB2312" w:eastAsia="仿宋_GB2312" w:cs="仿宋_GB2312"/>
          <w:sz w:val="32"/>
          <w:szCs w:val="32"/>
          <w:lang w:val="en-US" w:eastAsia="uk-UA" w:bidi="ar-SA"/>
        </w:rPr>
        <w:t>，坚决维护习近平总书记核心地位，坚决维护党中央权威和集中统一领导。强化顶层设计、夯实基层基础，完善制度，创新工作机制，大力推进网络安全和信息化与全区各项工作深度融合发展，用习近平新时代中国特色社会主义思想武装头脑、指导实践、推动工作，奋力开创网信工作新局面。</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（二）分项绩效目标</w:t>
      </w:r>
    </w:p>
    <w:p>
      <w:pPr>
        <w:pStyle w:val="24"/>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一、综合业务费</w:t>
      </w:r>
    </w:p>
    <w:p>
      <w:pPr>
        <w:pStyle w:val="24"/>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高质量开展网络安全活动，提高宣传次数。保障莲池区辖区内网络环境清朗稳定，进一步强化快速反应能力，提升应急处突水平，扎实有序完成各项任务，群众满意度达95%以上。</w:t>
      </w:r>
    </w:p>
    <w:p>
      <w:pPr>
        <w:pStyle w:val="24"/>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二、网络舆情系统</w:t>
      </w:r>
    </w:p>
    <w:p>
      <w:pPr>
        <w:pStyle w:val="24"/>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持续做好网络舆情监测预警、分析处置工作，监测覆盖率辖区内达100%，确保我区舆论环境稳定。</w:t>
      </w:r>
    </w:p>
    <w:p>
      <w:pPr>
        <w:pStyle w:val="24"/>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三、自媒体宣传专项经费</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uk-UA" w:bidi="ar-SA"/>
        </w:rPr>
        <w:t>提升传播能力，为经济社会发展提供舆论支持，扩大我区对外影响力，展现莲池区发展成效。</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（三）工作保障措施</w:t>
      </w:r>
    </w:p>
    <w:p>
      <w:pPr>
        <w:widowControl w:val="0"/>
        <w:spacing w:line="560" w:lineRule="exact"/>
        <w:ind w:firstLine="640" w:firstLineChars="200"/>
        <w:rPr>
          <w:rFonts w:hint="eastAsia" w:ascii="仿宋_GB2312" w:hAnsi="仿宋_GB2312" w:eastAsia="仿宋_GB2312" w:cs="仿宋_GB2312"/>
          <w:sz w:val="32"/>
          <w:szCs w:val="32"/>
        </w:rPr>
      </w:pP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理论武装头脑，提高政治站位</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学习贯彻习近平新时代中国特色社会主义思想，抓好网络意识形态工作责任制、网络安全工作责任制落实，以网络意识形态安全和网络安全维护政治安全。</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坚持正能量，唱响网上莲池好声音</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紧紧围绕区委、区政府中心工作，深化社会主义核心价值观网上宣传，壮大网上主流舆论。</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综合分析研判，服务工作大局</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加强对涉区重大突发敏感舆情的监测、研判、处置、引导，健全网络舆情应急处置工作机制，网络舆情工作坚持把畅通舆情信息、加强综合分析、及时处置作为重点。</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开展网络社会工作，提高服务大众质量</w:t>
      </w:r>
    </w:p>
    <w:p>
      <w:pPr>
        <w:pStyle w:val="25"/>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组织开展网络安全培训、辟谣、反诈、网络安全周等线上线下宣传活动，发动社会力量参与网络文化建设，营造健康繁荣的网络环境。</w:t>
      </w:r>
    </w:p>
    <w:p>
      <w:pPr>
        <w:pStyle w:val="25"/>
        <w:ind w:left="0" w:leftChars="0" w:firstLine="640" w:firstLineChars="200"/>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五</w:t>
      </w:r>
      <w:r>
        <w:rPr>
          <w:rFonts w:hint="eastAsia"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en-US" w:eastAsia="uk-UA" w:bidi="ar-SA"/>
        </w:rPr>
        <w:t>提升素质能力，锻造过硬队伍</w:t>
      </w:r>
    </w:p>
    <w:p>
      <w:pPr>
        <w:pStyle w:val="25"/>
        <w:ind w:left="0" w:leftChars="0" w:firstLine="640" w:firstLineChars="200"/>
        <w:rPr>
          <w:rFonts w:hint="eastAsia" w:ascii="仿宋_GB2312" w:hAnsi="仿宋_GB2312" w:eastAsia="仿宋_GB2312" w:cs="仿宋_GB2312"/>
          <w:sz w:val="32"/>
          <w:szCs w:val="32"/>
          <w:lang w:eastAsia="zh-CN"/>
        </w:rPr>
        <w:sectPr>
          <w:pgSz w:w="16840" w:h="11900" w:orient="landscape"/>
          <w:pgMar w:top="1361" w:right="1020" w:bottom="1361" w:left="1020" w:header="720" w:footer="720" w:gutter="0"/>
          <w:cols w:space="720" w:num="1"/>
        </w:sectPr>
      </w:pPr>
      <w:r>
        <w:rPr>
          <w:rFonts w:hint="eastAsia" w:ascii="仿宋_GB2312" w:hAnsi="仿宋_GB2312" w:eastAsia="仿宋_GB2312" w:cs="仿宋_GB2312"/>
          <w:sz w:val="32"/>
          <w:szCs w:val="32"/>
          <w:lang w:val="en-US" w:eastAsia="uk-UA" w:bidi="ar-SA"/>
        </w:rPr>
        <w:t>做好新形势下的网络安全和信息化工作，组织系列培训，</w:t>
      </w:r>
      <w:bookmarkStart w:id="21" w:name="_GoBack"/>
      <w:bookmarkEnd w:id="21"/>
      <w:r>
        <w:rPr>
          <w:rFonts w:hint="eastAsia" w:ascii="仿宋_GB2312" w:hAnsi="仿宋_GB2312" w:eastAsia="仿宋_GB2312" w:cs="仿宋_GB2312"/>
          <w:sz w:val="32"/>
          <w:szCs w:val="32"/>
          <w:lang w:val="en-US" w:eastAsia="uk-UA" w:bidi="ar-SA"/>
        </w:rPr>
        <w:t>主动认识新形势、适应新形势，锻造一支高素质的网信干部队伍</w:t>
      </w:r>
      <w:r>
        <w:rPr>
          <w:rFonts w:hint="eastAsia" w:ascii="仿宋_GB2312" w:hAnsi="仿宋_GB2312" w:eastAsia="仿宋_GB2312" w:cs="仿宋_GB2312"/>
          <w:sz w:val="32"/>
          <w:szCs w:val="32"/>
          <w:lang w:val="en-US" w:eastAsia="zh-CN" w:bidi="ar-SA"/>
        </w:rPr>
        <w:t>。</w:t>
      </w:r>
    </w:p>
    <w:p>
      <w:pPr>
        <w:numPr>
          <w:ilvl w:val="0"/>
          <w:numId w:val="0"/>
        </w:numPr>
        <w:spacing w:before="10" w:after="10" w:line="360" w:lineRule="auto"/>
        <w:ind w:firstLine="640" w:firstLineChars="200"/>
        <w:jc w:val="left"/>
        <w:outlineLvl w:val="2"/>
        <w:rPr>
          <w:rFonts w:hint="eastAsia" w:ascii="Times New Roman" w:hAnsi="Times New Roman" w:eastAsia="宋体"/>
          <w:sz w:val="24"/>
          <w:szCs w:val="24"/>
          <w:lang w:val="en-US" w:eastAsia="zh-CN" w:bidi="ar-SA"/>
        </w:rPr>
      </w:pPr>
      <w:bookmarkStart w:id="14" w:name="_Toc_3_3_0000000015"/>
      <w:r>
        <w:rPr>
          <w:rFonts w:hint="eastAsia" w:ascii="黑体" w:hAnsi="黑体" w:eastAsia="黑体" w:cs="黑体"/>
          <w:color w:val="000000"/>
          <w:sz w:val="32"/>
          <w:lang w:val="en-US" w:eastAsia="zh-CN"/>
        </w:rPr>
        <w:t>六、</w:t>
      </w:r>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640" w:firstLineChars="200"/>
        <w:jc w:val="left"/>
        <w:outlineLvl w:val="2"/>
        <w:rPr>
          <w:rFonts w:hint="eastAsia" w:ascii="Times New Roman" w:hAnsi="Times New Roman" w:eastAsia="黑体"/>
          <w:sz w:val="24"/>
          <w:szCs w:val="24"/>
          <w:lang w:val="en-US" w:eastAsia="zh-CN" w:bidi="ar-SA"/>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320" w:firstLineChars="10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1、网络舆情系统绩效目标表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520"/>
        <w:gridCol w:w="2024"/>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13060625P005043102251</w:t>
            </w:r>
          </w:p>
        </w:tc>
        <w:tc>
          <w:tcPr>
            <w:tcW w:w="2835" w:type="dxa"/>
            <w:vAlign w:val="center"/>
          </w:tcPr>
          <w:p>
            <w:pPr>
              <w:pStyle w:val="12"/>
            </w:pPr>
            <w:r>
              <w:t>项目名称</w:t>
            </w:r>
          </w:p>
        </w:tc>
        <w:tc>
          <w:tcPr>
            <w:tcW w:w="6095" w:type="dxa"/>
            <w:gridSpan w:val="3"/>
            <w:vAlign w:val="center"/>
          </w:tcPr>
          <w:p>
            <w:pPr>
              <w:pStyle w:val="14"/>
            </w:pPr>
            <w:r>
              <w:t>网络舆情系统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1520" w:type="dxa"/>
            <w:vAlign w:val="center"/>
          </w:tcPr>
          <w:p>
            <w:pPr>
              <w:pStyle w:val="12"/>
            </w:pPr>
            <w:r>
              <w:t>其他资金</w:t>
            </w:r>
          </w:p>
        </w:tc>
        <w:tc>
          <w:tcPr>
            <w:tcW w:w="2024"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用于2025年网信办网络舆情监测系统服务支出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1.确保我区舆论环境稳定</w:t>
            </w:r>
          </w:p>
          <w:p>
            <w:pPr>
              <w:pStyle w:val="14"/>
            </w:pPr>
            <w:r>
              <w:t>2.持续做好网络舆情监测预警、分析处置工作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539"/>
        <w:gridCol w:w="20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539" w:type="dxa"/>
            <w:vAlign w:val="center"/>
          </w:tcPr>
          <w:p>
            <w:pPr>
              <w:pStyle w:val="12"/>
            </w:pPr>
            <w:r>
              <w:t>指标值</w:t>
            </w:r>
          </w:p>
        </w:tc>
        <w:tc>
          <w:tcPr>
            <w:tcW w:w="2005"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覆盖率</w:t>
            </w:r>
          </w:p>
        </w:tc>
        <w:tc>
          <w:tcPr>
            <w:tcW w:w="5386" w:type="dxa"/>
            <w:vAlign w:val="center"/>
          </w:tcPr>
          <w:p>
            <w:pPr>
              <w:pStyle w:val="14"/>
            </w:pPr>
            <w:r>
              <w:t>监测覆盖率</w:t>
            </w:r>
          </w:p>
        </w:tc>
        <w:tc>
          <w:tcPr>
            <w:tcW w:w="1539" w:type="dxa"/>
            <w:vAlign w:val="center"/>
          </w:tcPr>
          <w:p>
            <w:pPr>
              <w:pStyle w:val="14"/>
            </w:pPr>
            <w:r>
              <w:t>≥95百分比</w:t>
            </w:r>
          </w:p>
        </w:tc>
        <w:tc>
          <w:tcPr>
            <w:tcW w:w="2005"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正常运行率</w:t>
            </w:r>
          </w:p>
        </w:tc>
        <w:tc>
          <w:tcPr>
            <w:tcW w:w="5386" w:type="dxa"/>
            <w:vAlign w:val="center"/>
          </w:tcPr>
          <w:p>
            <w:pPr>
              <w:pStyle w:val="14"/>
            </w:pPr>
            <w:r>
              <w:t>系统正常运行率</w:t>
            </w:r>
          </w:p>
        </w:tc>
        <w:tc>
          <w:tcPr>
            <w:tcW w:w="1539" w:type="dxa"/>
            <w:vAlign w:val="center"/>
          </w:tcPr>
          <w:p>
            <w:pPr>
              <w:pStyle w:val="14"/>
            </w:pPr>
            <w:r>
              <w:t>≥95百分比</w:t>
            </w:r>
          </w:p>
        </w:tc>
        <w:tc>
          <w:tcPr>
            <w:tcW w:w="2005"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舆情反馈及时率</w:t>
            </w:r>
          </w:p>
        </w:tc>
        <w:tc>
          <w:tcPr>
            <w:tcW w:w="1539" w:type="dxa"/>
            <w:vAlign w:val="center"/>
          </w:tcPr>
          <w:p>
            <w:pPr>
              <w:pStyle w:val="14"/>
            </w:pPr>
            <w:r>
              <w:t>≥95百分比</w:t>
            </w:r>
          </w:p>
        </w:tc>
        <w:tc>
          <w:tcPr>
            <w:tcW w:w="2005"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总预算执行情况</w:t>
            </w:r>
          </w:p>
        </w:tc>
        <w:tc>
          <w:tcPr>
            <w:tcW w:w="1539" w:type="dxa"/>
            <w:vAlign w:val="center"/>
          </w:tcPr>
          <w:p>
            <w:pPr>
              <w:pStyle w:val="14"/>
            </w:pPr>
            <w:r>
              <w:t>≤20万元</w:t>
            </w:r>
          </w:p>
        </w:tc>
        <w:tc>
          <w:tcPr>
            <w:tcW w:w="2005"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经费控制情况</w:t>
            </w:r>
          </w:p>
        </w:tc>
        <w:tc>
          <w:tcPr>
            <w:tcW w:w="5386" w:type="dxa"/>
            <w:vAlign w:val="center"/>
          </w:tcPr>
          <w:p>
            <w:pPr>
              <w:pStyle w:val="14"/>
            </w:pPr>
            <w:r>
              <w:t>发挥财政资金使用效益</w:t>
            </w:r>
          </w:p>
        </w:tc>
        <w:tc>
          <w:tcPr>
            <w:tcW w:w="1539" w:type="dxa"/>
            <w:vAlign w:val="center"/>
          </w:tcPr>
          <w:p>
            <w:pPr>
              <w:pStyle w:val="14"/>
            </w:pPr>
            <w:r>
              <w:t>≥95百分比</w:t>
            </w:r>
          </w:p>
        </w:tc>
        <w:tc>
          <w:tcPr>
            <w:tcW w:w="2005"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区域舆论环境稳定率</w:t>
            </w:r>
          </w:p>
        </w:tc>
        <w:tc>
          <w:tcPr>
            <w:tcW w:w="1539" w:type="dxa"/>
            <w:vAlign w:val="center"/>
          </w:tcPr>
          <w:p>
            <w:pPr>
              <w:pStyle w:val="14"/>
            </w:pPr>
            <w:r>
              <w:t>≥95百分比</w:t>
            </w:r>
          </w:p>
        </w:tc>
        <w:tc>
          <w:tcPr>
            <w:tcW w:w="2005"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该项目不涉及生态效益</w:t>
            </w:r>
          </w:p>
        </w:tc>
        <w:tc>
          <w:tcPr>
            <w:tcW w:w="5386" w:type="dxa"/>
            <w:vAlign w:val="center"/>
          </w:tcPr>
          <w:p>
            <w:pPr>
              <w:pStyle w:val="14"/>
            </w:pPr>
            <w:r>
              <w:t>该项目不涉及生态效益</w:t>
            </w:r>
          </w:p>
        </w:tc>
        <w:tc>
          <w:tcPr>
            <w:tcW w:w="1539" w:type="dxa"/>
            <w:vAlign w:val="center"/>
          </w:tcPr>
          <w:p>
            <w:pPr>
              <w:pStyle w:val="14"/>
            </w:pPr>
            <w:r>
              <w:t>文字描述</w:t>
            </w:r>
          </w:p>
        </w:tc>
        <w:tc>
          <w:tcPr>
            <w:tcW w:w="2005" w:type="dxa"/>
            <w:vAlign w:val="center"/>
          </w:tcPr>
          <w:p>
            <w:pPr>
              <w:pStyle w:val="14"/>
            </w:pPr>
            <w:r>
              <w:t>该项目不涉及生态效益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工作可持续性</w:t>
            </w:r>
          </w:p>
        </w:tc>
        <w:tc>
          <w:tcPr>
            <w:tcW w:w="5386" w:type="dxa"/>
            <w:vAlign w:val="center"/>
          </w:tcPr>
          <w:p>
            <w:pPr>
              <w:pStyle w:val="14"/>
            </w:pPr>
            <w:r>
              <w:t>舆情监测工作可持续性</w:t>
            </w:r>
          </w:p>
        </w:tc>
        <w:tc>
          <w:tcPr>
            <w:tcW w:w="1539" w:type="dxa"/>
            <w:vAlign w:val="center"/>
          </w:tcPr>
          <w:p>
            <w:pPr>
              <w:pStyle w:val="14"/>
            </w:pPr>
            <w:r>
              <w:t>≥95百分比</w:t>
            </w:r>
          </w:p>
        </w:tc>
        <w:tc>
          <w:tcPr>
            <w:tcW w:w="2005" w:type="dxa"/>
            <w:vAlign w:val="center"/>
          </w:tcPr>
          <w:p>
            <w:pPr>
              <w:pStyle w:val="14"/>
            </w:pPr>
            <w:r>
              <w:t>历史行业规定标准</w:t>
            </w: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机关工作人员满意度</w:t>
            </w:r>
          </w:p>
        </w:tc>
        <w:tc>
          <w:tcPr>
            <w:tcW w:w="1539" w:type="dxa"/>
            <w:vAlign w:val="center"/>
          </w:tcPr>
          <w:p>
            <w:pPr>
              <w:pStyle w:val="14"/>
            </w:pPr>
            <w:r>
              <w:t>≥95百分比</w:t>
            </w:r>
          </w:p>
        </w:tc>
        <w:tc>
          <w:tcPr>
            <w:tcW w:w="2005" w:type="dxa"/>
            <w:vAlign w:val="center"/>
          </w:tcPr>
          <w:p>
            <w:pPr>
              <w:pStyle w:val="14"/>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2、自媒体宣传专项经费绩效目标表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386"/>
        <w:gridCol w:w="2158"/>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13060625P00504310226L</w:t>
            </w:r>
          </w:p>
        </w:tc>
        <w:tc>
          <w:tcPr>
            <w:tcW w:w="2835" w:type="dxa"/>
            <w:vAlign w:val="center"/>
          </w:tcPr>
          <w:p>
            <w:pPr>
              <w:pStyle w:val="12"/>
            </w:pPr>
            <w:r>
              <w:t>项目名称</w:t>
            </w:r>
          </w:p>
        </w:tc>
        <w:tc>
          <w:tcPr>
            <w:tcW w:w="6095" w:type="dxa"/>
            <w:gridSpan w:val="3"/>
            <w:vAlign w:val="center"/>
          </w:tcPr>
          <w:p>
            <w:pPr>
              <w:pStyle w:val="14"/>
            </w:pPr>
            <w:r>
              <w:t>自媒体宣传专项经费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1386" w:type="dxa"/>
            <w:vAlign w:val="center"/>
          </w:tcPr>
          <w:p>
            <w:pPr>
              <w:pStyle w:val="12"/>
            </w:pPr>
            <w:r>
              <w:t>其他资金</w:t>
            </w:r>
          </w:p>
        </w:tc>
        <w:tc>
          <w:tcPr>
            <w:tcW w:w="2158"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用于2025年网信办宣传服务费及宣传活动所需宣传用品等保障支出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1.扩大我区对外影响力，展现莲池区发展成效</w:t>
            </w:r>
          </w:p>
          <w:p>
            <w:pPr>
              <w:pStyle w:val="14"/>
            </w:pPr>
            <w:r>
              <w:t>2.支付合作经费，提升传播能力，为经济社会发展提供舆论支持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424"/>
        <w:gridCol w:w="21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424" w:type="dxa"/>
            <w:vAlign w:val="center"/>
          </w:tcPr>
          <w:p>
            <w:pPr>
              <w:pStyle w:val="12"/>
            </w:pPr>
            <w:r>
              <w:t>指标值</w:t>
            </w:r>
          </w:p>
        </w:tc>
        <w:tc>
          <w:tcPr>
            <w:tcW w:w="2120"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保障宣传时间</w:t>
            </w:r>
          </w:p>
        </w:tc>
        <w:tc>
          <w:tcPr>
            <w:tcW w:w="5386" w:type="dxa"/>
            <w:vAlign w:val="center"/>
          </w:tcPr>
          <w:p>
            <w:pPr>
              <w:pStyle w:val="14"/>
            </w:pPr>
            <w:r>
              <w:t>保障宣传时间</w:t>
            </w:r>
          </w:p>
        </w:tc>
        <w:tc>
          <w:tcPr>
            <w:tcW w:w="1424" w:type="dxa"/>
            <w:vAlign w:val="center"/>
          </w:tcPr>
          <w:p>
            <w:pPr>
              <w:pStyle w:val="14"/>
            </w:pPr>
            <w:r>
              <w:t>≥365天</w:t>
            </w:r>
          </w:p>
        </w:tc>
        <w:tc>
          <w:tcPr>
            <w:tcW w:w="2120"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资金支出准确率</w:t>
            </w:r>
          </w:p>
        </w:tc>
        <w:tc>
          <w:tcPr>
            <w:tcW w:w="5386" w:type="dxa"/>
            <w:vAlign w:val="center"/>
          </w:tcPr>
          <w:p>
            <w:pPr>
              <w:pStyle w:val="14"/>
            </w:pPr>
            <w:r>
              <w:t>资金支出准确率</w:t>
            </w:r>
          </w:p>
        </w:tc>
        <w:tc>
          <w:tcPr>
            <w:tcW w:w="1424" w:type="dxa"/>
            <w:vAlign w:val="center"/>
          </w:tcPr>
          <w:p>
            <w:pPr>
              <w:pStyle w:val="14"/>
            </w:pPr>
            <w:r>
              <w:t>≥95百分比</w:t>
            </w:r>
          </w:p>
        </w:tc>
        <w:tc>
          <w:tcPr>
            <w:tcW w:w="2120"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5386" w:type="dxa"/>
            <w:vAlign w:val="center"/>
          </w:tcPr>
          <w:p>
            <w:pPr>
              <w:pStyle w:val="14"/>
            </w:pPr>
            <w:r>
              <w:t>资金支出及时率</w:t>
            </w:r>
          </w:p>
        </w:tc>
        <w:tc>
          <w:tcPr>
            <w:tcW w:w="1424" w:type="dxa"/>
            <w:vAlign w:val="center"/>
          </w:tcPr>
          <w:p>
            <w:pPr>
              <w:pStyle w:val="14"/>
            </w:pPr>
            <w:r>
              <w:t>≥95百分比</w:t>
            </w:r>
          </w:p>
        </w:tc>
        <w:tc>
          <w:tcPr>
            <w:tcW w:w="2120"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总预算执行情况</w:t>
            </w:r>
          </w:p>
        </w:tc>
        <w:tc>
          <w:tcPr>
            <w:tcW w:w="1424" w:type="dxa"/>
            <w:vAlign w:val="center"/>
          </w:tcPr>
          <w:p>
            <w:pPr>
              <w:pStyle w:val="14"/>
            </w:pPr>
            <w:r>
              <w:t>≤15万元</w:t>
            </w:r>
          </w:p>
        </w:tc>
        <w:tc>
          <w:tcPr>
            <w:tcW w:w="2120"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经费控制情况</w:t>
            </w:r>
          </w:p>
        </w:tc>
        <w:tc>
          <w:tcPr>
            <w:tcW w:w="5386" w:type="dxa"/>
            <w:vAlign w:val="center"/>
          </w:tcPr>
          <w:p>
            <w:pPr>
              <w:pStyle w:val="14"/>
            </w:pPr>
            <w:r>
              <w:t>发挥财政资金使用效益</w:t>
            </w:r>
          </w:p>
        </w:tc>
        <w:tc>
          <w:tcPr>
            <w:tcW w:w="1424" w:type="dxa"/>
            <w:vAlign w:val="center"/>
          </w:tcPr>
          <w:p>
            <w:pPr>
              <w:pStyle w:val="14"/>
            </w:pPr>
            <w:r>
              <w:t>≥95百分比</w:t>
            </w:r>
          </w:p>
        </w:tc>
        <w:tc>
          <w:tcPr>
            <w:tcW w:w="2120"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扩大我区对外影响力</w:t>
            </w:r>
          </w:p>
        </w:tc>
        <w:tc>
          <w:tcPr>
            <w:tcW w:w="1424" w:type="dxa"/>
            <w:vAlign w:val="center"/>
          </w:tcPr>
          <w:p>
            <w:pPr>
              <w:pStyle w:val="14"/>
            </w:pPr>
            <w:r>
              <w:t>≥95百分比</w:t>
            </w:r>
          </w:p>
        </w:tc>
        <w:tc>
          <w:tcPr>
            <w:tcW w:w="2120"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该项目不涉及生态效益</w:t>
            </w:r>
          </w:p>
        </w:tc>
        <w:tc>
          <w:tcPr>
            <w:tcW w:w="5386" w:type="dxa"/>
            <w:vAlign w:val="center"/>
          </w:tcPr>
          <w:p>
            <w:pPr>
              <w:pStyle w:val="14"/>
            </w:pPr>
            <w:r>
              <w:t>该项目不涉及生态效益</w:t>
            </w:r>
          </w:p>
        </w:tc>
        <w:tc>
          <w:tcPr>
            <w:tcW w:w="1424" w:type="dxa"/>
            <w:vAlign w:val="center"/>
          </w:tcPr>
          <w:p>
            <w:pPr>
              <w:pStyle w:val="14"/>
            </w:pPr>
            <w:r>
              <w:t>文字描述</w:t>
            </w:r>
          </w:p>
        </w:tc>
        <w:tc>
          <w:tcPr>
            <w:tcW w:w="2120" w:type="dxa"/>
            <w:vAlign w:val="center"/>
          </w:tcPr>
          <w:p>
            <w:pPr>
              <w:pStyle w:val="14"/>
            </w:pPr>
            <w:r>
              <w:t>该项目不涉及生态效益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工作可持续性</w:t>
            </w:r>
          </w:p>
        </w:tc>
        <w:tc>
          <w:tcPr>
            <w:tcW w:w="5386" w:type="dxa"/>
            <w:vAlign w:val="center"/>
          </w:tcPr>
          <w:p>
            <w:pPr>
              <w:pStyle w:val="14"/>
            </w:pPr>
            <w:r>
              <w:t>新闻报道、稿件刊发、自媒体宣传渠道支持等工作可持续性</w:t>
            </w:r>
          </w:p>
        </w:tc>
        <w:tc>
          <w:tcPr>
            <w:tcW w:w="1424" w:type="dxa"/>
            <w:vAlign w:val="center"/>
          </w:tcPr>
          <w:p>
            <w:pPr>
              <w:pStyle w:val="14"/>
            </w:pPr>
            <w:r>
              <w:t>≥95百分比</w:t>
            </w:r>
          </w:p>
        </w:tc>
        <w:tc>
          <w:tcPr>
            <w:tcW w:w="2120"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机关工作人员满意度</w:t>
            </w:r>
          </w:p>
        </w:tc>
        <w:tc>
          <w:tcPr>
            <w:tcW w:w="1424" w:type="dxa"/>
            <w:vAlign w:val="center"/>
          </w:tcPr>
          <w:p>
            <w:pPr>
              <w:pStyle w:val="14"/>
            </w:pPr>
            <w:r>
              <w:t>≥95百分比</w:t>
            </w:r>
          </w:p>
        </w:tc>
        <w:tc>
          <w:tcPr>
            <w:tcW w:w="2120"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3、综合业务费绩效目标表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577"/>
        <w:gridCol w:w="1967"/>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13060625P00504310223R</w:t>
            </w:r>
          </w:p>
        </w:tc>
        <w:tc>
          <w:tcPr>
            <w:tcW w:w="2835" w:type="dxa"/>
            <w:vAlign w:val="center"/>
          </w:tcPr>
          <w:p>
            <w:pPr>
              <w:pStyle w:val="12"/>
            </w:pPr>
            <w:r>
              <w:t>项目名称</w:t>
            </w:r>
          </w:p>
        </w:tc>
        <w:tc>
          <w:tcPr>
            <w:tcW w:w="6095" w:type="dxa"/>
            <w:gridSpan w:val="3"/>
            <w:vAlign w:val="center"/>
          </w:tcPr>
          <w:p>
            <w:pPr>
              <w:pStyle w:val="14"/>
            </w:pPr>
            <w:r>
              <w:t>综合业务费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1577" w:type="dxa"/>
            <w:vAlign w:val="center"/>
          </w:tcPr>
          <w:p>
            <w:pPr>
              <w:pStyle w:val="12"/>
            </w:pPr>
            <w:r>
              <w:t>其他资金</w:t>
            </w:r>
          </w:p>
        </w:tc>
        <w:tc>
          <w:tcPr>
            <w:tcW w:w="1967"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用于网信办2025年网络安全活动支出及日常必要开支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1.保障莲池区辖区内网络环境清朗稳定，进一步强化快速反应能力，提升应急处突水平，扎实有序完成各项任务，经费支出准确率达100%。</w:t>
            </w:r>
            <w:r>
              <w:tab/>
            </w:r>
            <w:r>
              <w:tab/>
            </w:r>
            <w:r>
              <w:tab/>
            </w:r>
            <w:r>
              <w:tab/>
            </w:r>
            <w:r>
              <w:tab/>
            </w:r>
            <w:r>
              <w:tab/>
            </w:r>
          </w:p>
          <w:p>
            <w:pPr>
              <w:pStyle w:val="14"/>
            </w:pPr>
            <w:r>
              <w:t>2.高质量开展网络安全活动，提高3次以上宣传次数。</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558"/>
        <w:gridCol w:w="19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558" w:type="dxa"/>
            <w:vAlign w:val="center"/>
          </w:tcPr>
          <w:p>
            <w:pPr>
              <w:pStyle w:val="12"/>
            </w:pPr>
            <w:r>
              <w:t>指标值</w:t>
            </w:r>
          </w:p>
        </w:tc>
        <w:tc>
          <w:tcPr>
            <w:tcW w:w="198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工作日保障单位运转</w:t>
            </w:r>
          </w:p>
        </w:tc>
        <w:tc>
          <w:tcPr>
            <w:tcW w:w="5386" w:type="dxa"/>
            <w:vAlign w:val="center"/>
          </w:tcPr>
          <w:p>
            <w:pPr>
              <w:pStyle w:val="14"/>
            </w:pPr>
            <w:r>
              <w:t>工作日保障单位运转时间</w:t>
            </w:r>
          </w:p>
        </w:tc>
        <w:tc>
          <w:tcPr>
            <w:tcW w:w="1558" w:type="dxa"/>
            <w:vAlign w:val="center"/>
          </w:tcPr>
          <w:p>
            <w:pPr>
              <w:pStyle w:val="14"/>
            </w:pPr>
            <w:r>
              <w:t>≥8小时</w:t>
            </w:r>
          </w:p>
        </w:tc>
        <w:tc>
          <w:tcPr>
            <w:tcW w:w="1986"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经费支出准确率</w:t>
            </w:r>
          </w:p>
        </w:tc>
        <w:tc>
          <w:tcPr>
            <w:tcW w:w="5386" w:type="dxa"/>
            <w:vAlign w:val="center"/>
          </w:tcPr>
          <w:p>
            <w:pPr>
              <w:pStyle w:val="14"/>
            </w:pPr>
            <w:r>
              <w:t>经费支出准确率=支出准确的经费/支出全部经费*100%</w:t>
            </w:r>
          </w:p>
        </w:tc>
        <w:tc>
          <w:tcPr>
            <w:tcW w:w="1558" w:type="dxa"/>
            <w:vAlign w:val="center"/>
          </w:tcPr>
          <w:p>
            <w:pPr>
              <w:pStyle w:val="14"/>
            </w:pPr>
            <w:r>
              <w:t>≥95百分比</w:t>
            </w:r>
          </w:p>
        </w:tc>
        <w:tc>
          <w:tcPr>
            <w:tcW w:w="1986"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经费支出及时率</w:t>
            </w:r>
          </w:p>
        </w:tc>
        <w:tc>
          <w:tcPr>
            <w:tcW w:w="5386" w:type="dxa"/>
            <w:vAlign w:val="center"/>
          </w:tcPr>
          <w:p>
            <w:pPr>
              <w:pStyle w:val="14"/>
            </w:pPr>
            <w:r>
              <w:t>按时间进度要求支付使用资金</w:t>
            </w:r>
          </w:p>
        </w:tc>
        <w:tc>
          <w:tcPr>
            <w:tcW w:w="1558" w:type="dxa"/>
            <w:vAlign w:val="center"/>
          </w:tcPr>
          <w:p>
            <w:pPr>
              <w:pStyle w:val="14"/>
            </w:pPr>
            <w:r>
              <w:t>≥95百分比</w:t>
            </w:r>
          </w:p>
        </w:tc>
        <w:tc>
          <w:tcPr>
            <w:tcW w:w="1986"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总预算执行情况</w:t>
            </w:r>
          </w:p>
        </w:tc>
        <w:tc>
          <w:tcPr>
            <w:tcW w:w="5386" w:type="dxa"/>
            <w:vAlign w:val="center"/>
          </w:tcPr>
          <w:p>
            <w:pPr>
              <w:pStyle w:val="14"/>
            </w:pPr>
            <w:r>
              <w:t>经费有效控制情况</w:t>
            </w:r>
          </w:p>
        </w:tc>
        <w:tc>
          <w:tcPr>
            <w:tcW w:w="1558" w:type="dxa"/>
            <w:vAlign w:val="center"/>
          </w:tcPr>
          <w:p>
            <w:pPr>
              <w:pStyle w:val="14"/>
            </w:pPr>
            <w:r>
              <w:t>≤15万元</w:t>
            </w:r>
          </w:p>
        </w:tc>
        <w:tc>
          <w:tcPr>
            <w:tcW w:w="1986"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发挥财政资金使用效率</w:t>
            </w:r>
          </w:p>
        </w:tc>
        <w:tc>
          <w:tcPr>
            <w:tcW w:w="5386" w:type="dxa"/>
            <w:vAlign w:val="center"/>
          </w:tcPr>
          <w:p>
            <w:pPr>
              <w:pStyle w:val="14"/>
            </w:pPr>
            <w:r>
              <w:t>发挥财政资金使用效率</w:t>
            </w:r>
          </w:p>
        </w:tc>
        <w:tc>
          <w:tcPr>
            <w:tcW w:w="1558" w:type="dxa"/>
            <w:vAlign w:val="center"/>
          </w:tcPr>
          <w:p>
            <w:pPr>
              <w:pStyle w:val="14"/>
            </w:pPr>
            <w:r>
              <w:t>≥95百分比</w:t>
            </w:r>
          </w:p>
        </w:tc>
        <w:tc>
          <w:tcPr>
            <w:tcW w:w="1986"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辖区内网络环境清朗稳定</w:t>
            </w:r>
          </w:p>
        </w:tc>
        <w:tc>
          <w:tcPr>
            <w:tcW w:w="5386" w:type="dxa"/>
            <w:vAlign w:val="center"/>
          </w:tcPr>
          <w:p>
            <w:pPr>
              <w:pStyle w:val="14"/>
            </w:pPr>
            <w:r>
              <w:t>保障辖区内网络环境清朗稳定</w:t>
            </w:r>
          </w:p>
        </w:tc>
        <w:tc>
          <w:tcPr>
            <w:tcW w:w="1558" w:type="dxa"/>
            <w:vAlign w:val="center"/>
          </w:tcPr>
          <w:p>
            <w:pPr>
              <w:pStyle w:val="14"/>
            </w:pPr>
            <w:r>
              <w:t>≥95百分比</w:t>
            </w:r>
          </w:p>
        </w:tc>
        <w:tc>
          <w:tcPr>
            <w:tcW w:w="1986"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该项目不涉及生态效益</w:t>
            </w:r>
          </w:p>
        </w:tc>
        <w:tc>
          <w:tcPr>
            <w:tcW w:w="5386" w:type="dxa"/>
            <w:vAlign w:val="center"/>
          </w:tcPr>
          <w:p>
            <w:pPr>
              <w:pStyle w:val="14"/>
            </w:pPr>
            <w:r>
              <w:t>该项目不涉及生态效益</w:t>
            </w:r>
          </w:p>
        </w:tc>
        <w:tc>
          <w:tcPr>
            <w:tcW w:w="1558" w:type="dxa"/>
            <w:vAlign w:val="center"/>
          </w:tcPr>
          <w:p>
            <w:pPr>
              <w:pStyle w:val="14"/>
            </w:pPr>
            <w:r>
              <w:t>文字描述</w:t>
            </w:r>
          </w:p>
        </w:tc>
        <w:tc>
          <w:tcPr>
            <w:tcW w:w="1986" w:type="dxa"/>
            <w:vAlign w:val="center"/>
          </w:tcPr>
          <w:p>
            <w:pPr>
              <w:pStyle w:val="14"/>
            </w:pPr>
            <w:r>
              <w:t>该项目不涉及生态效益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工作可持续性</w:t>
            </w:r>
          </w:p>
        </w:tc>
        <w:tc>
          <w:tcPr>
            <w:tcW w:w="5386" w:type="dxa"/>
            <w:vAlign w:val="center"/>
          </w:tcPr>
          <w:p>
            <w:pPr>
              <w:pStyle w:val="14"/>
            </w:pPr>
            <w:r>
              <w:t>网络安全活动可持续性</w:t>
            </w:r>
          </w:p>
        </w:tc>
        <w:tc>
          <w:tcPr>
            <w:tcW w:w="1558" w:type="dxa"/>
            <w:vAlign w:val="center"/>
          </w:tcPr>
          <w:p>
            <w:pPr>
              <w:pStyle w:val="14"/>
            </w:pPr>
            <w:r>
              <w:t>≥95百分比</w:t>
            </w:r>
          </w:p>
        </w:tc>
        <w:tc>
          <w:tcPr>
            <w:tcW w:w="1986"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是否达到群众满意</w:t>
            </w:r>
          </w:p>
        </w:tc>
        <w:tc>
          <w:tcPr>
            <w:tcW w:w="5386" w:type="dxa"/>
            <w:vAlign w:val="center"/>
          </w:tcPr>
          <w:p>
            <w:pPr>
              <w:pStyle w:val="14"/>
            </w:pPr>
            <w:r>
              <w:t>群众满意度</w:t>
            </w:r>
          </w:p>
        </w:tc>
        <w:tc>
          <w:tcPr>
            <w:tcW w:w="1558" w:type="dxa"/>
            <w:vAlign w:val="center"/>
          </w:tcPr>
          <w:p>
            <w:pPr>
              <w:pStyle w:val="14"/>
            </w:pPr>
            <w:r>
              <w:t>≥95百分比</w:t>
            </w:r>
          </w:p>
        </w:tc>
        <w:tc>
          <w:tcPr>
            <w:tcW w:w="198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224保定市莲池区委网络安全和信息化委员会办公室</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7" w:name="_Toc_3_3_0000000018"/>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九、国有资产信息</w:t>
      </w:r>
      <w:bookmarkEnd w:id="17"/>
    </w:p>
    <w:p>
      <w:pPr>
        <w:spacing w:before="0" w:after="0" w:line="500" w:lineRule="exact"/>
        <w:ind w:firstLine="560"/>
        <w:jc w:val="left"/>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保定市莲池区委网络安全和信息化委员会办公室（含所属单位）上年末固定资产金额为</w:t>
      </w:r>
      <w:r>
        <w:rPr>
          <w:rFonts w:hint="eastAsia" w:ascii="仿宋_GB2312" w:hAnsi="仿宋_GB2312" w:eastAsia="仿宋_GB2312" w:cs="仿宋_GB2312"/>
          <w:sz w:val="32"/>
          <w:szCs w:val="32"/>
          <w:lang w:eastAsia="zh-CN"/>
        </w:rPr>
        <w:t>8.029</w:t>
      </w:r>
      <w:r>
        <w:rPr>
          <w:rFonts w:hint="eastAsia" w:ascii="仿宋_GB2312" w:hAnsi="仿宋_GB2312" w:eastAsia="仿宋_GB2312" w:cs="仿宋_GB2312"/>
          <w:sz w:val="32"/>
          <w:szCs w:val="32"/>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5"/>
        <w:gridCol w:w="2571"/>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295" w:type="dxa"/>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7504" w:type="dxa"/>
            <w:gridSpan w:val="2"/>
            <w:tcBorders>
              <w:top w:val="single" w:color="FFFFFF" w:sz="6" w:space="0"/>
              <w:left w:val="single" w:color="FFFFFF" w:sz="6" w:space="0"/>
              <w:right w:val="single" w:color="FFFFFF" w:sz="6" w:space="0"/>
            </w:tcBorders>
            <w:vAlign w:val="center"/>
          </w:tcPr>
          <w:p>
            <w:pPr>
              <w:pStyle w:val="9"/>
            </w:pPr>
            <w:r>
              <w:t>截止时间：202</w:t>
            </w:r>
            <w:r>
              <w:rPr>
                <w:rFonts w:hint="eastAsia"/>
                <w:lang w:val="en-US" w:eastAsia="zh-CN"/>
              </w:rPr>
              <w:t>4</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295" w:type="dxa"/>
            <w:vAlign w:val="center"/>
          </w:tcPr>
          <w:p>
            <w:pPr>
              <w:pStyle w:val="12"/>
              <w:rPr>
                <w:sz w:val="24"/>
              </w:rPr>
            </w:pPr>
            <w:r>
              <w:rPr>
                <w:sz w:val="24"/>
              </w:rPr>
              <w:t>项   目</w:t>
            </w:r>
          </w:p>
        </w:tc>
        <w:tc>
          <w:tcPr>
            <w:tcW w:w="2571" w:type="dxa"/>
            <w:vAlign w:val="center"/>
          </w:tcPr>
          <w:p>
            <w:pPr>
              <w:pStyle w:val="12"/>
              <w:rPr>
                <w:sz w:val="24"/>
              </w:rPr>
            </w:pPr>
            <w:r>
              <w:rPr>
                <w:sz w:val="24"/>
              </w:rPr>
              <w:t>数量</w:t>
            </w:r>
          </w:p>
        </w:tc>
        <w:tc>
          <w:tcPr>
            <w:tcW w:w="4933" w:type="dxa"/>
            <w:vAlign w:val="center"/>
          </w:tcPr>
          <w:p>
            <w:pPr>
              <w:pStyle w:val="12"/>
              <w:rPr>
                <w:sz w:val="24"/>
              </w:rPr>
            </w:pPr>
            <w:r>
              <w:rPr>
                <w:sz w:val="24"/>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4"/>
              <w:jc w:val="center"/>
              <w:rPr>
                <w:rFonts w:ascii="仿宋_GB2312" w:hAnsi="仿宋_GB2312" w:eastAsia="仿宋_GB2312" w:cs="仿宋_GB2312"/>
                <w:sz w:val="24"/>
              </w:rPr>
            </w:pPr>
            <w:r>
              <w:rPr>
                <w:rFonts w:hint="eastAsia" w:ascii="仿宋_GB2312" w:hAnsi="仿宋_GB2312" w:eastAsia="仿宋_GB2312" w:cs="仿宋_GB2312"/>
                <w:b/>
                <w:bCs/>
                <w:color w:val="000000"/>
                <w:sz w:val="24"/>
              </w:rPr>
              <w:t>固定资产总额</w:t>
            </w:r>
          </w:p>
        </w:tc>
        <w:tc>
          <w:tcPr>
            <w:tcW w:w="2571" w:type="dxa"/>
            <w:vAlign w:val="center"/>
          </w:tcPr>
          <w:p>
            <w:pPr>
              <w:pStyle w:val="15"/>
              <w:rPr>
                <w:rFonts w:ascii="仿宋_GB2312" w:hAnsi="仿宋_GB2312" w:eastAsia="仿宋_GB2312" w:cs="仿宋_GB2312"/>
                <w:sz w:val="24"/>
              </w:rPr>
            </w:pPr>
          </w:p>
        </w:tc>
        <w:tc>
          <w:tcPr>
            <w:tcW w:w="4933" w:type="dxa"/>
            <w:vAlign w:val="center"/>
          </w:tcPr>
          <w:p>
            <w:pPr>
              <w:pStyle w:val="13"/>
              <w:jc w:val="center"/>
              <w:rPr>
                <w:rFonts w:ascii="仿宋_GB2312" w:hAnsi="仿宋_GB2312" w:eastAsia="仿宋_GB2312" w:cs="仿宋_GB2312"/>
                <w:sz w:val="24"/>
                <w:lang w:eastAsia="zh-CN"/>
              </w:rPr>
            </w:pPr>
            <w:r>
              <w:rPr>
                <w:rFonts w:hint="eastAsia" w:ascii="仿宋_GB2312" w:hAnsi="仿宋_GB2312" w:eastAsia="仿宋_GB2312" w:cs="仿宋_GB2312"/>
                <w:sz w:val="24"/>
                <w:lang w:eastAsia="zh-CN"/>
              </w:rPr>
              <w:t>8.029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4"/>
              <w:ind w:firstLine="240" w:firstLineChars="100"/>
              <w:rPr>
                <w:rFonts w:ascii="仿宋_GB2312" w:hAnsi="仿宋_GB2312" w:eastAsia="仿宋_GB2312" w:cs="仿宋_GB2312"/>
                <w:sz w:val="24"/>
              </w:rPr>
            </w:pPr>
            <w:r>
              <w:rPr>
                <w:rFonts w:hint="eastAsia" w:ascii="仿宋_GB2312" w:hAnsi="仿宋_GB2312" w:eastAsia="仿宋_GB2312" w:cs="仿宋_GB2312"/>
                <w:color w:val="000000"/>
                <w:sz w:val="24"/>
              </w:rPr>
              <w:t>1、房屋（平方米）</w:t>
            </w:r>
          </w:p>
        </w:tc>
        <w:tc>
          <w:tcPr>
            <w:tcW w:w="2571" w:type="dxa"/>
            <w:vAlign w:val="center"/>
          </w:tcPr>
          <w:p>
            <w:pPr>
              <w:pStyle w:val="15"/>
              <w:rPr>
                <w:rFonts w:ascii="仿宋_GB2312" w:hAnsi="仿宋_GB2312" w:eastAsia="仿宋_GB2312" w:cs="仿宋_GB2312"/>
                <w:sz w:val="24"/>
              </w:rPr>
            </w:pPr>
          </w:p>
        </w:tc>
        <w:tc>
          <w:tcPr>
            <w:tcW w:w="4933" w:type="dxa"/>
            <w:vAlign w:val="center"/>
          </w:tcPr>
          <w:p>
            <w:pPr>
              <w:pStyle w:val="13"/>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jc w:val="center"/>
        </w:trPr>
        <w:tc>
          <w:tcPr>
            <w:tcW w:w="7295" w:type="dxa"/>
            <w:vAlign w:val="center"/>
          </w:tcPr>
          <w:p>
            <w:pPr>
              <w:pStyle w:val="14"/>
              <w:rPr>
                <w:rFonts w:ascii="仿宋_GB2312" w:hAnsi="仿宋_GB2312" w:eastAsia="仿宋_GB2312" w:cs="仿宋_GB2312"/>
                <w:sz w:val="24"/>
              </w:rPr>
            </w:pPr>
            <w:r>
              <w:rPr>
                <w:rFonts w:hint="eastAsia" w:ascii="仿宋_GB2312" w:hAnsi="仿宋_GB2312" w:eastAsia="仿宋_GB2312" w:cs="仿宋_GB2312"/>
                <w:color w:val="000000"/>
                <w:sz w:val="24"/>
              </w:rPr>
              <w:t xml:space="preserve">  其中：办公用房（平方米）</w:t>
            </w:r>
          </w:p>
        </w:tc>
        <w:tc>
          <w:tcPr>
            <w:tcW w:w="2571" w:type="dxa"/>
            <w:vAlign w:val="center"/>
          </w:tcPr>
          <w:p>
            <w:pPr>
              <w:pStyle w:val="15"/>
              <w:rPr>
                <w:rFonts w:ascii="仿宋_GB2312" w:hAnsi="仿宋_GB2312" w:eastAsia="仿宋_GB2312" w:cs="仿宋_GB2312"/>
                <w:sz w:val="24"/>
              </w:rPr>
            </w:pPr>
          </w:p>
        </w:tc>
        <w:tc>
          <w:tcPr>
            <w:tcW w:w="4933" w:type="dxa"/>
            <w:vAlign w:val="center"/>
          </w:tcPr>
          <w:p>
            <w:pPr>
              <w:pStyle w:val="13"/>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4"/>
              <w:rPr>
                <w:rFonts w:ascii="仿宋_GB2312" w:hAnsi="仿宋_GB2312" w:eastAsia="仿宋_GB2312" w:cs="仿宋_GB2312"/>
                <w:sz w:val="24"/>
              </w:rPr>
            </w:pPr>
            <w:r>
              <w:rPr>
                <w:rFonts w:hint="eastAsia" w:ascii="仿宋_GB2312" w:hAnsi="仿宋_GB2312" w:eastAsia="仿宋_GB2312" w:cs="仿宋_GB2312"/>
                <w:color w:val="000000"/>
                <w:sz w:val="24"/>
              </w:rPr>
              <w:t xml:space="preserve">  2、车辆（台、辆）</w:t>
            </w:r>
          </w:p>
        </w:tc>
        <w:tc>
          <w:tcPr>
            <w:tcW w:w="2571" w:type="dxa"/>
            <w:vAlign w:val="center"/>
          </w:tcPr>
          <w:p>
            <w:pPr>
              <w:pStyle w:val="15"/>
              <w:rPr>
                <w:rFonts w:ascii="仿宋_GB2312" w:hAnsi="仿宋_GB2312" w:eastAsia="仿宋_GB2312" w:cs="仿宋_GB2312"/>
                <w:sz w:val="24"/>
              </w:rPr>
            </w:pPr>
          </w:p>
        </w:tc>
        <w:tc>
          <w:tcPr>
            <w:tcW w:w="4933" w:type="dxa"/>
            <w:vAlign w:val="center"/>
          </w:tcPr>
          <w:p>
            <w:pPr>
              <w:pStyle w:val="13"/>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4"/>
              <w:ind w:firstLine="240" w:firstLineChars="100"/>
              <w:rPr>
                <w:rFonts w:ascii="仿宋_GB2312" w:hAnsi="仿宋_GB2312" w:eastAsia="仿宋_GB2312" w:cs="仿宋_GB2312"/>
                <w:sz w:val="24"/>
              </w:rPr>
            </w:pPr>
            <w:r>
              <w:rPr>
                <w:rFonts w:hint="eastAsia" w:ascii="仿宋_GB2312" w:hAnsi="仿宋_GB2312" w:eastAsia="仿宋_GB2312" w:cs="仿宋_GB2312"/>
                <w:color w:val="000000"/>
                <w:sz w:val="24"/>
              </w:rPr>
              <w:t>3、单价在50万元以上的设备(台、套)</w:t>
            </w:r>
          </w:p>
        </w:tc>
        <w:tc>
          <w:tcPr>
            <w:tcW w:w="2571" w:type="dxa"/>
            <w:vAlign w:val="center"/>
          </w:tcPr>
          <w:p>
            <w:pPr>
              <w:pStyle w:val="15"/>
              <w:rPr>
                <w:rFonts w:ascii="仿宋_GB2312" w:hAnsi="仿宋_GB2312" w:eastAsia="仿宋_GB2312" w:cs="仿宋_GB2312"/>
                <w:sz w:val="24"/>
              </w:rPr>
            </w:pPr>
          </w:p>
        </w:tc>
        <w:tc>
          <w:tcPr>
            <w:tcW w:w="4933" w:type="dxa"/>
            <w:vAlign w:val="center"/>
          </w:tcPr>
          <w:p>
            <w:pPr>
              <w:pStyle w:val="13"/>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4"/>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其中：单价50万元（含）以上的通用设备</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3"/>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 xml:space="preserve"> 单价100万元（含）以上的通专用设备</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3"/>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 xml:space="preserve">  4、其他固定资产</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3"/>
              <w:jc w:val="center"/>
              <w:rPr>
                <w:rFonts w:ascii="仿宋_GB2312" w:hAnsi="仿宋_GB2312" w:eastAsia="仿宋_GB2312" w:cs="仿宋_GB2312"/>
                <w:sz w:val="24"/>
                <w:lang w:eastAsia="zh-CN"/>
              </w:rPr>
            </w:pPr>
            <w:r>
              <w:rPr>
                <w:rFonts w:hint="eastAsia" w:ascii="仿宋_GB2312" w:hAnsi="仿宋_GB2312" w:eastAsia="仿宋_GB2312" w:cs="仿宋_GB2312"/>
                <w:sz w:val="24"/>
                <w:lang w:eastAsia="zh-CN"/>
              </w:rPr>
              <w:t>8.029</w:t>
            </w:r>
          </w:p>
        </w:tc>
      </w:tr>
    </w:tbl>
    <w:p>
      <w:pPr>
        <w:ind w:firstLine="420"/>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rPr>
          <w:rFonts w:hint="eastAsia" w:ascii="仿宋_GB2312" w:hAnsi="仿宋_GB2312" w:eastAsia="仿宋_GB2312" w:cs="仿宋_GB2312"/>
          <w:sz w:val="32"/>
          <w:szCs w:val="32"/>
        </w:rPr>
      </w:pPr>
      <w:r>
        <w:rPr>
          <w:rFonts w:eastAsia="方正仿宋_GBK" w:cs="Times New Roman"/>
          <w:b/>
          <w:bCs/>
          <w:color w:val="000000"/>
          <w:sz w:val="32"/>
          <w:szCs w:val="32"/>
        </w:rPr>
        <w:t>1、财政拨款收入：</w:t>
      </w:r>
      <w:r>
        <w:rPr>
          <w:rFonts w:hint="eastAsia" w:ascii="仿宋_GB2312" w:hAnsi="仿宋_GB2312" w:eastAsia="仿宋_GB2312" w:cs="仿宋_GB2312"/>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eastAsia" w:ascii="仿宋_GB2312" w:hAnsi="仿宋_GB2312" w:eastAsia="仿宋_GB2312" w:cs="仿宋_GB2312"/>
          <w:sz w:val="32"/>
          <w:szCs w:val="32"/>
        </w:rPr>
      </w:pPr>
      <w:r>
        <w:rPr>
          <w:rFonts w:eastAsia="方正仿宋_GBK" w:cs="Times New Roman"/>
          <w:b/>
          <w:bCs/>
          <w:color w:val="000000"/>
          <w:sz w:val="32"/>
          <w:szCs w:val="32"/>
        </w:rPr>
        <w:t>2、财政专户管理资金收入：</w:t>
      </w:r>
      <w:r>
        <w:rPr>
          <w:rFonts w:hint="eastAsia" w:ascii="仿宋_GB2312" w:hAnsi="仿宋_GB2312" w:eastAsia="仿宋_GB2312" w:cs="仿宋_GB2312"/>
          <w:sz w:val="32"/>
          <w:szCs w:val="32"/>
        </w:rPr>
        <w:t>缴入财政专户、实行专项管理的教育收费收入。</w:t>
      </w:r>
    </w:p>
    <w:p>
      <w:pPr>
        <w:spacing w:before="0" w:after="0" w:line="500" w:lineRule="exact"/>
        <w:ind w:firstLine="560"/>
        <w:jc w:val="left"/>
        <w:outlineLvl w:val="9"/>
        <w:rPr>
          <w:rFonts w:hint="eastAsia" w:ascii="仿宋_GB2312" w:hAnsi="仿宋_GB2312" w:eastAsia="仿宋_GB2312" w:cs="仿宋_GB2312"/>
          <w:sz w:val="32"/>
          <w:szCs w:val="32"/>
        </w:rPr>
      </w:pPr>
      <w:r>
        <w:rPr>
          <w:rFonts w:eastAsia="方正仿宋_GBK" w:cs="Times New Roman"/>
          <w:b/>
          <w:bCs/>
          <w:color w:val="000000"/>
          <w:sz w:val="32"/>
          <w:szCs w:val="32"/>
        </w:rPr>
        <w:t>3、单位资金收入：</w:t>
      </w:r>
      <w:r>
        <w:rPr>
          <w:rFonts w:hint="eastAsia" w:ascii="仿宋_GB2312" w:hAnsi="仿宋_GB2312" w:eastAsia="仿宋_GB2312" w:cs="仿宋_GB2312"/>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eastAsia" w:ascii="仿宋_GB2312" w:hAnsi="仿宋_GB2312" w:eastAsia="仿宋_GB2312" w:cs="仿宋_GB2312"/>
          <w:sz w:val="32"/>
          <w:szCs w:val="32"/>
        </w:rPr>
      </w:pPr>
      <w:r>
        <w:rPr>
          <w:rFonts w:eastAsia="方正仿宋_GBK" w:cs="Times New Roman"/>
          <w:b/>
          <w:bCs/>
          <w:color w:val="000000"/>
          <w:sz w:val="32"/>
          <w:szCs w:val="32"/>
        </w:rPr>
        <w:t>4、事业收入：</w:t>
      </w:r>
      <w:r>
        <w:rPr>
          <w:rFonts w:hint="eastAsia" w:ascii="仿宋_GB2312" w:hAnsi="仿宋_GB2312" w:eastAsia="仿宋_GB2312" w:cs="仿宋_GB2312"/>
          <w:sz w:val="32"/>
          <w:szCs w:val="32"/>
        </w:rPr>
        <w:t>指事业单位开展专业业务活动及辅助活动所取得的收入。</w:t>
      </w:r>
    </w:p>
    <w:p>
      <w:pPr>
        <w:spacing w:before="0" w:after="0" w:line="500" w:lineRule="exact"/>
        <w:ind w:firstLine="560"/>
        <w:jc w:val="left"/>
        <w:outlineLvl w:val="9"/>
      </w:pPr>
      <w:r>
        <w:rPr>
          <w:rFonts w:eastAsia="方正仿宋_GBK" w:cs="Times New Roman"/>
          <w:b/>
          <w:bCs/>
          <w:color w:val="000000"/>
          <w:sz w:val="32"/>
          <w:szCs w:val="32"/>
        </w:rPr>
        <w:t>5、事业单位经营收入：</w:t>
      </w:r>
      <w:r>
        <w:rPr>
          <w:rFonts w:hint="eastAsia" w:ascii="仿宋_GB2312" w:hAnsi="仿宋_GB2312" w:eastAsia="仿宋_GB2312" w:cs="仿宋_GB2312"/>
          <w:sz w:val="32"/>
          <w:szCs w:val="32"/>
        </w:rPr>
        <w:t>指事业单位在专业业务活动及其辅助活动之外开展非独立核算经营活动取得的收入。</w:t>
      </w:r>
    </w:p>
    <w:p>
      <w:pPr>
        <w:spacing w:before="0" w:after="0" w:line="500" w:lineRule="exact"/>
        <w:ind w:firstLine="560"/>
        <w:jc w:val="left"/>
        <w:outlineLvl w:val="9"/>
      </w:pPr>
      <w:r>
        <w:rPr>
          <w:rFonts w:eastAsia="方正仿宋_GBK" w:cs="Times New Roman"/>
          <w:b/>
          <w:bCs/>
          <w:color w:val="000000"/>
          <w:sz w:val="32"/>
          <w:szCs w:val="32"/>
        </w:rPr>
        <w:t>6、上年结转：</w:t>
      </w:r>
      <w:r>
        <w:rPr>
          <w:rFonts w:hint="eastAsia" w:ascii="仿宋_GB2312" w:hAnsi="仿宋_GB2312" w:eastAsia="仿宋_GB2312" w:cs="仿宋_GB2312"/>
          <w:sz w:val="32"/>
          <w:szCs w:val="32"/>
        </w:rPr>
        <w:t>指以前年度安排、结转到本年仍按原规定用途继续使用的资金。</w:t>
      </w:r>
    </w:p>
    <w:p>
      <w:pPr>
        <w:spacing w:before="0" w:after="0" w:line="500" w:lineRule="exact"/>
        <w:ind w:firstLine="560"/>
        <w:jc w:val="left"/>
        <w:outlineLvl w:val="9"/>
        <w:rPr>
          <w:rFonts w:hint="eastAsia" w:ascii="仿宋_GB2312" w:hAnsi="仿宋_GB2312" w:eastAsia="仿宋_GB2312" w:cs="仿宋_GB2312"/>
          <w:sz w:val="32"/>
          <w:szCs w:val="32"/>
        </w:rPr>
      </w:pPr>
      <w:r>
        <w:rPr>
          <w:rFonts w:eastAsia="方正仿宋_GBK" w:cs="Times New Roman"/>
          <w:b/>
          <w:bCs/>
          <w:color w:val="000000"/>
          <w:sz w:val="32"/>
          <w:szCs w:val="32"/>
        </w:rPr>
        <w:t>7、部门预算支出：</w:t>
      </w:r>
      <w:r>
        <w:rPr>
          <w:rFonts w:hint="eastAsia" w:ascii="仿宋_GB2312" w:hAnsi="仿宋_GB2312" w:eastAsia="仿宋_GB2312" w:cs="仿宋_GB2312"/>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eastAsia" w:ascii="仿宋_GB2312" w:hAnsi="仿宋_GB2312" w:eastAsia="仿宋_GB2312" w:cs="仿宋_GB2312"/>
          <w:sz w:val="32"/>
          <w:szCs w:val="32"/>
        </w:rPr>
      </w:pPr>
      <w:r>
        <w:rPr>
          <w:rFonts w:eastAsia="方正仿宋_GBK" w:cs="Times New Roman"/>
          <w:b/>
          <w:bCs/>
          <w:color w:val="000000"/>
          <w:sz w:val="32"/>
          <w:szCs w:val="32"/>
        </w:rPr>
        <w:t>8、事业单位经营支出：</w:t>
      </w:r>
      <w:r>
        <w:rPr>
          <w:rFonts w:hint="eastAsia" w:ascii="仿宋_GB2312" w:hAnsi="仿宋_GB2312" w:eastAsia="仿宋_GB2312" w:cs="仿宋_GB2312"/>
          <w:sz w:val="32"/>
          <w:szCs w:val="32"/>
        </w:rPr>
        <w:t>指事业单位在专业业务活动及其辅助活动之外开展非独立核算经营活动发生的支出。</w:t>
      </w:r>
    </w:p>
    <w:p>
      <w:pPr>
        <w:spacing w:before="0" w:after="0" w:line="500" w:lineRule="exact"/>
        <w:ind w:firstLine="560"/>
        <w:jc w:val="left"/>
        <w:outlineLvl w:val="9"/>
        <w:rPr>
          <w:rFonts w:hint="eastAsia" w:ascii="仿宋_GB2312" w:hAnsi="仿宋_GB2312" w:eastAsia="仿宋_GB2312" w:cs="仿宋_GB2312"/>
          <w:sz w:val="32"/>
          <w:szCs w:val="32"/>
        </w:rPr>
      </w:pPr>
      <w:r>
        <w:rPr>
          <w:rFonts w:eastAsia="方正仿宋_GBK" w:cs="Times New Roman"/>
          <w:b/>
          <w:bCs/>
          <w:color w:val="000000"/>
          <w:sz w:val="32"/>
          <w:szCs w:val="32"/>
        </w:rPr>
        <w:t>9、“三公”经费：</w:t>
      </w:r>
      <w:r>
        <w:rPr>
          <w:rFonts w:hint="eastAsia" w:ascii="仿宋_GB2312" w:hAnsi="仿宋_GB2312" w:eastAsia="仿宋_GB2312" w:cs="仿宋_GB2312"/>
          <w:sz w:val="32"/>
          <w:szCs w:val="32"/>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eastAsia" w:ascii="仿宋_GB2312" w:hAnsi="仿宋_GB2312" w:eastAsia="仿宋_GB2312" w:cs="仿宋_GB2312"/>
          <w:sz w:val="32"/>
          <w:szCs w:val="32"/>
        </w:rPr>
      </w:pPr>
      <w:r>
        <w:rPr>
          <w:rFonts w:eastAsia="方正仿宋_GBK" w:cs="Times New Roman"/>
          <w:b/>
          <w:bCs/>
          <w:color w:val="000000"/>
          <w:sz w:val="32"/>
          <w:szCs w:val="32"/>
        </w:rPr>
        <w:t>10、机关运行经费：</w:t>
      </w:r>
      <w:r>
        <w:rPr>
          <w:rFonts w:hint="eastAsia" w:ascii="仿宋_GB2312" w:hAnsi="仿宋_GB2312" w:eastAsia="仿宋_GB2312" w:cs="仿宋_GB2312"/>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rPr>
          <w:rFonts w:hint="eastAsia" w:ascii="仿宋_GB2312" w:hAnsi="仿宋_GB2312" w:eastAsia="仿宋_GB2312" w:cs="仿宋_GB2312"/>
          <w:sz w:val="32"/>
          <w:szCs w:val="32"/>
        </w:rPr>
        <w:sectPr>
          <w:pgSz w:w="16840" w:h="11900" w:orient="landscape"/>
          <w:pgMar w:top="1361" w:right="1020" w:bottom="1134" w:left="1020" w:header="720" w:footer="720" w:gutter="0"/>
          <w:cols w:space="720" w:num="1"/>
        </w:sectPr>
      </w:pPr>
      <w:r>
        <w:rPr>
          <w:rFonts w:hint="eastAsia" w:ascii="仿宋_GB2312" w:hAnsi="仿宋_GB2312" w:eastAsia="仿宋_GB2312" w:cs="仿宋_GB2312"/>
          <w:sz w:val="32"/>
          <w:szCs w:val="32"/>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一、保定市莲池区委网络安全和信息化委员会办公室本级收支预算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199.91</w:t>
            </w:r>
          </w:p>
        </w:tc>
        <w:tc>
          <w:tcPr>
            <w:tcW w:w="4535" w:type="dxa"/>
            <w:vAlign w:val="center"/>
          </w:tcPr>
          <w:p>
            <w:pPr>
              <w:pStyle w:val="14"/>
            </w:pPr>
            <w:r>
              <w:t>一、一般公共服务支出</w:t>
            </w:r>
          </w:p>
        </w:tc>
        <w:tc>
          <w:tcPr>
            <w:tcW w:w="2126" w:type="dxa"/>
            <w:vAlign w:val="center"/>
          </w:tcPr>
          <w:p>
            <w:pPr>
              <w:pStyle w:val="13"/>
            </w:pPr>
            <w:r>
              <w:t>199.91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199.91</w:t>
            </w:r>
          </w:p>
        </w:tc>
        <w:tc>
          <w:tcPr>
            <w:tcW w:w="4535" w:type="dxa"/>
            <w:vAlign w:val="center"/>
          </w:tcPr>
          <w:p>
            <w:pPr>
              <w:pStyle w:val="16"/>
            </w:pPr>
            <w:r>
              <w:t>本年支出合计</w:t>
            </w:r>
          </w:p>
        </w:tc>
        <w:tc>
          <w:tcPr>
            <w:tcW w:w="2126" w:type="dxa"/>
            <w:vAlign w:val="center"/>
          </w:tcPr>
          <w:p>
            <w:pPr>
              <w:pStyle w:val="17"/>
            </w:pPr>
            <w:r>
              <w:t>199.91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199.91</w:t>
            </w:r>
          </w:p>
        </w:tc>
        <w:tc>
          <w:tcPr>
            <w:tcW w:w="4535" w:type="dxa"/>
            <w:vAlign w:val="center"/>
          </w:tcPr>
          <w:p>
            <w:pPr>
              <w:pStyle w:val="16"/>
            </w:pPr>
            <w:r>
              <w:t>支出总计</w:t>
            </w:r>
          </w:p>
        </w:tc>
        <w:tc>
          <w:tcPr>
            <w:tcW w:w="2126" w:type="dxa"/>
            <w:vAlign w:val="center"/>
          </w:tcPr>
          <w:p>
            <w:pPr>
              <w:pStyle w:val="17"/>
            </w:pPr>
            <w:r>
              <w:t>199.91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199.91</w:t>
            </w:r>
          </w:p>
        </w:tc>
        <w:tc>
          <w:tcPr>
            <w:tcW w:w="1134" w:type="dxa"/>
            <w:vAlign w:val="center"/>
          </w:tcPr>
          <w:p>
            <w:pPr>
              <w:pStyle w:val="17"/>
            </w:pPr>
            <w:r>
              <w:t>199.91</w:t>
            </w:r>
          </w:p>
        </w:tc>
        <w:tc>
          <w:tcPr>
            <w:tcW w:w="1134" w:type="dxa"/>
            <w:vAlign w:val="center"/>
          </w:tcPr>
          <w:p>
            <w:pPr>
              <w:pStyle w:val="17"/>
            </w:pPr>
            <w:r>
              <w:t>199.91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199.91</w:t>
            </w:r>
          </w:p>
        </w:tc>
        <w:tc>
          <w:tcPr>
            <w:tcW w:w="1134" w:type="dxa"/>
            <w:vAlign w:val="center"/>
          </w:tcPr>
          <w:p>
            <w:pPr>
              <w:pStyle w:val="13"/>
            </w:pPr>
            <w:r>
              <w:t>199.91</w:t>
            </w:r>
          </w:p>
        </w:tc>
        <w:tc>
          <w:tcPr>
            <w:tcW w:w="1134" w:type="dxa"/>
            <w:vAlign w:val="center"/>
          </w:tcPr>
          <w:p>
            <w:pPr>
              <w:pStyle w:val="13"/>
            </w:pPr>
            <w:r>
              <w:t>199.91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20137</w:t>
            </w:r>
          </w:p>
        </w:tc>
        <w:tc>
          <w:tcPr>
            <w:tcW w:w="1559" w:type="dxa"/>
            <w:vAlign w:val="center"/>
          </w:tcPr>
          <w:p>
            <w:pPr>
              <w:pStyle w:val="14"/>
            </w:pPr>
            <w:r>
              <w:t>网信事务</w:t>
            </w:r>
          </w:p>
        </w:tc>
        <w:tc>
          <w:tcPr>
            <w:tcW w:w="1134" w:type="dxa"/>
            <w:vAlign w:val="center"/>
          </w:tcPr>
          <w:p>
            <w:pPr>
              <w:pStyle w:val="13"/>
            </w:pPr>
            <w:r>
              <w:t>199.91</w:t>
            </w:r>
          </w:p>
        </w:tc>
        <w:tc>
          <w:tcPr>
            <w:tcW w:w="1134" w:type="dxa"/>
            <w:vAlign w:val="center"/>
          </w:tcPr>
          <w:p>
            <w:pPr>
              <w:pStyle w:val="13"/>
            </w:pPr>
            <w:r>
              <w:t>199.91</w:t>
            </w:r>
          </w:p>
        </w:tc>
        <w:tc>
          <w:tcPr>
            <w:tcW w:w="1134" w:type="dxa"/>
            <w:vAlign w:val="center"/>
          </w:tcPr>
          <w:p>
            <w:pPr>
              <w:pStyle w:val="13"/>
            </w:pPr>
            <w:r>
              <w:t>199.91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2013701</w:t>
            </w:r>
          </w:p>
        </w:tc>
        <w:tc>
          <w:tcPr>
            <w:tcW w:w="1559" w:type="dxa"/>
            <w:vAlign w:val="center"/>
          </w:tcPr>
          <w:p>
            <w:pPr>
              <w:pStyle w:val="14"/>
            </w:pPr>
            <w:r>
              <w:t>行政运行</w:t>
            </w:r>
          </w:p>
        </w:tc>
        <w:tc>
          <w:tcPr>
            <w:tcW w:w="1134" w:type="dxa"/>
            <w:vAlign w:val="center"/>
          </w:tcPr>
          <w:p>
            <w:pPr>
              <w:pStyle w:val="13"/>
            </w:pPr>
            <w:r>
              <w:t>149.91</w:t>
            </w:r>
          </w:p>
        </w:tc>
        <w:tc>
          <w:tcPr>
            <w:tcW w:w="1134" w:type="dxa"/>
            <w:vAlign w:val="center"/>
          </w:tcPr>
          <w:p>
            <w:pPr>
              <w:pStyle w:val="13"/>
            </w:pPr>
            <w:r>
              <w:t>149.91</w:t>
            </w:r>
          </w:p>
        </w:tc>
        <w:tc>
          <w:tcPr>
            <w:tcW w:w="1134" w:type="dxa"/>
            <w:vAlign w:val="center"/>
          </w:tcPr>
          <w:p>
            <w:pPr>
              <w:pStyle w:val="13"/>
            </w:pPr>
            <w:r>
              <w:t>149.91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2013702</w:t>
            </w:r>
          </w:p>
        </w:tc>
        <w:tc>
          <w:tcPr>
            <w:tcW w:w="1559" w:type="dxa"/>
            <w:vAlign w:val="center"/>
          </w:tcPr>
          <w:p>
            <w:pPr>
              <w:pStyle w:val="14"/>
            </w:pPr>
            <w:r>
              <w:t>一般行政管理事务</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2013799</w:t>
            </w:r>
          </w:p>
        </w:tc>
        <w:tc>
          <w:tcPr>
            <w:tcW w:w="1559" w:type="dxa"/>
            <w:vAlign w:val="center"/>
          </w:tcPr>
          <w:p>
            <w:pPr>
              <w:pStyle w:val="14"/>
            </w:pPr>
            <w:r>
              <w:t>其他网信事务支出</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199.91</w:t>
            </w:r>
          </w:p>
        </w:tc>
        <w:tc>
          <w:tcPr>
            <w:tcW w:w="1361" w:type="dxa"/>
            <w:vAlign w:val="center"/>
          </w:tcPr>
          <w:p>
            <w:pPr>
              <w:pStyle w:val="17"/>
            </w:pPr>
            <w:r>
              <w:t>149.91</w:t>
            </w:r>
          </w:p>
        </w:tc>
        <w:tc>
          <w:tcPr>
            <w:tcW w:w="1361" w:type="dxa"/>
            <w:vAlign w:val="center"/>
          </w:tcPr>
          <w:p>
            <w:pPr>
              <w:pStyle w:val="17"/>
            </w:pPr>
            <w:r>
              <w:t>50.00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199.91</w:t>
            </w:r>
          </w:p>
        </w:tc>
        <w:tc>
          <w:tcPr>
            <w:tcW w:w="1361" w:type="dxa"/>
            <w:vAlign w:val="center"/>
          </w:tcPr>
          <w:p>
            <w:pPr>
              <w:pStyle w:val="13"/>
            </w:pPr>
            <w:r>
              <w:t>149.91</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20137</w:t>
            </w:r>
          </w:p>
        </w:tc>
        <w:tc>
          <w:tcPr>
            <w:tcW w:w="4535" w:type="dxa"/>
            <w:vAlign w:val="center"/>
          </w:tcPr>
          <w:p>
            <w:pPr>
              <w:pStyle w:val="14"/>
            </w:pPr>
            <w:r>
              <w:t>网信事务</w:t>
            </w:r>
          </w:p>
        </w:tc>
        <w:tc>
          <w:tcPr>
            <w:tcW w:w="1361" w:type="dxa"/>
            <w:vAlign w:val="center"/>
          </w:tcPr>
          <w:p>
            <w:pPr>
              <w:pStyle w:val="13"/>
            </w:pPr>
            <w:r>
              <w:t>199.91</w:t>
            </w:r>
          </w:p>
        </w:tc>
        <w:tc>
          <w:tcPr>
            <w:tcW w:w="1361" w:type="dxa"/>
            <w:vAlign w:val="center"/>
          </w:tcPr>
          <w:p>
            <w:pPr>
              <w:pStyle w:val="13"/>
            </w:pPr>
            <w:r>
              <w:t>149.91</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2013701</w:t>
            </w:r>
          </w:p>
        </w:tc>
        <w:tc>
          <w:tcPr>
            <w:tcW w:w="4535" w:type="dxa"/>
            <w:vAlign w:val="center"/>
          </w:tcPr>
          <w:p>
            <w:pPr>
              <w:pStyle w:val="14"/>
            </w:pPr>
            <w:r>
              <w:t>行政运行</w:t>
            </w:r>
          </w:p>
        </w:tc>
        <w:tc>
          <w:tcPr>
            <w:tcW w:w="1361" w:type="dxa"/>
            <w:vAlign w:val="center"/>
          </w:tcPr>
          <w:p>
            <w:pPr>
              <w:pStyle w:val="13"/>
            </w:pPr>
            <w:r>
              <w:t>149.91</w:t>
            </w:r>
          </w:p>
        </w:tc>
        <w:tc>
          <w:tcPr>
            <w:tcW w:w="1361" w:type="dxa"/>
            <w:vAlign w:val="center"/>
          </w:tcPr>
          <w:p>
            <w:pPr>
              <w:pStyle w:val="13"/>
            </w:pPr>
            <w:r>
              <w:t>149.91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2013702</w:t>
            </w:r>
          </w:p>
        </w:tc>
        <w:tc>
          <w:tcPr>
            <w:tcW w:w="4535" w:type="dxa"/>
            <w:vAlign w:val="center"/>
          </w:tcPr>
          <w:p>
            <w:pPr>
              <w:pStyle w:val="14"/>
            </w:pPr>
            <w:r>
              <w:t>一般行政管理事务</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2013799</w:t>
            </w:r>
          </w:p>
        </w:tc>
        <w:tc>
          <w:tcPr>
            <w:tcW w:w="4535" w:type="dxa"/>
            <w:vAlign w:val="center"/>
          </w:tcPr>
          <w:p>
            <w:pPr>
              <w:pStyle w:val="14"/>
            </w:pPr>
            <w:r>
              <w:t>其他网信事务支出</w:t>
            </w: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199.91</w:t>
            </w:r>
          </w:p>
        </w:tc>
        <w:tc>
          <w:tcPr>
            <w:tcW w:w="3402" w:type="dxa"/>
            <w:vAlign w:val="center"/>
          </w:tcPr>
          <w:p>
            <w:pPr>
              <w:pStyle w:val="14"/>
            </w:pPr>
            <w:r>
              <w:t>一、一般公共服务支出</w:t>
            </w:r>
          </w:p>
        </w:tc>
        <w:tc>
          <w:tcPr>
            <w:tcW w:w="1474" w:type="dxa"/>
            <w:vAlign w:val="center"/>
          </w:tcPr>
          <w:p>
            <w:pPr>
              <w:pStyle w:val="13"/>
            </w:pPr>
            <w:r>
              <w:t>199.91</w:t>
            </w:r>
          </w:p>
        </w:tc>
        <w:tc>
          <w:tcPr>
            <w:tcW w:w="1474" w:type="dxa"/>
            <w:vAlign w:val="center"/>
          </w:tcPr>
          <w:p>
            <w:pPr>
              <w:pStyle w:val="13"/>
            </w:pPr>
            <w:r>
              <w:t>199.91</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199.91</w:t>
            </w:r>
          </w:p>
        </w:tc>
        <w:tc>
          <w:tcPr>
            <w:tcW w:w="3402" w:type="dxa"/>
            <w:vAlign w:val="center"/>
          </w:tcPr>
          <w:p>
            <w:pPr>
              <w:pStyle w:val="16"/>
            </w:pPr>
            <w:r>
              <w:t>本年支出合计</w:t>
            </w:r>
          </w:p>
        </w:tc>
        <w:tc>
          <w:tcPr>
            <w:tcW w:w="1474" w:type="dxa"/>
            <w:vAlign w:val="center"/>
          </w:tcPr>
          <w:p>
            <w:pPr>
              <w:pStyle w:val="17"/>
            </w:pPr>
            <w:r>
              <w:t>199.91</w:t>
            </w:r>
          </w:p>
        </w:tc>
        <w:tc>
          <w:tcPr>
            <w:tcW w:w="1474" w:type="dxa"/>
            <w:vAlign w:val="center"/>
          </w:tcPr>
          <w:p>
            <w:pPr>
              <w:pStyle w:val="17"/>
            </w:pPr>
            <w:r>
              <w:t>199.91</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199.91</w:t>
            </w:r>
          </w:p>
        </w:tc>
        <w:tc>
          <w:tcPr>
            <w:tcW w:w="3402" w:type="dxa"/>
            <w:vAlign w:val="center"/>
          </w:tcPr>
          <w:p>
            <w:pPr>
              <w:pStyle w:val="16"/>
            </w:pPr>
            <w:r>
              <w:t>支出总计</w:t>
            </w:r>
          </w:p>
        </w:tc>
        <w:tc>
          <w:tcPr>
            <w:tcW w:w="1474" w:type="dxa"/>
            <w:vAlign w:val="center"/>
          </w:tcPr>
          <w:p>
            <w:pPr>
              <w:pStyle w:val="17"/>
            </w:pPr>
            <w:r>
              <w:t>199.91</w:t>
            </w:r>
          </w:p>
        </w:tc>
        <w:tc>
          <w:tcPr>
            <w:tcW w:w="1474" w:type="dxa"/>
            <w:vAlign w:val="center"/>
          </w:tcPr>
          <w:p>
            <w:pPr>
              <w:pStyle w:val="17"/>
            </w:pPr>
            <w:r>
              <w:t>199.91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199.91</w:t>
            </w:r>
          </w:p>
        </w:tc>
        <w:tc>
          <w:tcPr>
            <w:tcW w:w="2551" w:type="dxa"/>
            <w:vAlign w:val="center"/>
          </w:tcPr>
          <w:p>
            <w:pPr>
              <w:pStyle w:val="17"/>
            </w:pPr>
            <w:r>
              <w:t>149.91</w:t>
            </w:r>
          </w:p>
        </w:tc>
        <w:tc>
          <w:tcPr>
            <w:tcW w:w="2551" w:type="dxa"/>
            <w:vAlign w:val="center"/>
          </w:tcPr>
          <w:p>
            <w:pPr>
              <w:pStyle w:val="17"/>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199.91</w:t>
            </w:r>
          </w:p>
        </w:tc>
        <w:tc>
          <w:tcPr>
            <w:tcW w:w="2551" w:type="dxa"/>
            <w:vAlign w:val="center"/>
          </w:tcPr>
          <w:p>
            <w:pPr>
              <w:pStyle w:val="13"/>
            </w:pPr>
            <w:r>
              <w:t>149.91</w:t>
            </w:r>
          </w:p>
        </w:tc>
        <w:tc>
          <w:tcPr>
            <w:tcW w:w="2551" w:type="dxa"/>
            <w:vAlign w:val="center"/>
          </w:tcPr>
          <w:p>
            <w:pPr>
              <w:pStyle w:val="13"/>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20137</w:t>
            </w:r>
          </w:p>
        </w:tc>
        <w:tc>
          <w:tcPr>
            <w:tcW w:w="4535" w:type="dxa"/>
            <w:vAlign w:val="center"/>
          </w:tcPr>
          <w:p>
            <w:pPr>
              <w:pStyle w:val="14"/>
            </w:pPr>
            <w:r>
              <w:t>网信事务</w:t>
            </w:r>
          </w:p>
        </w:tc>
        <w:tc>
          <w:tcPr>
            <w:tcW w:w="2551" w:type="dxa"/>
            <w:vAlign w:val="center"/>
          </w:tcPr>
          <w:p>
            <w:pPr>
              <w:pStyle w:val="13"/>
            </w:pPr>
            <w:r>
              <w:t>199.91</w:t>
            </w:r>
          </w:p>
        </w:tc>
        <w:tc>
          <w:tcPr>
            <w:tcW w:w="2551" w:type="dxa"/>
            <w:vAlign w:val="center"/>
          </w:tcPr>
          <w:p>
            <w:pPr>
              <w:pStyle w:val="13"/>
            </w:pPr>
            <w:r>
              <w:t>149.91</w:t>
            </w:r>
          </w:p>
        </w:tc>
        <w:tc>
          <w:tcPr>
            <w:tcW w:w="2551" w:type="dxa"/>
            <w:vAlign w:val="center"/>
          </w:tcPr>
          <w:p>
            <w:pPr>
              <w:pStyle w:val="13"/>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2013701</w:t>
            </w:r>
          </w:p>
        </w:tc>
        <w:tc>
          <w:tcPr>
            <w:tcW w:w="4535" w:type="dxa"/>
            <w:vAlign w:val="center"/>
          </w:tcPr>
          <w:p>
            <w:pPr>
              <w:pStyle w:val="14"/>
            </w:pPr>
            <w:r>
              <w:t>行政运行</w:t>
            </w:r>
          </w:p>
        </w:tc>
        <w:tc>
          <w:tcPr>
            <w:tcW w:w="2551" w:type="dxa"/>
            <w:vAlign w:val="center"/>
          </w:tcPr>
          <w:p>
            <w:pPr>
              <w:pStyle w:val="13"/>
            </w:pPr>
            <w:r>
              <w:t>149.91</w:t>
            </w:r>
          </w:p>
        </w:tc>
        <w:tc>
          <w:tcPr>
            <w:tcW w:w="2551" w:type="dxa"/>
            <w:vAlign w:val="center"/>
          </w:tcPr>
          <w:p>
            <w:pPr>
              <w:pStyle w:val="13"/>
            </w:pPr>
            <w:r>
              <w:t>149.91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2013702</w:t>
            </w:r>
          </w:p>
        </w:tc>
        <w:tc>
          <w:tcPr>
            <w:tcW w:w="4535" w:type="dxa"/>
            <w:vAlign w:val="center"/>
          </w:tcPr>
          <w:p>
            <w:pPr>
              <w:pStyle w:val="14"/>
            </w:pPr>
            <w:r>
              <w:t>一般行政管理事务</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2013799</w:t>
            </w:r>
          </w:p>
        </w:tc>
        <w:tc>
          <w:tcPr>
            <w:tcW w:w="4535" w:type="dxa"/>
            <w:vAlign w:val="center"/>
          </w:tcPr>
          <w:p>
            <w:pPr>
              <w:pStyle w:val="14"/>
            </w:pPr>
            <w:r>
              <w:t>其他网信事务支出</w:t>
            </w:r>
          </w:p>
        </w:tc>
        <w:tc>
          <w:tcPr>
            <w:tcW w:w="2551" w:type="dxa"/>
            <w:vAlign w:val="center"/>
          </w:tcPr>
          <w:p>
            <w:pPr>
              <w:pStyle w:val="13"/>
            </w:pPr>
            <w:r>
              <w:t>35.00</w:t>
            </w:r>
          </w:p>
        </w:tc>
        <w:tc>
          <w:tcPr>
            <w:tcW w:w="2551" w:type="dxa"/>
            <w:vAlign w:val="center"/>
          </w:tcPr>
          <w:p>
            <w:pPr>
              <w:pStyle w:val="13"/>
            </w:pPr>
          </w:p>
        </w:tc>
        <w:tc>
          <w:tcPr>
            <w:tcW w:w="2551" w:type="dxa"/>
            <w:vAlign w:val="center"/>
          </w:tcPr>
          <w:p>
            <w:pPr>
              <w:pStyle w:val="13"/>
            </w:pPr>
            <w:r>
              <w:t>35.00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149.91</w:t>
            </w:r>
          </w:p>
        </w:tc>
        <w:tc>
          <w:tcPr>
            <w:tcW w:w="2551" w:type="dxa"/>
            <w:vAlign w:val="center"/>
          </w:tcPr>
          <w:p>
            <w:pPr>
              <w:pStyle w:val="17"/>
            </w:pPr>
            <w:r>
              <w:t>138.08</w:t>
            </w:r>
          </w:p>
        </w:tc>
        <w:tc>
          <w:tcPr>
            <w:tcW w:w="2551" w:type="dxa"/>
            <w:vAlign w:val="center"/>
          </w:tcPr>
          <w:p>
            <w:pPr>
              <w:pStyle w:val="17"/>
            </w:pPr>
            <w:r>
              <w:t>11.83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138.08</w:t>
            </w:r>
          </w:p>
        </w:tc>
        <w:tc>
          <w:tcPr>
            <w:tcW w:w="2551" w:type="dxa"/>
            <w:vAlign w:val="center"/>
          </w:tcPr>
          <w:p>
            <w:pPr>
              <w:pStyle w:val="13"/>
            </w:pPr>
            <w:r>
              <w:t>138.08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38.00</w:t>
            </w:r>
          </w:p>
        </w:tc>
        <w:tc>
          <w:tcPr>
            <w:tcW w:w="2551" w:type="dxa"/>
            <w:vAlign w:val="center"/>
          </w:tcPr>
          <w:p>
            <w:pPr>
              <w:pStyle w:val="13"/>
            </w:pPr>
            <w:r>
              <w:t>38.00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31.02</w:t>
            </w:r>
          </w:p>
        </w:tc>
        <w:tc>
          <w:tcPr>
            <w:tcW w:w="2551" w:type="dxa"/>
            <w:vAlign w:val="center"/>
          </w:tcPr>
          <w:p>
            <w:pPr>
              <w:pStyle w:val="13"/>
            </w:pPr>
            <w:r>
              <w:t>31.02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27.00</w:t>
            </w:r>
          </w:p>
        </w:tc>
        <w:tc>
          <w:tcPr>
            <w:tcW w:w="2551" w:type="dxa"/>
            <w:vAlign w:val="center"/>
          </w:tcPr>
          <w:p>
            <w:pPr>
              <w:pStyle w:val="13"/>
            </w:pPr>
            <w:r>
              <w:t>27.00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8.00</w:t>
            </w:r>
          </w:p>
        </w:tc>
        <w:tc>
          <w:tcPr>
            <w:tcW w:w="2551" w:type="dxa"/>
            <w:vAlign w:val="center"/>
          </w:tcPr>
          <w:p>
            <w:pPr>
              <w:pStyle w:val="13"/>
            </w:pPr>
            <w:r>
              <w:t>8.00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13.00</w:t>
            </w:r>
          </w:p>
        </w:tc>
        <w:tc>
          <w:tcPr>
            <w:tcW w:w="2551" w:type="dxa"/>
            <w:vAlign w:val="center"/>
          </w:tcPr>
          <w:p>
            <w:pPr>
              <w:pStyle w:val="13"/>
            </w:pPr>
            <w:r>
              <w:t>13.00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5.06</w:t>
            </w:r>
          </w:p>
        </w:tc>
        <w:tc>
          <w:tcPr>
            <w:tcW w:w="2551" w:type="dxa"/>
            <w:vAlign w:val="center"/>
          </w:tcPr>
          <w:p>
            <w:pPr>
              <w:pStyle w:val="13"/>
            </w:pPr>
            <w:r>
              <w:t>5.06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3.00</w:t>
            </w:r>
          </w:p>
        </w:tc>
        <w:tc>
          <w:tcPr>
            <w:tcW w:w="2551" w:type="dxa"/>
            <w:vAlign w:val="center"/>
          </w:tcPr>
          <w:p>
            <w:pPr>
              <w:pStyle w:val="13"/>
            </w:pPr>
            <w:r>
              <w:t>3.00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2.00</w:t>
            </w:r>
          </w:p>
        </w:tc>
        <w:tc>
          <w:tcPr>
            <w:tcW w:w="2551" w:type="dxa"/>
            <w:vAlign w:val="center"/>
          </w:tcPr>
          <w:p>
            <w:pPr>
              <w:pStyle w:val="13"/>
            </w:pPr>
            <w:r>
              <w:t>2.00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11.00</w:t>
            </w:r>
          </w:p>
        </w:tc>
        <w:tc>
          <w:tcPr>
            <w:tcW w:w="2551" w:type="dxa"/>
            <w:vAlign w:val="center"/>
          </w:tcPr>
          <w:p>
            <w:pPr>
              <w:pStyle w:val="13"/>
            </w:pPr>
            <w:r>
              <w:t>11.00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11.83</w:t>
            </w:r>
          </w:p>
        </w:tc>
        <w:tc>
          <w:tcPr>
            <w:tcW w:w="2551" w:type="dxa"/>
            <w:vAlign w:val="center"/>
          </w:tcPr>
          <w:p>
            <w:pPr>
              <w:pStyle w:val="13"/>
            </w:pPr>
          </w:p>
        </w:tc>
        <w:tc>
          <w:tcPr>
            <w:tcW w:w="2551" w:type="dxa"/>
            <w:vAlign w:val="center"/>
          </w:tcPr>
          <w:p>
            <w:pPr>
              <w:pStyle w:val="13"/>
            </w:pPr>
            <w:r>
              <w:t>11.83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1.62</w:t>
            </w:r>
          </w:p>
        </w:tc>
        <w:tc>
          <w:tcPr>
            <w:tcW w:w="2551" w:type="dxa"/>
            <w:vAlign w:val="center"/>
          </w:tcPr>
          <w:p>
            <w:pPr>
              <w:pStyle w:val="13"/>
            </w:pPr>
          </w:p>
        </w:tc>
        <w:tc>
          <w:tcPr>
            <w:tcW w:w="2551" w:type="dxa"/>
            <w:vAlign w:val="center"/>
          </w:tcPr>
          <w:p>
            <w:pPr>
              <w:pStyle w:val="13"/>
            </w:pPr>
            <w:r>
              <w:t>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3.54</w:t>
            </w:r>
          </w:p>
        </w:tc>
        <w:tc>
          <w:tcPr>
            <w:tcW w:w="2551" w:type="dxa"/>
            <w:vAlign w:val="center"/>
          </w:tcPr>
          <w:p>
            <w:pPr>
              <w:pStyle w:val="13"/>
            </w:pPr>
          </w:p>
        </w:tc>
        <w:tc>
          <w:tcPr>
            <w:tcW w:w="2551" w:type="dxa"/>
            <w:vAlign w:val="center"/>
          </w:tcPr>
          <w:p>
            <w:pPr>
              <w:pStyle w:val="13"/>
            </w:pPr>
            <w:r>
              <w:t>3.54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0.74</w:t>
            </w:r>
          </w:p>
        </w:tc>
        <w:tc>
          <w:tcPr>
            <w:tcW w:w="2551" w:type="dxa"/>
            <w:vAlign w:val="center"/>
          </w:tcPr>
          <w:p>
            <w:pPr>
              <w:pStyle w:val="13"/>
            </w:pPr>
          </w:p>
        </w:tc>
        <w:tc>
          <w:tcPr>
            <w:tcW w:w="2551" w:type="dxa"/>
            <w:vAlign w:val="center"/>
          </w:tcPr>
          <w:p>
            <w:pPr>
              <w:pStyle w:val="13"/>
            </w:pPr>
            <w:r>
              <w:t>0.74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0.88</w:t>
            </w:r>
          </w:p>
        </w:tc>
        <w:tc>
          <w:tcPr>
            <w:tcW w:w="2551" w:type="dxa"/>
            <w:vAlign w:val="center"/>
          </w:tcPr>
          <w:p>
            <w:pPr>
              <w:pStyle w:val="13"/>
            </w:pPr>
          </w:p>
        </w:tc>
        <w:tc>
          <w:tcPr>
            <w:tcW w:w="2551" w:type="dxa"/>
            <w:vAlign w:val="center"/>
          </w:tcPr>
          <w:p>
            <w:pPr>
              <w:pStyle w:val="13"/>
            </w:pPr>
            <w:r>
              <w:t>0.88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0.05</w:t>
            </w:r>
          </w:p>
        </w:tc>
        <w:tc>
          <w:tcPr>
            <w:tcW w:w="2551" w:type="dxa"/>
            <w:vAlign w:val="center"/>
          </w:tcPr>
          <w:p>
            <w:pPr>
              <w:pStyle w:val="13"/>
            </w:pPr>
          </w:p>
        </w:tc>
        <w:tc>
          <w:tcPr>
            <w:tcW w:w="2551" w:type="dxa"/>
            <w:vAlign w:val="center"/>
          </w:tcPr>
          <w:p>
            <w:pPr>
              <w:pStyle w:val="13"/>
            </w:pPr>
            <w:r>
              <w:t>0.05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保定市莲池区委网络安全和信息化委员会办公室本级2025年单位预算信息公开情况说明</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按照《中华人民共和国预算法》、《地方预决算公开操作规程》和《关于进一步推进预算公开工作的实施意见》规定，现将保定市莲池区委网络安全和信息化委员会办公室本级2025年单位预算公开如下：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rPr>
          <w:rFonts w:hint="eastAsia" w:ascii="仿宋_GB2312" w:hAnsi="仿宋_GB2312" w:eastAsia="仿宋_GB2312" w:cs="仿宋_GB2312"/>
          <w:sz w:val="32"/>
          <w:szCs w:val="32"/>
        </w:rPr>
        <w:t>中共保定市莲池区委网络安全和信息化委员会办公室部门职责内容属涉密信息，不予公开。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保定市莲池区委网络安全和信息化委员会办公室本级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按照预算管理有关规定，目前部门预算的编制实行综合预算管理，即全部收入和支出都反映在预算中。保定市莲池区委网络安全和信息化委员会办公室机关及所属事业单位的收支包含在部门预算中。</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、收入说明</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反映本部门当年全部收入。2025年预算收入199.91</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其中：一般公共预算收入199.91万元，基金预算收入0.00万元，国有资本经营预算收入0.00万元，财政专户核拨收入0.00万元，单位资金收入0.00万元，上年结转结余0.00万元。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、支出说明</w:t>
      </w:r>
    </w:p>
    <w:p>
      <w:pPr>
        <w:widowControl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收支预算总表支出栏、基本支出表、项目支出表按经济分类和支出功能分类科目编制，反映保定市莲池区委网络安全和信息化委员会办公室年度部门预算中支出预算的总体情况。</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lang w:eastAsia="zh-CN"/>
        </w:rPr>
        <w:t>199.91</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eastAsia="zh-CN"/>
        </w:rPr>
        <w:t>149.91</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其中：人员经费</w:t>
      </w:r>
      <w:r>
        <w:rPr>
          <w:rFonts w:hint="eastAsia" w:ascii="仿宋_GB2312" w:hAnsi="仿宋_GB2312" w:eastAsia="仿宋_GB2312" w:cs="仿宋_GB2312"/>
          <w:sz w:val="32"/>
          <w:szCs w:val="32"/>
          <w:lang w:eastAsia="zh-CN"/>
        </w:rPr>
        <w:t>138.08</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日常公用经费</w:t>
      </w:r>
      <w:r>
        <w:rPr>
          <w:rFonts w:hint="eastAsia" w:ascii="仿宋_GB2312" w:hAnsi="仿宋_GB2312" w:eastAsia="仿宋_GB2312" w:cs="仿宋_GB2312"/>
          <w:sz w:val="32"/>
          <w:szCs w:val="32"/>
          <w:lang w:eastAsia="zh-CN"/>
        </w:rPr>
        <w:t>11.83</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专项公用支出</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.00</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其中：</w:t>
      </w:r>
      <w:r>
        <w:rPr>
          <w:rFonts w:hint="eastAsia" w:ascii="仿宋_GB2312" w:hAnsi="仿宋_GB2312" w:eastAsia="仿宋_GB2312" w:cs="仿宋_GB2312"/>
          <w:sz w:val="32"/>
          <w:szCs w:val="32"/>
          <w:lang w:eastAsia="zh-CN"/>
        </w:rPr>
        <w:t>综合业务费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15</w:t>
      </w:r>
      <w:r>
        <w:rPr>
          <w:rFonts w:hint="eastAsia" w:ascii="仿宋_GB2312" w:hAnsi="仿宋_GB2312" w:eastAsia="仿宋_GB2312" w:cs="仿宋_GB2312"/>
          <w:sz w:val="32"/>
          <w:szCs w:val="32"/>
        </w:rPr>
        <w:t>万元</w:t>
      </w:r>
    </w:p>
    <w:p>
      <w:pPr>
        <w:widowControl w:val="0"/>
        <w:spacing w:line="560" w:lineRule="exact"/>
        <w:ind w:firstLine="1920" w:firstLineChars="6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网络舆情系统</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20万元</w:t>
      </w:r>
    </w:p>
    <w:p>
      <w:pPr>
        <w:widowControl w:val="0"/>
        <w:spacing w:line="560" w:lineRule="exact"/>
        <w:ind w:firstLine="1920" w:firstLineChars="6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自媒体宣传专项经费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15</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、比上年增减情况</w:t>
      </w:r>
    </w:p>
    <w:p>
      <w:pPr>
        <w:widowControl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本年度预算收支安排</w:t>
      </w:r>
      <w:r>
        <w:rPr>
          <w:rFonts w:hint="eastAsia" w:ascii="仿宋_GB2312" w:hAnsi="仿宋_GB2312" w:eastAsia="仿宋_GB2312" w:cs="仿宋_GB2312"/>
          <w:sz w:val="32"/>
          <w:szCs w:val="32"/>
          <w:lang w:eastAsia="zh-CN"/>
        </w:rPr>
        <w:t>199.91万元，</w:t>
      </w:r>
      <w:r>
        <w:rPr>
          <w:rFonts w:hint="eastAsia" w:ascii="仿宋_GB2312" w:hAnsi="仿宋_GB2312" w:eastAsia="仿宋_GB2312" w:cs="仿宋_GB2312"/>
          <w:sz w:val="32"/>
          <w:szCs w:val="32"/>
        </w:rPr>
        <w:t>较上年</w:t>
      </w:r>
      <w:r>
        <w:rPr>
          <w:rFonts w:hint="eastAsia" w:ascii="仿宋_GB2312" w:hAnsi="仿宋_GB2312" w:eastAsia="仿宋_GB2312" w:cs="仿宋_GB2312"/>
          <w:sz w:val="32"/>
          <w:szCs w:val="32"/>
          <w:lang w:val="en-US" w:eastAsia="zh-CN"/>
        </w:rPr>
        <w:t>减少3.91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减少3.91</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因</w:t>
      </w:r>
      <w:r>
        <w:rPr>
          <w:rFonts w:hint="eastAsia" w:ascii="仿宋_GB2312" w:hAnsi="仿宋_GB2312" w:eastAsia="仿宋_GB2312" w:cs="仿宋_GB2312"/>
          <w:sz w:val="32"/>
          <w:szCs w:val="32"/>
          <w:lang w:val="en-US" w:eastAsia="zh-CN"/>
        </w:rPr>
        <w:t>人员变动</w:t>
      </w:r>
      <w:r>
        <w:rPr>
          <w:rFonts w:hint="eastAsia" w:ascii="仿宋_GB2312" w:hAnsi="仿宋_GB2312" w:eastAsia="仿宋_GB2312" w:cs="仿宋_GB2312"/>
          <w:sz w:val="32"/>
          <w:szCs w:val="32"/>
          <w:lang w:eastAsia="zh-CN"/>
        </w:rPr>
        <w:t>，人员经费和日常公用经费</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sz w:val="32"/>
          <w:szCs w:val="32"/>
        </w:rPr>
        <w:t>。</w:t>
      </w:r>
    </w:p>
    <w:p>
      <w:pPr>
        <w:spacing w:before="10" w:after="10" w:line="240" w:lineRule="auto"/>
        <w:ind w:firstLine="640"/>
        <w:jc w:val="left"/>
        <w:outlineLvl w:val="5"/>
        <w:rPr>
          <w:rFonts w:ascii="黑体" w:hAnsi="黑体" w:eastAsia="黑体" w:cs="黑体"/>
          <w:color w:val="000000"/>
          <w:sz w:val="32"/>
        </w:rPr>
      </w:pPr>
      <w:r>
        <w:rPr>
          <w:rFonts w:hint="eastAsia" w:ascii="黑体" w:hAnsi="黑体" w:eastAsia="黑体" w:cs="黑体"/>
          <w:color w:val="000000"/>
          <w:sz w:val="32"/>
          <w:lang w:val="en-US" w:eastAsia="zh-CN"/>
        </w:rPr>
        <w:t>三、</w:t>
      </w:r>
      <w:r>
        <w:rPr>
          <w:rFonts w:ascii="黑体" w:hAnsi="黑体" w:eastAsia="黑体" w:cs="黑体"/>
          <w:color w:val="000000"/>
          <w:sz w:val="32"/>
        </w:rPr>
        <w:t>机关运行经费安排情况</w:t>
      </w:r>
    </w:p>
    <w:p>
      <w:pPr>
        <w:widowControl w:val="0"/>
        <w:spacing w:line="560" w:lineRule="exact"/>
        <w:ind w:firstLine="640" w:firstLineChars="200"/>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年，我部门机关运行经费安排</w:t>
      </w:r>
      <w:r>
        <w:rPr>
          <w:rFonts w:hint="eastAsia" w:ascii="仿宋_GB2312" w:hAnsi="仿宋_GB2312" w:eastAsia="仿宋_GB2312" w:cs="仿宋_GB2312"/>
          <w:sz w:val="32"/>
          <w:szCs w:val="32"/>
          <w:lang w:val="en-US" w:eastAsia="zh-CN"/>
        </w:rPr>
        <w:t>11.83</w:t>
      </w:r>
      <w:r>
        <w:rPr>
          <w:rFonts w:hint="eastAsia" w:ascii="仿宋_GB2312" w:hAnsi="仿宋_GB2312" w:eastAsia="仿宋_GB2312" w:cs="仿宋_GB2312"/>
          <w:sz w:val="32"/>
          <w:szCs w:val="32"/>
          <w:lang w:eastAsia="zh-CN"/>
        </w:rPr>
        <w:t>万元，其中：办公费</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lang w:eastAsia="zh-CN"/>
        </w:rPr>
        <w:t>万元，水费0万元，邮电费</w:t>
      </w:r>
      <w:r>
        <w:rPr>
          <w:rFonts w:hint="eastAsia" w:ascii="仿宋_GB2312" w:hAnsi="仿宋_GB2312" w:eastAsia="仿宋_GB2312" w:cs="仿宋_GB2312"/>
          <w:sz w:val="32"/>
          <w:szCs w:val="32"/>
          <w:lang w:val="en-US" w:eastAsia="zh-CN"/>
        </w:rPr>
        <w:t>3.54</w:t>
      </w:r>
      <w:r>
        <w:rPr>
          <w:rFonts w:hint="eastAsia" w:ascii="仿宋_GB2312" w:hAnsi="仿宋_GB2312" w:eastAsia="仿宋_GB2312" w:cs="仿宋_GB2312"/>
          <w:sz w:val="32"/>
          <w:szCs w:val="32"/>
          <w:lang w:eastAsia="zh-CN"/>
        </w:rPr>
        <w:t>万元，物业管理费0万元，差旅费0万元，维修（护）费0万元，工会经费和福利费</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lang w:eastAsia="zh-CN"/>
        </w:rPr>
        <w:t>万元，公务用车运行维护费0万元，其他交通费用</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万元，其他支出0.0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万元。</w:t>
      </w:r>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p>
    <w:tbl>
      <w:tblPr>
        <w:tblStyle w:val="6"/>
        <w:tblW w:w="5000" w:type="pct"/>
        <w:tblInd w:w="0" w:type="dxa"/>
        <w:tblLayout w:type="autofit"/>
        <w:tblCellMar>
          <w:top w:w="0" w:type="dxa"/>
          <w:left w:w="108" w:type="dxa"/>
          <w:bottom w:w="0" w:type="dxa"/>
          <w:right w:w="108" w:type="dxa"/>
        </w:tblCellMar>
      </w:tblPr>
      <w:tblGrid>
        <w:gridCol w:w="3078"/>
        <w:gridCol w:w="2616"/>
        <w:gridCol w:w="2616"/>
        <w:gridCol w:w="2306"/>
        <w:gridCol w:w="4400"/>
      </w:tblGrid>
      <w:tr>
        <w:tblPrEx>
          <w:tblCellMar>
            <w:top w:w="0" w:type="dxa"/>
            <w:left w:w="108" w:type="dxa"/>
            <w:bottom w:w="0" w:type="dxa"/>
            <w:right w:w="108" w:type="dxa"/>
          </w:tblCellMar>
        </w:tblPrEx>
        <w:trPr>
          <w:trHeight w:val="405" w:hRule="atLeast"/>
        </w:trPr>
        <w:tc>
          <w:tcPr>
            <w:tcW w:w="5000" w:type="pct"/>
            <w:gridSpan w:val="5"/>
            <w:tcBorders>
              <w:top w:val="nil"/>
              <w:left w:val="nil"/>
              <w:bottom w:val="nil"/>
              <w:right w:val="nil"/>
            </w:tcBorders>
            <w:shd w:val="clear" w:color="auto" w:fill="auto"/>
            <w:noWrap/>
            <w:vAlign w:val="center"/>
          </w:tcPr>
          <w:p>
            <w:pPr>
              <w:spacing w:line="520" w:lineRule="exact"/>
              <w:jc w:val="center"/>
              <w:rPr>
                <w:rFonts w:ascii="黑体" w:hAnsi="黑体" w:eastAsia="黑体" w:cs="宋体"/>
                <w:color w:val="000000"/>
                <w:sz w:val="32"/>
                <w:szCs w:val="32"/>
              </w:rPr>
            </w:pPr>
            <w:r>
              <w:rPr>
                <w:rFonts w:hint="eastAsia" w:ascii="黑体" w:hAnsi="黑体" w:eastAsia="黑体"/>
                <w:color w:val="000000"/>
                <w:sz w:val="32"/>
                <w:szCs w:val="32"/>
              </w:rPr>
              <w:t>“三公”经费预算情况及增减变化原因</w:t>
            </w:r>
          </w:p>
        </w:tc>
      </w:tr>
      <w:tr>
        <w:tblPrEx>
          <w:tblCellMar>
            <w:top w:w="0" w:type="dxa"/>
            <w:left w:w="108" w:type="dxa"/>
            <w:bottom w:w="0" w:type="dxa"/>
            <w:right w:w="108" w:type="dxa"/>
          </w:tblCellMar>
        </w:tblPrEx>
        <w:trPr>
          <w:trHeight w:val="232" w:hRule="atLeast"/>
        </w:trPr>
        <w:tc>
          <w:tcPr>
            <w:tcW w:w="1025"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768" w:type="pct"/>
            <w:tcBorders>
              <w:top w:val="nil"/>
              <w:left w:val="nil"/>
              <w:bottom w:val="nil"/>
              <w:right w:val="nil"/>
            </w:tcBorders>
            <w:shd w:val="clear" w:color="auto" w:fill="auto"/>
            <w:noWrap/>
            <w:vAlign w:val="center"/>
          </w:tcPr>
          <w:p>
            <w:pPr>
              <w:rPr>
                <w:rFonts w:ascii="宋体" w:hAnsi="宋体" w:cs="宋体"/>
                <w:color w:val="000000"/>
              </w:rPr>
            </w:pPr>
          </w:p>
        </w:tc>
        <w:tc>
          <w:tcPr>
            <w:tcW w:w="1465" w:type="pct"/>
            <w:tcBorders>
              <w:top w:val="nil"/>
              <w:left w:val="nil"/>
              <w:bottom w:val="nil"/>
              <w:right w:val="nil"/>
            </w:tcBorders>
            <w:shd w:val="clear" w:color="auto" w:fill="auto"/>
            <w:noWrap/>
            <w:vAlign w:val="center"/>
          </w:tcPr>
          <w:p>
            <w:pPr>
              <w:jc w:val="right"/>
              <w:rPr>
                <w:rFonts w:ascii="宋体" w:hAnsi="宋体" w:cs="宋体"/>
                <w:color w:val="000000"/>
              </w:rPr>
            </w:pPr>
            <w:r>
              <w:rPr>
                <w:rFonts w:hint="eastAsia" w:ascii="宋体" w:hAnsi="宋体" w:cs="宋体"/>
                <w:color w:val="000000"/>
              </w:rPr>
              <w:t>单位：万元</w:t>
            </w:r>
          </w:p>
        </w:tc>
      </w:tr>
      <w:tr>
        <w:tblPrEx>
          <w:tblCellMar>
            <w:top w:w="0" w:type="dxa"/>
            <w:left w:w="108" w:type="dxa"/>
            <w:bottom w:w="0" w:type="dxa"/>
            <w:right w:w="108" w:type="dxa"/>
          </w:tblCellMar>
        </w:tblPrEx>
        <w:trPr>
          <w:trHeight w:val="285"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项目名称</w:t>
            </w:r>
          </w:p>
        </w:tc>
        <w:tc>
          <w:tcPr>
            <w:tcW w:w="87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202</w:t>
            </w:r>
            <w:r>
              <w:rPr>
                <w:rFonts w:hint="eastAsia" w:ascii="仿宋_GB2312" w:hAnsi="仿宋" w:eastAsia="仿宋_GB2312" w:cs="宋体"/>
                <w:color w:val="000000"/>
                <w:lang w:val="en-US" w:eastAsia="zh-CN"/>
              </w:rPr>
              <w:t>3</w:t>
            </w:r>
            <w:r>
              <w:rPr>
                <w:rFonts w:hint="eastAsia" w:ascii="仿宋_GB2312" w:hAnsi="仿宋" w:eastAsia="仿宋_GB2312" w:cs="宋体"/>
                <w:color w:val="000000"/>
              </w:rPr>
              <w:t>年度预算</w:t>
            </w:r>
          </w:p>
        </w:tc>
        <w:tc>
          <w:tcPr>
            <w:tcW w:w="87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202</w:t>
            </w:r>
            <w:r>
              <w:rPr>
                <w:rFonts w:hint="eastAsia" w:ascii="仿宋_GB2312" w:hAnsi="仿宋" w:eastAsia="仿宋_GB2312" w:cs="宋体"/>
                <w:color w:val="000000"/>
                <w:lang w:val="en-US" w:eastAsia="zh-CN"/>
              </w:rPr>
              <w:t>4</w:t>
            </w:r>
            <w:r>
              <w:rPr>
                <w:rFonts w:hint="eastAsia" w:ascii="仿宋_GB2312" w:hAnsi="仿宋" w:eastAsia="仿宋_GB2312" w:cs="宋体"/>
                <w:color w:val="000000"/>
              </w:rPr>
              <w:t>年度预算</w:t>
            </w:r>
          </w:p>
        </w:tc>
        <w:tc>
          <w:tcPr>
            <w:tcW w:w="768"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增减金额</w:t>
            </w:r>
          </w:p>
        </w:tc>
        <w:tc>
          <w:tcPr>
            <w:tcW w:w="1465"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变化原因</w:t>
            </w:r>
          </w:p>
        </w:tc>
      </w:tr>
      <w:tr>
        <w:tblPrEx>
          <w:tblCellMar>
            <w:top w:w="0" w:type="dxa"/>
            <w:left w:w="108" w:type="dxa"/>
            <w:bottom w:w="0" w:type="dxa"/>
            <w:right w:w="108" w:type="dxa"/>
          </w:tblCellMar>
        </w:tblPrEx>
        <w:trPr>
          <w:trHeight w:val="687"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因公出国经费</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lang w:eastAsia="zh-CN"/>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711"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公务用车购置经费</w:t>
            </w:r>
          </w:p>
        </w:tc>
        <w:tc>
          <w:tcPr>
            <w:tcW w:w="871"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705"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公务用车运行经费</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587"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公务接待费支出</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553"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合计</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285" w:hRule="atLeast"/>
        </w:trPr>
        <w:tc>
          <w:tcPr>
            <w:tcW w:w="1025"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768" w:type="pct"/>
            <w:tcBorders>
              <w:top w:val="nil"/>
              <w:left w:val="nil"/>
              <w:bottom w:val="nil"/>
              <w:right w:val="nil"/>
            </w:tcBorders>
            <w:shd w:val="clear" w:color="auto" w:fill="auto"/>
            <w:noWrap/>
            <w:vAlign w:val="center"/>
          </w:tcPr>
          <w:p>
            <w:pPr>
              <w:rPr>
                <w:rFonts w:ascii="宋体" w:hAnsi="宋体" w:cs="宋体"/>
                <w:color w:val="000000"/>
              </w:rPr>
            </w:pPr>
          </w:p>
        </w:tc>
        <w:tc>
          <w:tcPr>
            <w:tcW w:w="1465" w:type="pct"/>
            <w:tcBorders>
              <w:top w:val="nil"/>
              <w:left w:val="nil"/>
              <w:bottom w:val="nil"/>
              <w:right w:val="nil"/>
            </w:tcBorders>
            <w:shd w:val="clear" w:color="auto" w:fill="auto"/>
            <w:noWrap/>
            <w:vAlign w:val="center"/>
          </w:tcPr>
          <w:p>
            <w:pPr>
              <w:rPr>
                <w:rFonts w:ascii="宋体" w:hAnsi="宋体" w:cs="宋体"/>
                <w:color w:val="000000"/>
              </w:rPr>
            </w:pPr>
          </w:p>
        </w:tc>
      </w:tr>
    </w:tbl>
    <w:p>
      <w:pPr>
        <w:pStyle w:val="30"/>
        <w:ind w:left="0" w:leftChars="0" w:firstLine="0" w:firstLineChars="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1、网络舆情系统绩效目标表</w:t>
      </w:r>
    </w:p>
    <w:tbl>
      <w:tblPr>
        <w:tblStyle w:val="6"/>
        <w:tblW w:w="1556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24"/>
        <w:gridCol w:w="1575"/>
        <w:gridCol w:w="2835"/>
        <w:gridCol w:w="2473"/>
        <w:gridCol w:w="2513"/>
        <w:gridCol w:w="1834"/>
        <w:gridCol w:w="2110"/>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564"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224" w:type="dxa"/>
            <w:vAlign w:val="center"/>
          </w:tcPr>
          <w:p>
            <w:pPr>
              <w:pStyle w:val="12"/>
            </w:pPr>
            <w:r>
              <w:t>项目编码</w:t>
            </w:r>
          </w:p>
        </w:tc>
        <w:tc>
          <w:tcPr>
            <w:tcW w:w="4410" w:type="dxa"/>
            <w:gridSpan w:val="2"/>
            <w:vAlign w:val="center"/>
          </w:tcPr>
          <w:p>
            <w:pPr>
              <w:pStyle w:val="14"/>
            </w:pPr>
            <w:r>
              <w:t>13060625P005043102251</w:t>
            </w:r>
          </w:p>
        </w:tc>
        <w:tc>
          <w:tcPr>
            <w:tcW w:w="2473" w:type="dxa"/>
            <w:vAlign w:val="center"/>
          </w:tcPr>
          <w:p>
            <w:pPr>
              <w:pStyle w:val="12"/>
            </w:pPr>
            <w:r>
              <w:t>项目名称</w:t>
            </w:r>
          </w:p>
        </w:tc>
        <w:tc>
          <w:tcPr>
            <w:tcW w:w="6457" w:type="dxa"/>
            <w:gridSpan w:val="3"/>
            <w:vAlign w:val="center"/>
          </w:tcPr>
          <w:p>
            <w:pPr>
              <w:pStyle w:val="14"/>
            </w:pPr>
            <w:r>
              <w:t>网络舆情系统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224" w:type="dxa"/>
            <w:vMerge w:val="restart"/>
            <w:vAlign w:val="center"/>
          </w:tcPr>
          <w:p>
            <w:pPr>
              <w:pStyle w:val="12"/>
            </w:pPr>
            <w:r>
              <w:t>预算规模及资金用途</w:t>
            </w:r>
          </w:p>
        </w:tc>
        <w:tc>
          <w:tcPr>
            <w:tcW w:w="1575" w:type="dxa"/>
            <w:vAlign w:val="center"/>
          </w:tcPr>
          <w:p>
            <w:pPr>
              <w:pStyle w:val="12"/>
            </w:pPr>
            <w:r>
              <w:t>预算数</w:t>
            </w:r>
          </w:p>
        </w:tc>
        <w:tc>
          <w:tcPr>
            <w:tcW w:w="2835" w:type="dxa"/>
            <w:vAlign w:val="center"/>
          </w:tcPr>
          <w:p>
            <w:pPr>
              <w:pStyle w:val="14"/>
            </w:pPr>
            <w:r>
              <w:t>20.00</w:t>
            </w:r>
          </w:p>
        </w:tc>
        <w:tc>
          <w:tcPr>
            <w:tcW w:w="2473" w:type="dxa"/>
            <w:vAlign w:val="center"/>
          </w:tcPr>
          <w:p>
            <w:pPr>
              <w:pStyle w:val="12"/>
            </w:pPr>
            <w:r>
              <w:t>其中：财政    资金</w:t>
            </w:r>
          </w:p>
        </w:tc>
        <w:tc>
          <w:tcPr>
            <w:tcW w:w="2513" w:type="dxa"/>
            <w:vAlign w:val="center"/>
          </w:tcPr>
          <w:p>
            <w:pPr>
              <w:pStyle w:val="14"/>
            </w:pPr>
            <w:r>
              <w:t>20.00</w:t>
            </w:r>
          </w:p>
        </w:tc>
        <w:tc>
          <w:tcPr>
            <w:tcW w:w="1834" w:type="dxa"/>
            <w:vAlign w:val="center"/>
          </w:tcPr>
          <w:p>
            <w:pPr>
              <w:pStyle w:val="12"/>
            </w:pPr>
            <w:r>
              <w:t>其他资金</w:t>
            </w:r>
          </w:p>
        </w:tc>
        <w:tc>
          <w:tcPr>
            <w:tcW w:w="2110"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224" w:type="dxa"/>
            <w:vMerge w:val="continue"/>
          </w:tcPr>
          <w:p/>
        </w:tc>
        <w:tc>
          <w:tcPr>
            <w:tcW w:w="13340" w:type="dxa"/>
            <w:gridSpan w:val="6"/>
            <w:vAlign w:val="center"/>
          </w:tcPr>
          <w:p>
            <w:pPr>
              <w:pStyle w:val="14"/>
            </w:pPr>
            <w:r>
              <w:t>用于2025年网信办网络舆情监测系统服务支出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2224" w:type="dxa"/>
            <w:vMerge w:val="restart"/>
            <w:vAlign w:val="center"/>
          </w:tcPr>
          <w:p>
            <w:pPr>
              <w:pStyle w:val="12"/>
            </w:pPr>
            <w:r>
              <w:t>资金支出计划（%）</w:t>
            </w:r>
          </w:p>
        </w:tc>
        <w:tc>
          <w:tcPr>
            <w:tcW w:w="4410" w:type="dxa"/>
            <w:gridSpan w:val="2"/>
            <w:vAlign w:val="center"/>
          </w:tcPr>
          <w:p>
            <w:pPr>
              <w:pStyle w:val="12"/>
            </w:pPr>
            <w:r>
              <w:t>3月底</w:t>
            </w:r>
          </w:p>
        </w:tc>
        <w:tc>
          <w:tcPr>
            <w:tcW w:w="2473" w:type="dxa"/>
            <w:vAlign w:val="center"/>
          </w:tcPr>
          <w:p>
            <w:pPr>
              <w:pStyle w:val="12"/>
            </w:pPr>
            <w:r>
              <w:t>6月底</w:t>
            </w:r>
          </w:p>
        </w:tc>
        <w:tc>
          <w:tcPr>
            <w:tcW w:w="2513" w:type="dxa"/>
            <w:vAlign w:val="center"/>
          </w:tcPr>
          <w:p>
            <w:pPr>
              <w:pStyle w:val="12"/>
            </w:pPr>
            <w:r>
              <w:t>10月底</w:t>
            </w:r>
          </w:p>
        </w:tc>
        <w:tc>
          <w:tcPr>
            <w:tcW w:w="39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224" w:type="dxa"/>
            <w:vMerge w:val="continue"/>
          </w:tcPr>
          <w:p/>
        </w:tc>
        <w:tc>
          <w:tcPr>
            <w:tcW w:w="4410" w:type="dxa"/>
            <w:gridSpan w:val="2"/>
            <w:vAlign w:val="center"/>
          </w:tcPr>
          <w:p>
            <w:pPr>
              <w:pStyle w:val="15"/>
            </w:pPr>
            <w:r>
              <w:t xml:space="preserve"> </w:t>
            </w:r>
          </w:p>
        </w:tc>
        <w:tc>
          <w:tcPr>
            <w:tcW w:w="2473" w:type="dxa"/>
            <w:vAlign w:val="center"/>
          </w:tcPr>
          <w:p>
            <w:pPr>
              <w:pStyle w:val="15"/>
            </w:pPr>
            <w:r>
              <w:t xml:space="preserve"> </w:t>
            </w:r>
          </w:p>
        </w:tc>
        <w:tc>
          <w:tcPr>
            <w:tcW w:w="2513" w:type="dxa"/>
            <w:vAlign w:val="center"/>
          </w:tcPr>
          <w:p>
            <w:pPr>
              <w:pStyle w:val="15"/>
            </w:pPr>
            <w:r>
              <w:t>100%</w:t>
            </w:r>
          </w:p>
        </w:tc>
        <w:tc>
          <w:tcPr>
            <w:tcW w:w="39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224" w:type="dxa"/>
            <w:vAlign w:val="center"/>
          </w:tcPr>
          <w:p>
            <w:pPr>
              <w:pStyle w:val="12"/>
            </w:pPr>
            <w:r>
              <w:t>绩效目标</w:t>
            </w:r>
          </w:p>
        </w:tc>
        <w:tc>
          <w:tcPr>
            <w:tcW w:w="13340" w:type="dxa"/>
            <w:gridSpan w:val="6"/>
            <w:vAlign w:val="center"/>
          </w:tcPr>
          <w:p>
            <w:pPr>
              <w:pStyle w:val="14"/>
            </w:pPr>
            <w:r>
              <w:t>1.确保我区舆论环境稳定</w:t>
            </w:r>
          </w:p>
          <w:p>
            <w:pPr>
              <w:pStyle w:val="14"/>
            </w:pPr>
            <w:r>
              <w:t>2.持续做好网络舆情监测预警、分析处置工作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54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16"/>
        <w:gridCol w:w="1566"/>
        <w:gridCol w:w="2835"/>
        <w:gridCol w:w="5086"/>
        <w:gridCol w:w="1721"/>
        <w:gridCol w:w="21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2216" w:type="dxa"/>
            <w:vAlign w:val="center"/>
          </w:tcPr>
          <w:p>
            <w:pPr>
              <w:pStyle w:val="12"/>
            </w:pPr>
            <w:r>
              <w:t>一级指标</w:t>
            </w:r>
          </w:p>
        </w:tc>
        <w:tc>
          <w:tcPr>
            <w:tcW w:w="1566" w:type="dxa"/>
            <w:vAlign w:val="center"/>
          </w:tcPr>
          <w:p>
            <w:pPr>
              <w:pStyle w:val="12"/>
            </w:pPr>
            <w:r>
              <w:t>二级指标</w:t>
            </w:r>
          </w:p>
        </w:tc>
        <w:tc>
          <w:tcPr>
            <w:tcW w:w="2835" w:type="dxa"/>
            <w:vAlign w:val="center"/>
          </w:tcPr>
          <w:p>
            <w:pPr>
              <w:pStyle w:val="12"/>
            </w:pPr>
            <w:r>
              <w:t>三级指标</w:t>
            </w:r>
          </w:p>
        </w:tc>
        <w:tc>
          <w:tcPr>
            <w:tcW w:w="5086" w:type="dxa"/>
            <w:vAlign w:val="center"/>
          </w:tcPr>
          <w:p>
            <w:pPr>
              <w:pStyle w:val="12"/>
            </w:pPr>
            <w:r>
              <w:t>绩效指标描述</w:t>
            </w:r>
          </w:p>
        </w:tc>
        <w:tc>
          <w:tcPr>
            <w:tcW w:w="1721" w:type="dxa"/>
            <w:vAlign w:val="center"/>
          </w:tcPr>
          <w:p>
            <w:pPr>
              <w:pStyle w:val="12"/>
            </w:pPr>
            <w:r>
              <w:t>指标值</w:t>
            </w:r>
          </w:p>
        </w:tc>
        <w:tc>
          <w:tcPr>
            <w:tcW w:w="2123"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16" w:type="dxa"/>
            <w:vMerge w:val="restart"/>
            <w:vAlign w:val="center"/>
          </w:tcPr>
          <w:p>
            <w:pPr>
              <w:pStyle w:val="15"/>
            </w:pPr>
            <w:r>
              <w:t>产出指标</w:t>
            </w:r>
          </w:p>
        </w:tc>
        <w:tc>
          <w:tcPr>
            <w:tcW w:w="1566" w:type="dxa"/>
            <w:vAlign w:val="center"/>
          </w:tcPr>
          <w:p>
            <w:pPr>
              <w:pStyle w:val="14"/>
            </w:pPr>
            <w:r>
              <w:t>数量指标</w:t>
            </w:r>
          </w:p>
        </w:tc>
        <w:tc>
          <w:tcPr>
            <w:tcW w:w="2835" w:type="dxa"/>
            <w:vAlign w:val="center"/>
          </w:tcPr>
          <w:p>
            <w:pPr>
              <w:pStyle w:val="14"/>
            </w:pPr>
            <w:r>
              <w:t>覆盖率</w:t>
            </w:r>
          </w:p>
        </w:tc>
        <w:tc>
          <w:tcPr>
            <w:tcW w:w="5086" w:type="dxa"/>
            <w:vAlign w:val="center"/>
          </w:tcPr>
          <w:p>
            <w:pPr>
              <w:pStyle w:val="14"/>
            </w:pPr>
            <w:r>
              <w:t>监测覆盖率</w:t>
            </w:r>
          </w:p>
        </w:tc>
        <w:tc>
          <w:tcPr>
            <w:tcW w:w="1721" w:type="dxa"/>
            <w:vAlign w:val="center"/>
          </w:tcPr>
          <w:p>
            <w:pPr>
              <w:pStyle w:val="14"/>
            </w:pPr>
            <w:r>
              <w:t>≥95百分比</w:t>
            </w:r>
          </w:p>
        </w:tc>
        <w:tc>
          <w:tcPr>
            <w:tcW w:w="2123"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16" w:type="dxa"/>
            <w:vMerge w:val="continue"/>
            <w:vAlign w:val="center"/>
          </w:tcPr>
          <w:p/>
        </w:tc>
        <w:tc>
          <w:tcPr>
            <w:tcW w:w="1566" w:type="dxa"/>
            <w:vAlign w:val="center"/>
          </w:tcPr>
          <w:p>
            <w:pPr>
              <w:pStyle w:val="14"/>
            </w:pPr>
            <w:r>
              <w:t>质量指标</w:t>
            </w:r>
          </w:p>
        </w:tc>
        <w:tc>
          <w:tcPr>
            <w:tcW w:w="2835" w:type="dxa"/>
            <w:vAlign w:val="center"/>
          </w:tcPr>
          <w:p>
            <w:pPr>
              <w:pStyle w:val="14"/>
            </w:pPr>
            <w:r>
              <w:t>正常运行率</w:t>
            </w:r>
          </w:p>
        </w:tc>
        <w:tc>
          <w:tcPr>
            <w:tcW w:w="5086" w:type="dxa"/>
            <w:vAlign w:val="center"/>
          </w:tcPr>
          <w:p>
            <w:pPr>
              <w:pStyle w:val="14"/>
            </w:pPr>
            <w:r>
              <w:t>系统正常运行率</w:t>
            </w:r>
          </w:p>
        </w:tc>
        <w:tc>
          <w:tcPr>
            <w:tcW w:w="1721" w:type="dxa"/>
            <w:vAlign w:val="center"/>
          </w:tcPr>
          <w:p>
            <w:pPr>
              <w:pStyle w:val="14"/>
            </w:pPr>
            <w:r>
              <w:t>≥95百分比</w:t>
            </w:r>
          </w:p>
        </w:tc>
        <w:tc>
          <w:tcPr>
            <w:tcW w:w="2123"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16" w:type="dxa"/>
            <w:vMerge w:val="continue"/>
            <w:vAlign w:val="center"/>
          </w:tcPr>
          <w:p/>
        </w:tc>
        <w:tc>
          <w:tcPr>
            <w:tcW w:w="1566" w:type="dxa"/>
            <w:vAlign w:val="center"/>
          </w:tcPr>
          <w:p>
            <w:pPr>
              <w:pStyle w:val="14"/>
            </w:pPr>
            <w:r>
              <w:t>时效指标</w:t>
            </w:r>
          </w:p>
        </w:tc>
        <w:tc>
          <w:tcPr>
            <w:tcW w:w="2835" w:type="dxa"/>
            <w:vAlign w:val="center"/>
          </w:tcPr>
          <w:p>
            <w:pPr>
              <w:pStyle w:val="14"/>
            </w:pPr>
            <w:r>
              <w:t>及时率</w:t>
            </w:r>
          </w:p>
        </w:tc>
        <w:tc>
          <w:tcPr>
            <w:tcW w:w="5086" w:type="dxa"/>
            <w:vAlign w:val="center"/>
          </w:tcPr>
          <w:p>
            <w:pPr>
              <w:pStyle w:val="14"/>
            </w:pPr>
            <w:r>
              <w:t>舆情反馈及时率</w:t>
            </w:r>
          </w:p>
        </w:tc>
        <w:tc>
          <w:tcPr>
            <w:tcW w:w="1721" w:type="dxa"/>
            <w:vAlign w:val="center"/>
          </w:tcPr>
          <w:p>
            <w:pPr>
              <w:pStyle w:val="14"/>
            </w:pPr>
            <w:r>
              <w:t>≥95百分比</w:t>
            </w:r>
          </w:p>
        </w:tc>
        <w:tc>
          <w:tcPr>
            <w:tcW w:w="2123"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16" w:type="dxa"/>
            <w:vMerge w:val="continue"/>
            <w:vAlign w:val="center"/>
          </w:tcPr>
          <w:p/>
        </w:tc>
        <w:tc>
          <w:tcPr>
            <w:tcW w:w="1566" w:type="dxa"/>
            <w:vAlign w:val="center"/>
          </w:tcPr>
          <w:p>
            <w:pPr>
              <w:pStyle w:val="14"/>
            </w:pPr>
            <w:r>
              <w:t>成本指标</w:t>
            </w:r>
          </w:p>
        </w:tc>
        <w:tc>
          <w:tcPr>
            <w:tcW w:w="2835" w:type="dxa"/>
            <w:vAlign w:val="center"/>
          </w:tcPr>
          <w:p>
            <w:pPr>
              <w:pStyle w:val="14"/>
            </w:pPr>
            <w:r>
              <w:t>预算控制数</w:t>
            </w:r>
          </w:p>
        </w:tc>
        <w:tc>
          <w:tcPr>
            <w:tcW w:w="5086" w:type="dxa"/>
            <w:vAlign w:val="center"/>
          </w:tcPr>
          <w:p>
            <w:pPr>
              <w:pStyle w:val="14"/>
            </w:pPr>
            <w:r>
              <w:t>总预算执行情况</w:t>
            </w:r>
          </w:p>
        </w:tc>
        <w:tc>
          <w:tcPr>
            <w:tcW w:w="1721" w:type="dxa"/>
            <w:vAlign w:val="center"/>
          </w:tcPr>
          <w:p>
            <w:pPr>
              <w:pStyle w:val="14"/>
            </w:pPr>
            <w:r>
              <w:t>≤20万元</w:t>
            </w:r>
          </w:p>
        </w:tc>
        <w:tc>
          <w:tcPr>
            <w:tcW w:w="2123"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16" w:type="dxa"/>
            <w:vMerge w:val="restart"/>
            <w:vAlign w:val="center"/>
          </w:tcPr>
          <w:p>
            <w:pPr>
              <w:pStyle w:val="15"/>
            </w:pPr>
            <w:r>
              <w:t>效益指标</w:t>
            </w:r>
          </w:p>
        </w:tc>
        <w:tc>
          <w:tcPr>
            <w:tcW w:w="1566" w:type="dxa"/>
            <w:vAlign w:val="center"/>
          </w:tcPr>
          <w:p>
            <w:pPr>
              <w:pStyle w:val="14"/>
            </w:pPr>
            <w:r>
              <w:t>经济效益指标</w:t>
            </w:r>
          </w:p>
        </w:tc>
        <w:tc>
          <w:tcPr>
            <w:tcW w:w="2835" w:type="dxa"/>
            <w:vAlign w:val="center"/>
          </w:tcPr>
          <w:p>
            <w:pPr>
              <w:pStyle w:val="14"/>
            </w:pPr>
            <w:r>
              <w:t>经费控制情况</w:t>
            </w:r>
          </w:p>
        </w:tc>
        <w:tc>
          <w:tcPr>
            <w:tcW w:w="5086" w:type="dxa"/>
            <w:vAlign w:val="center"/>
          </w:tcPr>
          <w:p>
            <w:pPr>
              <w:pStyle w:val="14"/>
            </w:pPr>
            <w:r>
              <w:t>发挥财政资金使用效益</w:t>
            </w:r>
          </w:p>
        </w:tc>
        <w:tc>
          <w:tcPr>
            <w:tcW w:w="1721" w:type="dxa"/>
            <w:vAlign w:val="center"/>
          </w:tcPr>
          <w:p>
            <w:pPr>
              <w:pStyle w:val="14"/>
            </w:pPr>
            <w:r>
              <w:t>≥95百分比</w:t>
            </w:r>
          </w:p>
        </w:tc>
        <w:tc>
          <w:tcPr>
            <w:tcW w:w="2123"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16" w:type="dxa"/>
            <w:vMerge w:val="continue"/>
            <w:vAlign w:val="center"/>
          </w:tcPr>
          <w:p/>
        </w:tc>
        <w:tc>
          <w:tcPr>
            <w:tcW w:w="1566" w:type="dxa"/>
            <w:vAlign w:val="center"/>
          </w:tcPr>
          <w:p>
            <w:pPr>
              <w:pStyle w:val="14"/>
            </w:pPr>
            <w:r>
              <w:t>社会效益指标</w:t>
            </w:r>
          </w:p>
        </w:tc>
        <w:tc>
          <w:tcPr>
            <w:tcW w:w="2835" w:type="dxa"/>
            <w:vAlign w:val="center"/>
          </w:tcPr>
          <w:p>
            <w:pPr>
              <w:pStyle w:val="14"/>
            </w:pPr>
            <w:r>
              <w:t>社会影响力</w:t>
            </w:r>
          </w:p>
        </w:tc>
        <w:tc>
          <w:tcPr>
            <w:tcW w:w="5086" w:type="dxa"/>
            <w:vAlign w:val="center"/>
          </w:tcPr>
          <w:p>
            <w:pPr>
              <w:pStyle w:val="14"/>
            </w:pPr>
            <w:r>
              <w:t>区域舆论环境稳定率</w:t>
            </w:r>
          </w:p>
        </w:tc>
        <w:tc>
          <w:tcPr>
            <w:tcW w:w="1721" w:type="dxa"/>
            <w:vAlign w:val="center"/>
          </w:tcPr>
          <w:p>
            <w:pPr>
              <w:pStyle w:val="14"/>
            </w:pPr>
            <w:r>
              <w:t>≥95百分比</w:t>
            </w:r>
          </w:p>
        </w:tc>
        <w:tc>
          <w:tcPr>
            <w:tcW w:w="2123"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2216" w:type="dxa"/>
            <w:vMerge w:val="continue"/>
            <w:vAlign w:val="center"/>
          </w:tcPr>
          <w:p/>
        </w:tc>
        <w:tc>
          <w:tcPr>
            <w:tcW w:w="1566" w:type="dxa"/>
            <w:vAlign w:val="center"/>
          </w:tcPr>
          <w:p>
            <w:pPr>
              <w:pStyle w:val="14"/>
            </w:pPr>
            <w:r>
              <w:t>生态效益指标</w:t>
            </w:r>
          </w:p>
        </w:tc>
        <w:tc>
          <w:tcPr>
            <w:tcW w:w="2835" w:type="dxa"/>
            <w:vAlign w:val="center"/>
          </w:tcPr>
          <w:p>
            <w:pPr>
              <w:pStyle w:val="14"/>
            </w:pPr>
            <w:r>
              <w:t>该项目不涉及生态效益</w:t>
            </w:r>
          </w:p>
        </w:tc>
        <w:tc>
          <w:tcPr>
            <w:tcW w:w="5086" w:type="dxa"/>
            <w:vAlign w:val="center"/>
          </w:tcPr>
          <w:p>
            <w:pPr>
              <w:pStyle w:val="14"/>
            </w:pPr>
            <w:r>
              <w:t>该项目不涉及生态效益</w:t>
            </w:r>
          </w:p>
        </w:tc>
        <w:tc>
          <w:tcPr>
            <w:tcW w:w="1721" w:type="dxa"/>
            <w:vAlign w:val="center"/>
          </w:tcPr>
          <w:p>
            <w:pPr>
              <w:pStyle w:val="14"/>
            </w:pPr>
            <w:r>
              <w:t>文字描述</w:t>
            </w:r>
          </w:p>
        </w:tc>
        <w:tc>
          <w:tcPr>
            <w:tcW w:w="2123" w:type="dxa"/>
            <w:vAlign w:val="center"/>
          </w:tcPr>
          <w:p>
            <w:pPr>
              <w:pStyle w:val="14"/>
            </w:pPr>
            <w:r>
              <w:t>该项目不涉及生态效益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1" w:hRule="atLeast"/>
          <w:jc w:val="center"/>
        </w:trPr>
        <w:tc>
          <w:tcPr>
            <w:tcW w:w="2216" w:type="dxa"/>
            <w:vMerge w:val="continue"/>
            <w:vAlign w:val="center"/>
          </w:tcPr>
          <w:p/>
        </w:tc>
        <w:tc>
          <w:tcPr>
            <w:tcW w:w="1566" w:type="dxa"/>
            <w:vAlign w:val="center"/>
          </w:tcPr>
          <w:p>
            <w:pPr>
              <w:pStyle w:val="14"/>
            </w:pPr>
            <w:r>
              <w:t>可持续影响指标</w:t>
            </w:r>
          </w:p>
        </w:tc>
        <w:tc>
          <w:tcPr>
            <w:tcW w:w="2835" w:type="dxa"/>
            <w:vAlign w:val="center"/>
          </w:tcPr>
          <w:p>
            <w:pPr>
              <w:pStyle w:val="14"/>
            </w:pPr>
            <w:r>
              <w:t>工作可持续性</w:t>
            </w:r>
          </w:p>
        </w:tc>
        <w:tc>
          <w:tcPr>
            <w:tcW w:w="5086" w:type="dxa"/>
            <w:vAlign w:val="center"/>
          </w:tcPr>
          <w:p>
            <w:pPr>
              <w:pStyle w:val="14"/>
            </w:pPr>
            <w:r>
              <w:t>舆情监测工作可持续性</w:t>
            </w:r>
          </w:p>
        </w:tc>
        <w:tc>
          <w:tcPr>
            <w:tcW w:w="1721" w:type="dxa"/>
            <w:vAlign w:val="center"/>
          </w:tcPr>
          <w:p>
            <w:pPr>
              <w:pStyle w:val="14"/>
            </w:pPr>
            <w:r>
              <w:t>≥95百分比</w:t>
            </w:r>
          </w:p>
        </w:tc>
        <w:tc>
          <w:tcPr>
            <w:tcW w:w="2123" w:type="dxa"/>
            <w:vAlign w:val="center"/>
          </w:tcPr>
          <w:p>
            <w:pPr>
              <w:pStyle w:val="14"/>
            </w:pPr>
            <w:r>
              <w:t>历史行业规定标准</w:t>
            </w: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16" w:type="dxa"/>
            <w:vAlign w:val="center"/>
          </w:tcPr>
          <w:p>
            <w:pPr>
              <w:pStyle w:val="15"/>
            </w:pPr>
            <w:r>
              <w:t>满意度指标</w:t>
            </w:r>
          </w:p>
        </w:tc>
        <w:tc>
          <w:tcPr>
            <w:tcW w:w="1566" w:type="dxa"/>
            <w:vAlign w:val="center"/>
          </w:tcPr>
          <w:p>
            <w:pPr>
              <w:pStyle w:val="14"/>
            </w:pPr>
            <w:r>
              <w:t>服务对象满意度指标</w:t>
            </w:r>
          </w:p>
        </w:tc>
        <w:tc>
          <w:tcPr>
            <w:tcW w:w="2835" w:type="dxa"/>
            <w:vAlign w:val="center"/>
          </w:tcPr>
          <w:p>
            <w:pPr>
              <w:pStyle w:val="14"/>
            </w:pPr>
            <w:r>
              <w:t>满意率</w:t>
            </w:r>
          </w:p>
        </w:tc>
        <w:tc>
          <w:tcPr>
            <w:tcW w:w="5086" w:type="dxa"/>
            <w:vAlign w:val="center"/>
          </w:tcPr>
          <w:p>
            <w:pPr>
              <w:pStyle w:val="14"/>
            </w:pPr>
            <w:r>
              <w:t>机关工作人员满意度</w:t>
            </w:r>
          </w:p>
        </w:tc>
        <w:tc>
          <w:tcPr>
            <w:tcW w:w="1721" w:type="dxa"/>
            <w:vAlign w:val="center"/>
          </w:tcPr>
          <w:p>
            <w:pPr>
              <w:pStyle w:val="14"/>
            </w:pPr>
            <w:r>
              <w:t>≥95百分比</w:t>
            </w:r>
          </w:p>
        </w:tc>
        <w:tc>
          <w:tcPr>
            <w:tcW w:w="2123"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2、自媒体宣传专项经费绩效目标表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381"/>
        <w:gridCol w:w="216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13060625P00504310226L</w:t>
            </w:r>
          </w:p>
        </w:tc>
        <w:tc>
          <w:tcPr>
            <w:tcW w:w="2835" w:type="dxa"/>
            <w:vAlign w:val="center"/>
          </w:tcPr>
          <w:p>
            <w:pPr>
              <w:pStyle w:val="12"/>
            </w:pPr>
            <w:r>
              <w:t>项目名称</w:t>
            </w:r>
          </w:p>
        </w:tc>
        <w:tc>
          <w:tcPr>
            <w:tcW w:w="6095" w:type="dxa"/>
            <w:gridSpan w:val="3"/>
            <w:vAlign w:val="center"/>
          </w:tcPr>
          <w:p>
            <w:pPr>
              <w:pStyle w:val="14"/>
            </w:pPr>
            <w:r>
              <w:t>自媒体宣传专项经费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1381" w:type="dxa"/>
            <w:vAlign w:val="center"/>
          </w:tcPr>
          <w:p>
            <w:pPr>
              <w:pStyle w:val="12"/>
            </w:pPr>
            <w:r>
              <w:t>其他资金</w:t>
            </w:r>
          </w:p>
        </w:tc>
        <w:tc>
          <w:tcPr>
            <w:tcW w:w="2163"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用于2025年网信办宣传服务费及宣传活动所需宣传用品等保障支出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1.扩大我区对外影响力，展现莲池区发展成效</w:t>
            </w:r>
          </w:p>
          <w:p>
            <w:pPr>
              <w:pStyle w:val="14"/>
            </w:pPr>
            <w:r>
              <w:t>2.支付合作经费，提升传播能力，为经济社会发展提供舆论支持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358"/>
        <w:gridCol w:w="21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358" w:type="dxa"/>
            <w:vAlign w:val="center"/>
          </w:tcPr>
          <w:p>
            <w:pPr>
              <w:pStyle w:val="12"/>
            </w:pPr>
            <w:r>
              <w:t>指标值</w:t>
            </w:r>
          </w:p>
        </w:tc>
        <w:tc>
          <w:tcPr>
            <w:tcW w:w="218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保障宣传时间</w:t>
            </w:r>
          </w:p>
        </w:tc>
        <w:tc>
          <w:tcPr>
            <w:tcW w:w="5386" w:type="dxa"/>
            <w:vAlign w:val="center"/>
          </w:tcPr>
          <w:p>
            <w:pPr>
              <w:pStyle w:val="14"/>
            </w:pPr>
            <w:r>
              <w:t>保障宣传时间</w:t>
            </w:r>
          </w:p>
        </w:tc>
        <w:tc>
          <w:tcPr>
            <w:tcW w:w="1358" w:type="dxa"/>
            <w:vAlign w:val="center"/>
          </w:tcPr>
          <w:p>
            <w:pPr>
              <w:pStyle w:val="14"/>
            </w:pPr>
            <w:r>
              <w:t>≥365天</w:t>
            </w:r>
          </w:p>
        </w:tc>
        <w:tc>
          <w:tcPr>
            <w:tcW w:w="2186"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资金支出准确率</w:t>
            </w:r>
          </w:p>
        </w:tc>
        <w:tc>
          <w:tcPr>
            <w:tcW w:w="5386" w:type="dxa"/>
            <w:vAlign w:val="center"/>
          </w:tcPr>
          <w:p>
            <w:pPr>
              <w:pStyle w:val="14"/>
            </w:pPr>
            <w:r>
              <w:t>资金支出准确率</w:t>
            </w:r>
          </w:p>
        </w:tc>
        <w:tc>
          <w:tcPr>
            <w:tcW w:w="1358" w:type="dxa"/>
            <w:vAlign w:val="center"/>
          </w:tcPr>
          <w:p>
            <w:pPr>
              <w:pStyle w:val="14"/>
            </w:pPr>
            <w:r>
              <w:t>≥95百分比</w:t>
            </w:r>
          </w:p>
        </w:tc>
        <w:tc>
          <w:tcPr>
            <w:tcW w:w="2186"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5386" w:type="dxa"/>
            <w:vAlign w:val="center"/>
          </w:tcPr>
          <w:p>
            <w:pPr>
              <w:pStyle w:val="14"/>
            </w:pPr>
            <w:r>
              <w:t>资金支出及时率</w:t>
            </w:r>
          </w:p>
        </w:tc>
        <w:tc>
          <w:tcPr>
            <w:tcW w:w="1358" w:type="dxa"/>
            <w:vAlign w:val="center"/>
          </w:tcPr>
          <w:p>
            <w:pPr>
              <w:pStyle w:val="14"/>
            </w:pPr>
            <w:r>
              <w:t>≥95百分比</w:t>
            </w:r>
          </w:p>
        </w:tc>
        <w:tc>
          <w:tcPr>
            <w:tcW w:w="2186"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总预算执行情况</w:t>
            </w:r>
          </w:p>
        </w:tc>
        <w:tc>
          <w:tcPr>
            <w:tcW w:w="1358" w:type="dxa"/>
            <w:vAlign w:val="center"/>
          </w:tcPr>
          <w:p>
            <w:pPr>
              <w:pStyle w:val="14"/>
            </w:pPr>
            <w:r>
              <w:t>≤15万元</w:t>
            </w:r>
          </w:p>
        </w:tc>
        <w:tc>
          <w:tcPr>
            <w:tcW w:w="2186"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经费控制情况</w:t>
            </w:r>
          </w:p>
        </w:tc>
        <w:tc>
          <w:tcPr>
            <w:tcW w:w="5386" w:type="dxa"/>
            <w:vAlign w:val="center"/>
          </w:tcPr>
          <w:p>
            <w:pPr>
              <w:pStyle w:val="14"/>
            </w:pPr>
            <w:r>
              <w:t>发挥财政资金使用效益</w:t>
            </w:r>
          </w:p>
        </w:tc>
        <w:tc>
          <w:tcPr>
            <w:tcW w:w="1358" w:type="dxa"/>
            <w:vAlign w:val="center"/>
          </w:tcPr>
          <w:p>
            <w:pPr>
              <w:pStyle w:val="14"/>
            </w:pPr>
            <w:r>
              <w:t>≥95百分比</w:t>
            </w:r>
          </w:p>
        </w:tc>
        <w:tc>
          <w:tcPr>
            <w:tcW w:w="2186"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扩大我区对外影响力</w:t>
            </w:r>
          </w:p>
        </w:tc>
        <w:tc>
          <w:tcPr>
            <w:tcW w:w="1358" w:type="dxa"/>
            <w:vAlign w:val="center"/>
          </w:tcPr>
          <w:p>
            <w:pPr>
              <w:pStyle w:val="14"/>
            </w:pPr>
            <w:r>
              <w:t>≥95百分比</w:t>
            </w:r>
          </w:p>
        </w:tc>
        <w:tc>
          <w:tcPr>
            <w:tcW w:w="2186"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该项目不涉及生态效益</w:t>
            </w:r>
          </w:p>
        </w:tc>
        <w:tc>
          <w:tcPr>
            <w:tcW w:w="5386" w:type="dxa"/>
            <w:vAlign w:val="center"/>
          </w:tcPr>
          <w:p>
            <w:pPr>
              <w:pStyle w:val="14"/>
            </w:pPr>
            <w:r>
              <w:t>该项目不涉及生态效益</w:t>
            </w:r>
          </w:p>
        </w:tc>
        <w:tc>
          <w:tcPr>
            <w:tcW w:w="1358" w:type="dxa"/>
            <w:vAlign w:val="center"/>
          </w:tcPr>
          <w:p>
            <w:pPr>
              <w:pStyle w:val="14"/>
            </w:pPr>
            <w:r>
              <w:t>文字描述</w:t>
            </w:r>
          </w:p>
        </w:tc>
        <w:tc>
          <w:tcPr>
            <w:tcW w:w="2186" w:type="dxa"/>
            <w:vAlign w:val="center"/>
          </w:tcPr>
          <w:p>
            <w:pPr>
              <w:pStyle w:val="14"/>
            </w:pPr>
            <w:r>
              <w:t>该项目不涉及生态效益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工作可持续性</w:t>
            </w:r>
          </w:p>
        </w:tc>
        <w:tc>
          <w:tcPr>
            <w:tcW w:w="5386" w:type="dxa"/>
            <w:vAlign w:val="center"/>
          </w:tcPr>
          <w:p>
            <w:pPr>
              <w:pStyle w:val="14"/>
            </w:pPr>
            <w:r>
              <w:t>新闻报道、稿件刊发、自媒体宣传渠道支持等工作可持续性</w:t>
            </w:r>
          </w:p>
        </w:tc>
        <w:tc>
          <w:tcPr>
            <w:tcW w:w="1358" w:type="dxa"/>
            <w:vAlign w:val="center"/>
          </w:tcPr>
          <w:p>
            <w:pPr>
              <w:pStyle w:val="14"/>
            </w:pPr>
            <w:r>
              <w:t>≥95百分比</w:t>
            </w:r>
          </w:p>
        </w:tc>
        <w:tc>
          <w:tcPr>
            <w:tcW w:w="2186"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机关工作人员满意度</w:t>
            </w:r>
          </w:p>
        </w:tc>
        <w:tc>
          <w:tcPr>
            <w:tcW w:w="1358" w:type="dxa"/>
            <w:vAlign w:val="center"/>
          </w:tcPr>
          <w:p>
            <w:pPr>
              <w:pStyle w:val="14"/>
            </w:pPr>
            <w:r>
              <w:t>≥95百分比</w:t>
            </w:r>
          </w:p>
        </w:tc>
        <w:tc>
          <w:tcPr>
            <w:tcW w:w="218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3、综合业务费绩效目标表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472"/>
        <w:gridCol w:w="2072"/>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13060625P00504310223R</w:t>
            </w:r>
          </w:p>
        </w:tc>
        <w:tc>
          <w:tcPr>
            <w:tcW w:w="2835" w:type="dxa"/>
            <w:vAlign w:val="center"/>
          </w:tcPr>
          <w:p>
            <w:pPr>
              <w:pStyle w:val="12"/>
            </w:pPr>
            <w:r>
              <w:t>项目名称</w:t>
            </w:r>
          </w:p>
        </w:tc>
        <w:tc>
          <w:tcPr>
            <w:tcW w:w="6095" w:type="dxa"/>
            <w:gridSpan w:val="3"/>
            <w:vAlign w:val="center"/>
          </w:tcPr>
          <w:p>
            <w:pPr>
              <w:pStyle w:val="14"/>
            </w:pPr>
            <w:r>
              <w:t>综合业务费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1472" w:type="dxa"/>
            <w:vAlign w:val="center"/>
          </w:tcPr>
          <w:p>
            <w:pPr>
              <w:pStyle w:val="12"/>
            </w:pPr>
            <w:r>
              <w:t>其他资金</w:t>
            </w:r>
          </w:p>
        </w:tc>
        <w:tc>
          <w:tcPr>
            <w:tcW w:w="2072"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用于网信办2025年网络安全活动支出及日常必要开支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1.保障莲池区辖区内网络环境清朗稳定，进一步强化快速反应能力，提升应急处突水平，扎实有序完成各项任务，经费支出准确率达100%。</w:t>
            </w:r>
            <w:r>
              <w:tab/>
            </w:r>
            <w:r>
              <w:tab/>
            </w:r>
            <w:r>
              <w:tab/>
            </w:r>
            <w:r>
              <w:tab/>
            </w:r>
            <w:r>
              <w:tab/>
            </w:r>
            <w:r>
              <w:tab/>
            </w:r>
          </w:p>
          <w:p>
            <w:pPr>
              <w:pStyle w:val="14"/>
            </w:pPr>
            <w:r>
              <w:t>2.高质量开展网络安全活动，提高3次以上宣传次数。</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449"/>
        <w:gridCol w:w="20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449" w:type="dxa"/>
            <w:vAlign w:val="center"/>
          </w:tcPr>
          <w:p>
            <w:pPr>
              <w:pStyle w:val="12"/>
            </w:pPr>
            <w:r>
              <w:t>指标值</w:t>
            </w:r>
          </w:p>
        </w:tc>
        <w:tc>
          <w:tcPr>
            <w:tcW w:w="2095"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工作日保障单位运转</w:t>
            </w:r>
          </w:p>
        </w:tc>
        <w:tc>
          <w:tcPr>
            <w:tcW w:w="5386" w:type="dxa"/>
            <w:vAlign w:val="center"/>
          </w:tcPr>
          <w:p>
            <w:pPr>
              <w:pStyle w:val="14"/>
            </w:pPr>
            <w:r>
              <w:t>工作日保障单位运转时间</w:t>
            </w:r>
          </w:p>
        </w:tc>
        <w:tc>
          <w:tcPr>
            <w:tcW w:w="1449" w:type="dxa"/>
            <w:vAlign w:val="center"/>
          </w:tcPr>
          <w:p>
            <w:pPr>
              <w:pStyle w:val="14"/>
            </w:pPr>
            <w:r>
              <w:t>≥8小时</w:t>
            </w:r>
          </w:p>
        </w:tc>
        <w:tc>
          <w:tcPr>
            <w:tcW w:w="2095"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经费支出准确率</w:t>
            </w:r>
          </w:p>
        </w:tc>
        <w:tc>
          <w:tcPr>
            <w:tcW w:w="5386" w:type="dxa"/>
            <w:vAlign w:val="center"/>
          </w:tcPr>
          <w:p>
            <w:pPr>
              <w:pStyle w:val="14"/>
            </w:pPr>
            <w:r>
              <w:t>经费支出准确率=支出准确的经费/支出全部经费*100%</w:t>
            </w:r>
          </w:p>
        </w:tc>
        <w:tc>
          <w:tcPr>
            <w:tcW w:w="1449" w:type="dxa"/>
            <w:vAlign w:val="center"/>
          </w:tcPr>
          <w:p>
            <w:pPr>
              <w:pStyle w:val="14"/>
            </w:pPr>
            <w:r>
              <w:t>≥95百分比</w:t>
            </w:r>
          </w:p>
        </w:tc>
        <w:tc>
          <w:tcPr>
            <w:tcW w:w="2095"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经费支出及时率</w:t>
            </w:r>
          </w:p>
        </w:tc>
        <w:tc>
          <w:tcPr>
            <w:tcW w:w="5386" w:type="dxa"/>
            <w:vAlign w:val="center"/>
          </w:tcPr>
          <w:p>
            <w:pPr>
              <w:pStyle w:val="14"/>
            </w:pPr>
            <w:r>
              <w:t>按时间进度要求支付使用资金</w:t>
            </w:r>
          </w:p>
        </w:tc>
        <w:tc>
          <w:tcPr>
            <w:tcW w:w="1449" w:type="dxa"/>
            <w:vAlign w:val="center"/>
          </w:tcPr>
          <w:p>
            <w:pPr>
              <w:pStyle w:val="14"/>
            </w:pPr>
            <w:r>
              <w:t>≥95百分比</w:t>
            </w:r>
          </w:p>
        </w:tc>
        <w:tc>
          <w:tcPr>
            <w:tcW w:w="2095"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总预算执行情况</w:t>
            </w:r>
          </w:p>
        </w:tc>
        <w:tc>
          <w:tcPr>
            <w:tcW w:w="5386" w:type="dxa"/>
            <w:vAlign w:val="center"/>
          </w:tcPr>
          <w:p>
            <w:pPr>
              <w:pStyle w:val="14"/>
            </w:pPr>
            <w:r>
              <w:t>经费有效控制情况</w:t>
            </w:r>
          </w:p>
        </w:tc>
        <w:tc>
          <w:tcPr>
            <w:tcW w:w="1449" w:type="dxa"/>
            <w:vAlign w:val="center"/>
          </w:tcPr>
          <w:p>
            <w:pPr>
              <w:pStyle w:val="14"/>
            </w:pPr>
            <w:r>
              <w:t>≤15万元</w:t>
            </w:r>
          </w:p>
        </w:tc>
        <w:tc>
          <w:tcPr>
            <w:tcW w:w="2095"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发挥财政资金使用效率</w:t>
            </w:r>
          </w:p>
        </w:tc>
        <w:tc>
          <w:tcPr>
            <w:tcW w:w="5386" w:type="dxa"/>
            <w:vAlign w:val="center"/>
          </w:tcPr>
          <w:p>
            <w:pPr>
              <w:pStyle w:val="14"/>
            </w:pPr>
            <w:r>
              <w:t>发挥财政资金使用效率</w:t>
            </w:r>
          </w:p>
        </w:tc>
        <w:tc>
          <w:tcPr>
            <w:tcW w:w="1449" w:type="dxa"/>
            <w:vAlign w:val="center"/>
          </w:tcPr>
          <w:p>
            <w:pPr>
              <w:pStyle w:val="14"/>
            </w:pPr>
            <w:r>
              <w:t>≥95百分比</w:t>
            </w:r>
          </w:p>
        </w:tc>
        <w:tc>
          <w:tcPr>
            <w:tcW w:w="2095"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辖区内网络环境清朗稳定</w:t>
            </w:r>
          </w:p>
        </w:tc>
        <w:tc>
          <w:tcPr>
            <w:tcW w:w="5386" w:type="dxa"/>
            <w:vAlign w:val="center"/>
          </w:tcPr>
          <w:p>
            <w:pPr>
              <w:pStyle w:val="14"/>
            </w:pPr>
            <w:r>
              <w:t>保障辖区内网络环境清朗稳定</w:t>
            </w:r>
          </w:p>
        </w:tc>
        <w:tc>
          <w:tcPr>
            <w:tcW w:w="1449" w:type="dxa"/>
            <w:vAlign w:val="center"/>
          </w:tcPr>
          <w:p>
            <w:pPr>
              <w:pStyle w:val="14"/>
            </w:pPr>
            <w:r>
              <w:t>≥95百分比</w:t>
            </w:r>
          </w:p>
        </w:tc>
        <w:tc>
          <w:tcPr>
            <w:tcW w:w="2095"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该项目不涉及生态效益</w:t>
            </w:r>
          </w:p>
        </w:tc>
        <w:tc>
          <w:tcPr>
            <w:tcW w:w="5386" w:type="dxa"/>
            <w:vAlign w:val="center"/>
          </w:tcPr>
          <w:p>
            <w:pPr>
              <w:pStyle w:val="14"/>
            </w:pPr>
            <w:r>
              <w:t>该项目不涉及生态效益</w:t>
            </w:r>
          </w:p>
        </w:tc>
        <w:tc>
          <w:tcPr>
            <w:tcW w:w="1449" w:type="dxa"/>
            <w:vAlign w:val="center"/>
          </w:tcPr>
          <w:p>
            <w:pPr>
              <w:pStyle w:val="14"/>
            </w:pPr>
            <w:r>
              <w:t>文字描述</w:t>
            </w:r>
          </w:p>
        </w:tc>
        <w:tc>
          <w:tcPr>
            <w:tcW w:w="2095" w:type="dxa"/>
            <w:vAlign w:val="center"/>
          </w:tcPr>
          <w:p>
            <w:pPr>
              <w:pStyle w:val="14"/>
            </w:pPr>
            <w:r>
              <w:t>该项目不涉及生态效益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工作可持续性</w:t>
            </w:r>
          </w:p>
        </w:tc>
        <w:tc>
          <w:tcPr>
            <w:tcW w:w="5386" w:type="dxa"/>
            <w:vAlign w:val="center"/>
          </w:tcPr>
          <w:p>
            <w:pPr>
              <w:pStyle w:val="14"/>
            </w:pPr>
            <w:r>
              <w:t>网络安全活动可持续性</w:t>
            </w:r>
          </w:p>
        </w:tc>
        <w:tc>
          <w:tcPr>
            <w:tcW w:w="1449" w:type="dxa"/>
            <w:vAlign w:val="center"/>
          </w:tcPr>
          <w:p>
            <w:pPr>
              <w:pStyle w:val="14"/>
            </w:pPr>
            <w:r>
              <w:t>≥95百分比</w:t>
            </w:r>
          </w:p>
        </w:tc>
        <w:tc>
          <w:tcPr>
            <w:tcW w:w="2095" w:type="dxa"/>
            <w:vAlign w:val="center"/>
          </w:tcPr>
          <w:p>
            <w:pPr>
              <w:pStyle w:val="14"/>
            </w:pPr>
            <w:r>
              <w:t>历史行业规定标准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是否达到群众满意</w:t>
            </w:r>
          </w:p>
        </w:tc>
        <w:tc>
          <w:tcPr>
            <w:tcW w:w="5386" w:type="dxa"/>
            <w:vAlign w:val="center"/>
          </w:tcPr>
          <w:p>
            <w:pPr>
              <w:pStyle w:val="14"/>
            </w:pPr>
            <w:r>
              <w:t>群众满意度</w:t>
            </w:r>
          </w:p>
        </w:tc>
        <w:tc>
          <w:tcPr>
            <w:tcW w:w="1449" w:type="dxa"/>
            <w:vAlign w:val="center"/>
          </w:tcPr>
          <w:p>
            <w:pPr>
              <w:pStyle w:val="14"/>
            </w:pPr>
            <w:r>
              <w:t>≥95百分比</w:t>
            </w:r>
          </w:p>
        </w:tc>
        <w:tc>
          <w:tcPr>
            <w:tcW w:w="2095"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numPr>
          <w:ilvl w:val="0"/>
          <w:numId w:val="0"/>
        </w:numPr>
        <w:spacing w:before="10" w:after="10" w:line="240" w:lineRule="auto"/>
        <w:ind w:firstLine="640" w:firstLineChars="200"/>
        <w:jc w:val="left"/>
        <w:outlineLvl w:val="5"/>
        <w:rPr>
          <w:rFonts w:ascii="黑体" w:hAnsi="黑体" w:eastAsia="黑体" w:cs="黑体"/>
          <w:color w:val="000000"/>
          <w:sz w:val="32"/>
        </w:rPr>
      </w:pPr>
      <w:r>
        <w:rPr>
          <w:rFonts w:hint="eastAsia" w:ascii="黑体" w:hAnsi="黑体" w:eastAsia="黑体" w:cs="黑体"/>
          <w:color w:val="000000"/>
          <w:sz w:val="32"/>
          <w:lang w:val="en-US" w:eastAsia="zh-CN"/>
        </w:rPr>
        <w:t>六、</w:t>
      </w:r>
      <w:r>
        <w:rPr>
          <w:rFonts w:ascii="黑体" w:hAnsi="黑体" w:eastAsia="黑体" w:cs="黑体"/>
          <w:color w:val="000000"/>
          <w:sz w:val="32"/>
        </w:rPr>
        <w:t>政府采购预算情况</w:t>
      </w:r>
    </w:p>
    <w:p>
      <w:pPr>
        <w:widowControl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年，保定市莲池区委网络安全和信息化委员会办公室本级安排政府采购预算0.00万元。具体内容见下表。</w:t>
      </w:r>
    </w:p>
    <w:p>
      <w:pPr>
        <w:numPr>
          <w:ilvl w:val="0"/>
          <w:numId w:val="0"/>
        </w:numPr>
        <w:spacing w:before="10" w:after="10" w:line="240" w:lineRule="auto"/>
        <w:ind w:leftChars="200"/>
        <w:jc w:val="left"/>
        <w:outlineLvl w:val="5"/>
        <w:rPr>
          <w:rFonts w:hint="default" w:ascii="黑体" w:hAnsi="黑体" w:eastAsia="黑体" w:cs="黑体"/>
          <w:color w:val="000000"/>
          <w:sz w:val="32"/>
          <w:lang w:val="en-US" w:eastAsia="zh-CN"/>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保定市莲池区委网络安全和信息化委员会办公室本级上年末固定资产金额为8.029万元（详见下表）。本年度拟购置固定资产总额为0.00万元，已按要求列入政府采购预算，详见政府采购预算表。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5"/>
        <w:gridCol w:w="2571"/>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295" w:type="dxa"/>
            <w:tcBorders>
              <w:top w:val="single" w:color="FFFFFF" w:sz="6" w:space="0"/>
              <w:left w:val="single" w:color="FFFFFF" w:sz="6" w:space="0"/>
              <w:right w:val="single" w:color="FFFFFF" w:sz="6" w:space="0"/>
            </w:tcBorders>
            <w:vAlign w:val="center"/>
          </w:tcPr>
          <w:p>
            <w:pPr>
              <w:pStyle w:val="11"/>
            </w:pPr>
            <w:r>
              <w:t>224001保定市莲池区委网络安全和信息化委员会办公室本级</w:t>
            </w:r>
          </w:p>
        </w:tc>
        <w:tc>
          <w:tcPr>
            <w:tcW w:w="7504" w:type="dxa"/>
            <w:gridSpan w:val="2"/>
            <w:tcBorders>
              <w:top w:val="single" w:color="FFFFFF" w:sz="6" w:space="0"/>
              <w:left w:val="single" w:color="FFFFFF" w:sz="6" w:space="0"/>
              <w:right w:val="single" w:color="FFFFFF" w:sz="6" w:space="0"/>
            </w:tcBorders>
            <w:vAlign w:val="center"/>
          </w:tcPr>
          <w:p>
            <w:pPr>
              <w:pStyle w:val="9"/>
            </w:pPr>
            <w:r>
              <w:t>截止时间：</w:t>
            </w:r>
            <w:r>
              <w:rPr>
                <w:rFonts w:hint="eastAsia"/>
                <w:lang w:val="en-US" w:eastAsia="zh-CN"/>
              </w:rPr>
              <w:t>2024</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295" w:type="dxa"/>
            <w:vAlign w:val="center"/>
          </w:tcPr>
          <w:p>
            <w:pPr>
              <w:pStyle w:val="12"/>
              <w:rPr>
                <w:sz w:val="24"/>
              </w:rPr>
            </w:pPr>
            <w:r>
              <w:rPr>
                <w:sz w:val="24"/>
              </w:rPr>
              <w:t>项   目</w:t>
            </w:r>
          </w:p>
        </w:tc>
        <w:tc>
          <w:tcPr>
            <w:tcW w:w="2571" w:type="dxa"/>
            <w:vAlign w:val="center"/>
          </w:tcPr>
          <w:p>
            <w:pPr>
              <w:pStyle w:val="12"/>
              <w:rPr>
                <w:sz w:val="24"/>
              </w:rPr>
            </w:pPr>
            <w:r>
              <w:rPr>
                <w:sz w:val="24"/>
              </w:rPr>
              <w:t>数量</w:t>
            </w:r>
          </w:p>
        </w:tc>
        <w:tc>
          <w:tcPr>
            <w:tcW w:w="4933" w:type="dxa"/>
            <w:vAlign w:val="center"/>
          </w:tcPr>
          <w:p>
            <w:pPr>
              <w:pStyle w:val="12"/>
              <w:rPr>
                <w:sz w:val="24"/>
              </w:rPr>
            </w:pPr>
            <w:r>
              <w:rPr>
                <w:sz w:val="24"/>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4"/>
              <w:jc w:val="center"/>
              <w:rPr>
                <w:rFonts w:ascii="仿宋_GB2312" w:hAnsi="仿宋_GB2312" w:eastAsia="仿宋_GB2312" w:cs="仿宋_GB2312"/>
                <w:sz w:val="24"/>
              </w:rPr>
            </w:pPr>
            <w:r>
              <w:rPr>
                <w:rFonts w:hint="eastAsia" w:ascii="仿宋_GB2312" w:hAnsi="仿宋_GB2312" w:eastAsia="仿宋_GB2312" w:cs="仿宋_GB2312"/>
                <w:b/>
                <w:bCs/>
                <w:color w:val="000000"/>
                <w:sz w:val="24"/>
              </w:rPr>
              <w:t>固定资产总额</w:t>
            </w:r>
          </w:p>
        </w:tc>
        <w:tc>
          <w:tcPr>
            <w:tcW w:w="2571" w:type="dxa"/>
            <w:vAlign w:val="center"/>
          </w:tcPr>
          <w:p>
            <w:pPr>
              <w:pStyle w:val="15"/>
              <w:rPr>
                <w:rFonts w:ascii="仿宋_GB2312" w:hAnsi="仿宋_GB2312" w:eastAsia="仿宋_GB2312" w:cs="仿宋_GB2312"/>
                <w:sz w:val="24"/>
              </w:rPr>
            </w:pPr>
          </w:p>
        </w:tc>
        <w:tc>
          <w:tcPr>
            <w:tcW w:w="4933" w:type="dxa"/>
            <w:vAlign w:val="center"/>
          </w:tcPr>
          <w:p>
            <w:pPr>
              <w:pStyle w:val="13"/>
              <w:jc w:val="center"/>
              <w:rPr>
                <w:rFonts w:ascii="仿宋_GB2312" w:hAnsi="仿宋_GB2312" w:eastAsia="仿宋_GB2312" w:cs="仿宋_GB2312"/>
                <w:sz w:val="24"/>
                <w:lang w:eastAsia="zh-CN"/>
              </w:rPr>
            </w:pPr>
            <w:r>
              <w:rPr>
                <w:rFonts w:hint="eastAsia" w:ascii="仿宋_GB2312" w:hAnsi="仿宋_GB2312" w:eastAsia="仿宋_GB2312" w:cs="仿宋_GB2312"/>
                <w:sz w:val="24"/>
                <w:lang w:eastAsia="zh-CN"/>
              </w:rPr>
              <w:t>8.029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4"/>
              <w:ind w:firstLine="240" w:firstLineChars="100"/>
              <w:rPr>
                <w:rFonts w:ascii="仿宋_GB2312" w:hAnsi="仿宋_GB2312" w:eastAsia="仿宋_GB2312" w:cs="仿宋_GB2312"/>
                <w:sz w:val="24"/>
              </w:rPr>
            </w:pPr>
            <w:r>
              <w:rPr>
                <w:rFonts w:hint="eastAsia" w:ascii="仿宋_GB2312" w:hAnsi="仿宋_GB2312" w:eastAsia="仿宋_GB2312" w:cs="仿宋_GB2312"/>
                <w:color w:val="000000"/>
                <w:sz w:val="24"/>
              </w:rPr>
              <w:t>1、房屋（平方米）</w:t>
            </w:r>
          </w:p>
        </w:tc>
        <w:tc>
          <w:tcPr>
            <w:tcW w:w="2571" w:type="dxa"/>
            <w:vAlign w:val="center"/>
          </w:tcPr>
          <w:p>
            <w:pPr>
              <w:pStyle w:val="15"/>
              <w:rPr>
                <w:rFonts w:ascii="仿宋_GB2312" w:hAnsi="仿宋_GB2312" w:eastAsia="仿宋_GB2312" w:cs="仿宋_GB2312"/>
                <w:sz w:val="24"/>
              </w:rPr>
            </w:pPr>
          </w:p>
        </w:tc>
        <w:tc>
          <w:tcPr>
            <w:tcW w:w="4933" w:type="dxa"/>
            <w:vAlign w:val="center"/>
          </w:tcPr>
          <w:p>
            <w:pPr>
              <w:pStyle w:val="13"/>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jc w:val="center"/>
        </w:trPr>
        <w:tc>
          <w:tcPr>
            <w:tcW w:w="7295" w:type="dxa"/>
            <w:vAlign w:val="center"/>
          </w:tcPr>
          <w:p>
            <w:pPr>
              <w:pStyle w:val="14"/>
              <w:rPr>
                <w:rFonts w:ascii="仿宋_GB2312" w:hAnsi="仿宋_GB2312" w:eastAsia="仿宋_GB2312" w:cs="仿宋_GB2312"/>
                <w:sz w:val="24"/>
              </w:rPr>
            </w:pPr>
            <w:r>
              <w:rPr>
                <w:rFonts w:hint="eastAsia" w:ascii="仿宋_GB2312" w:hAnsi="仿宋_GB2312" w:eastAsia="仿宋_GB2312" w:cs="仿宋_GB2312"/>
                <w:color w:val="000000"/>
                <w:sz w:val="24"/>
              </w:rPr>
              <w:t xml:space="preserve">  其中：办公用房（平方米）</w:t>
            </w:r>
          </w:p>
        </w:tc>
        <w:tc>
          <w:tcPr>
            <w:tcW w:w="2571" w:type="dxa"/>
            <w:vAlign w:val="center"/>
          </w:tcPr>
          <w:p>
            <w:pPr>
              <w:pStyle w:val="15"/>
              <w:rPr>
                <w:rFonts w:ascii="仿宋_GB2312" w:hAnsi="仿宋_GB2312" w:eastAsia="仿宋_GB2312" w:cs="仿宋_GB2312"/>
                <w:sz w:val="24"/>
              </w:rPr>
            </w:pPr>
          </w:p>
        </w:tc>
        <w:tc>
          <w:tcPr>
            <w:tcW w:w="4933" w:type="dxa"/>
            <w:vAlign w:val="center"/>
          </w:tcPr>
          <w:p>
            <w:pPr>
              <w:pStyle w:val="13"/>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4"/>
              <w:rPr>
                <w:rFonts w:ascii="仿宋_GB2312" w:hAnsi="仿宋_GB2312" w:eastAsia="仿宋_GB2312" w:cs="仿宋_GB2312"/>
                <w:sz w:val="24"/>
              </w:rPr>
            </w:pPr>
            <w:r>
              <w:rPr>
                <w:rFonts w:hint="eastAsia" w:ascii="仿宋_GB2312" w:hAnsi="仿宋_GB2312" w:eastAsia="仿宋_GB2312" w:cs="仿宋_GB2312"/>
                <w:color w:val="000000"/>
                <w:sz w:val="24"/>
              </w:rPr>
              <w:t xml:space="preserve">  2、车辆（台、辆）</w:t>
            </w:r>
          </w:p>
        </w:tc>
        <w:tc>
          <w:tcPr>
            <w:tcW w:w="2571" w:type="dxa"/>
            <w:vAlign w:val="center"/>
          </w:tcPr>
          <w:p>
            <w:pPr>
              <w:pStyle w:val="15"/>
              <w:rPr>
                <w:rFonts w:ascii="仿宋_GB2312" w:hAnsi="仿宋_GB2312" w:eastAsia="仿宋_GB2312" w:cs="仿宋_GB2312"/>
                <w:sz w:val="24"/>
              </w:rPr>
            </w:pPr>
          </w:p>
        </w:tc>
        <w:tc>
          <w:tcPr>
            <w:tcW w:w="4933" w:type="dxa"/>
            <w:vAlign w:val="center"/>
          </w:tcPr>
          <w:p>
            <w:pPr>
              <w:pStyle w:val="13"/>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4"/>
              <w:ind w:firstLine="240" w:firstLineChars="100"/>
              <w:rPr>
                <w:rFonts w:ascii="仿宋_GB2312" w:hAnsi="仿宋_GB2312" w:eastAsia="仿宋_GB2312" w:cs="仿宋_GB2312"/>
                <w:sz w:val="24"/>
              </w:rPr>
            </w:pPr>
            <w:r>
              <w:rPr>
                <w:rFonts w:hint="eastAsia" w:ascii="仿宋_GB2312" w:hAnsi="仿宋_GB2312" w:eastAsia="仿宋_GB2312" w:cs="仿宋_GB2312"/>
                <w:color w:val="000000"/>
                <w:sz w:val="24"/>
              </w:rPr>
              <w:t>3、单价在50万元以上的设备(台、套)</w:t>
            </w:r>
          </w:p>
        </w:tc>
        <w:tc>
          <w:tcPr>
            <w:tcW w:w="2571" w:type="dxa"/>
            <w:vAlign w:val="center"/>
          </w:tcPr>
          <w:p>
            <w:pPr>
              <w:pStyle w:val="15"/>
              <w:rPr>
                <w:rFonts w:ascii="仿宋_GB2312" w:hAnsi="仿宋_GB2312" w:eastAsia="仿宋_GB2312" w:cs="仿宋_GB2312"/>
                <w:sz w:val="24"/>
              </w:rPr>
            </w:pPr>
          </w:p>
        </w:tc>
        <w:tc>
          <w:tcPr>
            <w:tcW w:w="4933" w:type="dxa"/>
            <w:vAlign w:val="center"/>
          </w:tcPr>
          <w:p>
            <w:pPr>
              <w:pStyle w:val="13"/>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4"/>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其中：单价50万元（含）以上的通用设备</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3"/>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 xml:space="preserve"> 单价100万元（含）以上的通专用设备</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3"/>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 xml:space="preserve">  4、其他固定资产</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3"/>
              <w:jc w:val="center"/>
              <w:rPr>
                <w:rFonts w:ascii="仿宋_GB2312" w:hAnsi="仿宋_GB2312" w:eastAsia="仿宋_GB2312" w:cs="仿宋_GB2312"/>
                <w:sz w:val="24"/>
                <w:lang w:eastAsia="zh-CN"/>
              </w:rPr>
            </w:pPr>
            <w:r>
              <w:rPr>
                <w:rFonts w:hint="eastAsia" w:ascii="仿宋_GB2312" w:hAnsi="仿宋_GB2312" w:eastAsia="仿宋_GB2312" w:cs="仿宋_GB2312"/>
                <w:sz w:val="24"/>
                <w:lang w:eastAsia="zh-CN"/>
              </w:rPr>
              <w:t>8.029</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eastAsia" w:ascii="仿宋_GB2312" w:hAnsi="仿宋_GB2312" w:eastAsia="仿宋_GB2312" w:cs="仿宋_GB2312"/>
          <w:sz w:val="32"/>
          <w:szCs w:val="32"/>
        </w:rPr>
      </w:pPr>
      <w:r>
        <w:rPr>
          <w:rFonts w:eastAsia="方正仿宋_GBK" w:cs="Times New Roman"/>
          <w:color w:val="000000"/>
          <w:sz w:val="32"/>
          <w:szCs w:val="32"/>
        </w:rPr>
        <w:t>1、</w:t>
      </w:r>
      <w:r>
        <w:rPr>
          <w:rFonts w:eastAsia="方正仿宋_GBK" w:cs="Times New Roman"/>
          <w:b/>
          <w:bCs/>
          <w:color w:val="000000"/>
          <w:sz w:val="32"/>
          <w:szCs w:val="32"/>
        </w:rPr>
        <w:t>财政拨款收入：</w:t>
      </w:r>
      <w:r>
        <w:rPr>
          <w:rFonts w:hint="eastAsia" w:ascii="仿宋_GB2312" w:hAnsi="仿宋_GB2312" w:eastAsia="仿宋_GB2312" w:cs="仿宋_GB2312"/>
          <w:sz w:val="32"/>
          <w:szCs w:val="32"/>
        </w:rPr>
        <w:t>指本级财政当年拨付的资金，包括一般公共预算拨款、政府性基金预算拨款、国有资本经营预算拨款。</w:t>
      </w:r>
    </w:p>
    <w:p>
      <w:pPr>
        <w:spacing w:before="0" w:after="0" w:line="500" w:lineRule="exact"/>
        <w:ind w:firstLine="560"/>
        <w:jc w:val="left"/>
        <w:outlineLvl w:val="9"/>
      </w:pPr>
      <w:r>
        <w:rPr>
          <w:rFonts w:eastAsia="方正仿宋_GBK" w:cs="Times New Roman"/>
          <w:color w:val="000000"/>
          <w:sz w:val="32"/>
          <w:szCs w:val="32"/>
        </w:rPr>
        <w:t>2、</w:t>
      </w:r>
      <w:r>
        <w:rPr>
          <w:rFonts w:eastAsia="方正仿宋_GBK" w:cs="Times New Roman"/>
          <w:b/>
          <w:bCs/>
          <w:color w:val="000000"/>
          <w:sz w:val="32"/>
          <w:szCs w:val="32"/>
        </w:rPr>
        <w:t>财政专户管理资金收入：</w:t>
      </w:r>
      <w:r>
        <w:rPr>
          <w:rFonts w:hint="eastAsia" w:ascii="仿宋_GB2312" w:hAnsi="仿宋_GB2312" w:eastAsia="仿宋_GB2312" w:cs="仿宋_GB2312"/>
          <w:sz w:val="32"/>
          <w:szCs w:val="32"/>
        </w:rPr>
        <w:t>缴入财政专户、实行专项管理的教育收费收入。</w:t>
      </w:r>
    </w:p>
    <w:p>
      <w:pPr>
        <w:spacing w:before="0" w:after="0" w:line="500" w:lineRule="exact"/>
        <w:ind w:firstLine="560"/>
        <w:jc w:val="left"/>
        <w:outlineLvl w:val="9"/>
      </w:pPr>
      <w:r>
        <w:rPr>
          <w:rFonts w:eastAsia="方正仿宋_GBK" w:cs="Times New Roman"/>
          <w:color w:val="000000"/>
          <w:sz w:val="32"/>
          <w:szCs w:val="32"/>
        </w:rPr>
        <w:t>3、</w:t>
      </w:r>
      <w:r>
        <w:rPr>
          <w:rFonts w:eastAsia="方正仿宋_GBK" w:cs="Times New Roman"/>
          <w:b/>
          <w:bCs/>
          <w:color w:val="000000"/>
          <w:sz w:val="32"/>
          <w:szCs w:val="32"/>
        </w:rPr>
        <w:t>单位资金收入：</w:t>
      </w:r>
      <w:r>
        <w:rPr>
          <w:rFonts w:hint="eastAsia" w:ascii="仿宋_GB2312" w:hAnsi="仿宋_GB2312" w:eastAsia="仿宋_GB2312" w:cs="仿宋_GB2312"/>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eastAsia="方正仿宋_GBK" w:cs="Times New Roman"/>
          <w:color w:val="000000"/>
          <w:sz w:val="32"/>
          <w:szCs w:val="32"/>
        </w:rPr>
        <w:t>4、</w:t>
      </w:r>
      <w:r>
        <w:rPr>
          <w:rFonts w:eastAsia="方正仿宋_GBK" w:cs="Times New Roman"/>
          <w:b/>
          <w:bCs/>
          <w:color w:val="000000"/>
          <w:sz w:val="32"/>
          <w:szCs w:val="32"/>
        </w:rPr>
        <w:t>事业收入：</w:t>
      </w:r>
      <w:r>
        <w:rPr>
          <w:rFonts w:hint="eastAsia" w:ascii="仿宋_GB2312" w:hAnsi="仿宋_GB2312" w:eastAsia="仿宋_GB2312" w:cs="仿宋_GB2312"/>
          <w:sz w:val="32"/>
          <w:szCs w:val="32"/>
        </w:rPr>
        <w:t>指事业单位开展专业业务活动及辅助活动所取得的收入。</w:t>
      </w:r>
    </w:p>
    <w:p>
      <w:pPr>
        <w:spacing w:before="0" w:after="0" w:line="500" w:lineRule="exact"/>
        <w:ind w:firstLine="560"/>
        <w:jc w:val="left"/>
        <w:outlineLvl w:val="9"/>
      </w:pPr>
      <w:r>
        <w:rPr>
          <w:rFonts w:eastAsia="方正仿宋_GBK" w:cs="Times New Roman"/>
          <w:color w:val="000000"/>
          <w:sz w:val="32"/>
          <w:szCs w:val="32"/>
        </w:rPr>
        <w:t>5、</w:t>
      </w:r>
      <w:r>
        <w:rPr>
          <w:rFonts w:eastAsia="方正仿宋_GBK" w:cs="Times New Roman"/>
          <w:b/>
          <w:bCs/>
          <w:color w:val="000000"/>
          <w:sz w:val="32"/>
          <w:szCs w:val="32"/>
        </w:rPr>
        <w:t>事业单位经营收入：</w:t>
      </w:r>
      <w:r>
        <w:rPr>
          <w:rFonts w:hint="eastAsia" w:ascii="仿宋_GB2312" w:hAnsi="仿宋_GB2312" w:eastAsia="仿宋_GB2312" w:cs="仿宋_GB2312"/>
          <w:sz w:val="32"/>
          <w:szCs w:val="32"/>
        </w:rPr>
        <w:t>指事业单位在专业业务活动及其辅助活动之外开展非独立核算经营活动取得的收入。</w:t>
      </w:r>
    </w:p>
    <w:p>
      <w:pPr>
        <w:spacing w:before="0" w:after="0" w:line="500" w:lineRule="exact"/>
        <w:ind w:firstLine="560"/>
        <w:jc w:val="left"/>
        <w:outlineLvl w:val="9"/>
      </w:pPr>
      <w:r>
        <w:rPr>
          <w:rFonts w:eastAsia="方正仿宋_GBK" w:cs="Times New Roman"/>
          <w:color w:val="000000"/>
          <w:sz w:val="32"/>
          <w:szCs w:val="32"/>
        </w:rPr>
        <w:t>6、</w:t>
      </w:r>
      <w:r>
        <w:rPr>
          <w:rFonts w:eastAsia="方正仿宋_GBK" w:cs="Times New Roman"/>
          <w:b/>
          <w:bCs/>
          <w:color w:val="000000"/>
          <w:sz w:val="32"/>
          <w:szCs w:val="32"/>
        </w:rPr>
        <w:t>上年结转：</w:t>
      </w:r>
      <w:r>
        <w:rPr>
          <w:rFonts w:hint="eastAsia" w:ascii="仿宋_GB2312" w:hAnsi="仿宋_GB2312" w:eastAsia="仿宋_GB2312" w:cs="仿宋_GB2312"/>
          <w:sz w:val="32"/>
          <w:szCs w:val="32"/>
        </w:rPr>
        <w:t>指以前年度安排、结转到本年仍按原规定用途继续使用的资金。</w:t>
      </w:r>
    </w:p>
    <w:p>
      <w:pPr>
        <w:spacing w:before="0" w:after="0" w:line="500" w:lineRule="exact"/>
        <w:ind w:firstLine="560"/>
        <w:jc w:val="left"/>
        <w:outlineLvl w:val="9"/>
        <w:rPr>
          <w:rFonts w:hint="eastAsia" w:ascii="仿宋_GB2312" w:hAnsi="仿宋_GB2312" w:eastAsia="仿宋_GB2312" w:cs="仿宋_GB2312"/>
          <w:sz w:val="32"/>
          <w:szCs w:val="32"/>
        </w:rPr>
      </w:pPr>
      <w:r>
        <w:rPr>
          <w:rFonts w:eastAsia="方正仿宋_GBK" w:cs="Times New Roman"/>
          <w:color w:val="000000"/>
          <w:sz w:val="32"/>
          <w:szCs w:val="32"/>
        </w:rPr>
        <w:t>7、</w:t>
      </w:r>
      <w:r>
        <w:rPr>
          <w:rFonts w:eastAsia="方正仿宋_GBK" w:cs="Times New Roman"/>
          <w:b/>
          <w:bCs/>
          <w:color w:val="000000"/>
          <w:sz w:val="32"/>
          <w:szCs w:val="32"/>
        </w:rPr>
        <w:t>部门预算支出：</w:t>
      </w:r>
      <w:r>
        <w:rPr>
          <w:rFonts w:hint="eastAsia" w:ascii="仿宋_GB2312" w:hAnsi="仿宋_GB2312" w:eastAsia="仿宋_GB2312" w:cs="仿宋_GB2312"/>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eastAsia="方正仿宋_GBK" w:cs="Times New Roman"/>
          <w:color w:val="000000"/>
          <w:sz w:val="32"/>
          <w:szCs w:val="32"/>
        </w:rPr>
        <w:t>8、</w:t>
      </w:r>
      <w:r>
        <w:rPr>
          <w:rFonts w:eastAsia="方正仿宋_GBK" w:cs="Times New Roman"/>
          <w:b/>
          <w:bCs/>
          <w:color w:val="000000"/>
          <w:sz w:val="32"/>
          <w:szCs w:val="32"/>
        </w:rPr>
        <w:t>事业单位经营支出：</w:t>
      </w:r>
      <w:r>
        <w:rPr>
          <w:rFonts w:hint="eastAsia" w:ascii="仿宋_GB2312" w:hAnsi="仿宋_GB2312" w:eastAsia="仿宋_GB2312" w:cs="仿宋_GB2312"/>
          <w:sz w:val="32"/>
          <w:szCs w:val="32"/>
        </w:rPr>
        <w:t>指事业单位在专业业务活动及其辅助活动之外开展非独立核算经营活动发生的支出。</w:t>
      </w:r>
    </w:p>
    <w:p>
      <w:pPr>
        <w:spacing w:before="0" w:after="0" w:line="500" w:lineRule="exact"/>
        <w:ind w:firstLine="560"/>
        <w:jc w:val="left"/>
        <w:outlineLvl w:val="9"/>
        <w:rPr>
          <w:rFonts w:hint="eastAsia" w:ascii="仿宋_GB2312" w:hAnsi="仿宋_GB2312" w:eastAsia="仿宋_GB2312" w:cs="仿宋_GB2312"/>
          <w:sz w:val="32"/>
          <w:szCs w:val="32"/>
        </w:rPr>
      </w:pPr>
      <w:r>
        <w:rPr>
          <w:rFonts w:eastAsia="方正仿宋_GBK" w:cs="Times New Roman"/>
          <w:color w:val="000000"/>
          <w:sz w:val="32"/>
          <w:szCs w:val="32"/>
        </w:rPr>
        <w:t>9、</w:t>
      </w:r>
      <w:r>
        <w:rPr>
          <w:rFonts w:eastAsia="方正仿宋_GBK" w:cs="Times New Roman"/>
          <w:b/>
          <w:bCs/>
          <w:color w:val="000000"/>
          <w:sz w:val="32"/>
          <w:szCs w:val="32"/>
        </w:rPr>
        <w:t>“三公”经费：</w:t>
      </w:r>
      <w:r>
        <w:rPr>
          <w:rFonts w:hint="eastAsia" w:ascii="仿宋_GB2312" w:hAnsi="仿宋_GB2312" w:eastAsia="仿宋_GB2312" w:cs="仿宋_GB2312"/>
          <w:sz w:val="32"/>
          <w:szCs w:val="32"/>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eastAsia" w:ascii="仿宋_GB2312" w:hAnsi="仿宋_GB2312" w:eastAsia="仿宋_GB2312" w:cs="仿宋_GB2312"/>
          <w:sz w:val="32"/>
          <w:szCs w:val="32"/>
        </w:rPr>
      </w:pPr>
      <w:r>
        <w:rPr>
          <w:rFonts w:eastAsia="方正仿宋_GBK" w:cs="Times New Roman"/>
          <w:color w:val="000000"/>
          <w:sz w:val="32"/>
          <w:szCs w:val="32"/>
        </w:rPr>
        <w:t>10、</w:t>
      </w:r>
      <w:r>
        <w:rPr>
          <w:rFonts w:eastAsia="方正仿宋_GBK" w:cs="Times New Roman"/>
          <w:b/>
          <w:bCs/>
          <w:color w:val="000000"/>
          <w:sz w:val="32"/>
          <w:szCs w:val="32"/>
        </w:rPr>
        <w:t>机关运行经费：</w:t>
      </w:r>
      <w:r>
        <w:rPr>
          <w:rFonts w:hint="eastAsia" w:ascii="仿宋_GB2312" w:hAnsi="仿宋_GB2312" w:eastAsia="仿宋_GB2312" w:cs="仿宋_GB2312"/>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widowControl w:val="0"/>
        <w:spacing w:line="560" w:lineRule="exact"/>
        <w:ind w:firstLine="640" w:firstLineChars="200"/>
      </w:pPr>
      <w:r>
        <w:rPr>
          <w:rFonts w:hint="eastAsia" w:ascii="仿宋_GB2312" w:hAnsi="仿宋_GB2312" w:eastAsia="仿宋_GB2312" w:cs="仿宋_GB2312"/>
          <w:sz w:val="32"/>
          <w:szCs w:val="32"/>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10107"/>
    <w:multiLevelType w:val="singleLevel"/>
    <w:tmpl w:val="92D1010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DhiZGVmNjEzNGEzZDhmYTJkMDZhOTMwNjhlMjAifQ=="/>
  </w:docVars>
  <w:rsids>
    <w:rsidRoot w:val="00000000"/>
    <w:rsid w:val="15C4425D"/>
    <w:rsid w:val="1C821793"/>
    <w:rsid w:val="3C1F01A5"/>
    <w:rsid w:val="583E39ED"/>
    <w:rsid w:val="5C0E7D1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51</Pages>
  <Words>1767</Words>
  <Characters>2120</Characters>
  <TotalTime>0</TotalTime>
  <ScaleCrop>false</ScaleCrop>
  <LinksUpToDate>false</LinksUpToDate>
  <CharactersWithSpaces>2180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2025-02-12T10:00:00Z</dcterms:created>
  <dc:creator>Administrator</dc:creator>
  <cp:lastModifiedBy>HP</cp:lastModifiedBy>
  <dcterms:modified xsi:type="dcterms:W3CDTF">2025-12-03T01:45:19Z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eyJoZGlkIjoiNDY1ZGMxN2E1MzEzNWViNGU2NjljYmIzNTE2MTJiNDciLCJ1c2VySWQiOiIyMTU1MTk0NDMifQ==</vt:lpwstr>
  </property>
  <property fmtid="{D5CDD505-2E9C-101B-9397-08002B2CF9AE}" pid="3" name="KSOProductBuildVer">
    <vt:lpwstr>2052-12.1.0.16120</vt:lpwstr>
  </property>
  <property fmtid="{D5CDD505-2E9C-101B-9397-08002B2CF9AE}" pid="4" name="ICV">
    <vt:lpwstr>38DCF3ED37F943A887C9E890486AF605_13</vt:lpwstr>
  </property>
</Properties>
</file>