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shd w:val="clear" w:color="auto" w:fill="FFFFFF"/>
        <w:spacing w:before="0" w:beforeAutospacing="0" w:after="0" w:afterAutospacing="0" w:line="54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保定市莲池区南关街道办事处</w:t>
      </w:r>
    </w:p>
    <w:p>
      <w:pPr>
        <w:pStyle w:val="5"/>
        <w:shd w:val="clear" w:color="auto" w:fill="FFFFFF"/>
        <w:spacing w:before="0" w:beforeAutospacing="0" w:after="0" w:afterAutospacing="0" w:line="54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eastAsia="zh-CN"/>
        </w:rPr>
        <w:t>2025</w:t>
      </w:r>
      <w:r>
        <w:rPr>
          <w:rFonts w:hint="eastAsia" w:ascii="方正小标宋简体" w:hAnsi="方正小标宋简体" w:eastAsia="方正小标宋简体" w:cs="方正小标宋简体"/>
          <w:sz w:val="44"/>
          <w:szCs w:val="44"/>
        </w:rPr>
        <w:t>年政府信息公开工作年度报告</w:t>
      </w:r>
    </w:p>
    <w:p>
      <w:pPr>
        <w:pStyle w:val="5"/>
        <w:shd w:val="clear" w:color="auto" w:fill="FFFFFF"/>
        <w:spacing w:before="0" w:beforeAutospacing="0" w:after="0" w:afterAutospacing="0" w:line="540" w:lineRule="exact"/>
        <w:ind w:firstLine="420"/>
        <w:jc w:val="both"/>
        <w:rPr>
          <w:b/>
          <w:color w:val="333333"/>
          <w:shd w:val="clear" w:color="auto" w:fill="FFFFFF"/>
        </w:rPr>
      </w:pPr>
    </w:p>
    <w:p>
      <w:pPr>
        <w:pStyle w:val="5"/>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40" w:lineRule="exact"/>
        <w:ind w:firstLine="640" w:firstLineChars="200"/>
        <w:jc w:val="both"/>
        <w:textAlignment w:val="auto"/>
        <w:rPr>
          <w:rFonts w:hint="eastAsia" w:ascii="仿宋_GB2312" w:hAnsi="仿宋" w:eastAsia="仿宋_GB2312"/>
          <w:bCs/>
          <w:color w:val="auto"/>
          <w:sz w:val="32"/>
          <w:szCs w:val="32"/>
          <w:shd w:val="clear" w:color="auto" w:fill="FFFFFF"/>
        </w:rPr>
      </w:pPr>
      <w:r>
        <w:rPr>
          <w:rFonts w:hint="eastAsia" w:ascii="仿宋_GB2312" w:hAnsi="仿宋" w:eastAsia="仿宋_GB2312"/>
          <w:bCs/>
          <w:color w:val="auto"/>
          <w:sz w:val="32"/>
          <w:szCs w:val="32"/>
          <w:shd w:val="clear" w:color="auto" w:fill="FFFFFF"/>
        </w:rPr>
        <w:t>根据《中华人民共和国政府信息公开条例》《河北省实施〈中华人民共和国政府信息公开条例〉办法》等规定，发布本年度报告。报告中所列数据统计期限为</w:t>
      </w:r>
      <w:r>
        <w:rPr>
          <w:rFonts w:hint="eastAsia" w:ascii="仿宋_GB2312" w:hAnsi="仿宋" w:eastAsia="仿宋_GB2312"/>
          <w:bCs/>
          <w:color w:val="auto"/>
          <w:sz w:val="32"/>
          <w:szCs w:val="32"/>
          <w:shd w:val="clear" w:color="auto" w:fill="FFFFFF"/>
          <w:lang w:eastAsia="zh-CN"/>
        </w:rPr>
        <w:t>2025</w:t>
      </w:r>
      <w:r>
        <w:rPr>
          <w:rFonts w:hint="eastAsia" w:ascii="仿宋_GB2312" w:hAnsi="仿宋" w:eastAsia="仿宋_GB2312"/>
          <w:bCs/>
          <w:color w:val="auto"/>
          <w:sz w:val="32"/>
          <w:szCs w:val="32"/>
          <w:shd w:val="clear" w:color="auto" w:fill="FFFFFF"/>
        </w:rPr>
        <w:t>年1月1日至12月31日。</w:t>
      </w:r>
    </w:p>
    <w:p>
      <w:pPr>
        <w:spacing w:line="560" w:lineRule="exact"/>
        <w:ind w:firstLine="640" w:firstLineChars="200"/>
        <w:rPr>
          <w:rFonts w:hint="eastAsia" w:ascii="黑体" w:hAnsi="黑体" w:eastAsia="黑体" w:cs="黑体"/>
        </w:rPr>
      </w:pPr>
      <w:r>
        <w:rPr>
          <w:rFonts w:hint="eastAsia" w:ascii="黑体" w:hAnsi="黑体" w:eastAsia="黑体" w:cs="黑体"/>
        </w:rPr>
        <w:t>一、总体情况</w:t>
      </w:r>
    </w:p>
    <w:p>
      <w:pPr>
        <w:spacing w:line="560" w:lineRule="exact"/>
        <w:ind w:firstLine="640" w:firstLineChars="200"/>
        <w:jc w:val="left"/>
      </w:pPr>
      <w:r>
        <w:rPr>
          <w:rFonts w:hint="eastAsia"/>
          <w:lang w:eastAsia="zh-CN"/>
        </w:rPr>
        <w:t>2025</w:t>
      </w:r>
      <w:r>
        <w:rPr>
          <w:rFonts w:hint="eastAsia"/>
        </w:rPr>
        <w:t>年，南关街道办事处坚定践行习近平新时代中国特色社会主义思想，全面贯彻落实党中央、国务院和省委、省政府、市委、市政府和区委、区政府关于政务公开工作决策部署，依法依规深入开展政务信息公开工作。认真学习《中华人民共和国保守国家秘密法》《中华人民共和国政府信息公开条例》，提升政务信息处理水平。一方面通过主动公开行政许可服务事项清单及办理情况、公开行政执法事项办理情况，强化自我监督，促进行政审批和行政执法工作程序及资料的规范性和完整性主动提升。另一方面依法依规公开申请公开事项，回应群众诉求，增进人民群众的获得感和满意度。</w:t>
      </w:r>
    </w:p>
    <w:p>
      <w:pPr>
        <w:spacing w:line="560" w:lineRule="exact"/>
        <w:ind w:firstLine="642" w:firstLineChars="200"/>
        <w:jc w:val="left"/>
      </w:pPr>
      <w:r>
        <w:rPr>
          <w:rFonts w:hint="eastAsia" w:hAnsi="仿宋"/>
          <w:b/>
          <w:bCs/>
          <w:szCs w:val="32"/>
        </w:rPr>
        <w:t>（一）主动公开方面。</w:t>
      </w:r>
      <w:r>
        <w:rPr>
          <w:rFonts w:hint="eastAsia"/>
        </w:rPr>
        <w:t>严格按照上级要求，在保定市莲池区人民政府网行政执法板块、河北省行政执法公示平台公示执法事项和执法信息、执法流程等内容。</w:t>
      </w:r>
      <w:r>
        <w:rPr>
          <w:rFonts w:hint="eastAsia"/>
          <w:lang w:eastAsia="zh-CN"/>
        </w:rPr>
        <w:t>2025</w:t>
      </w:r>
      <w:r>
        <w:rPr>
          <w:rFonts w:hint="eastAsia"/>
        </w:rPr>
        <w:t>年1月1日至</w:t>
      </w:r>
      <w:r>
        <w:rPr>
          <w:rFonts w:hint="eastAsia"/>
          <w:lang w:eastAsia="zh-CN"/>
        </w:rPr>
        <w:t>2025</w:t>
      </w:r>
      <w:r>
        <w:rPr>
          <w:rFonts w:hint="eastAsia"/>
        </w:rPr>
        <w:t>年12月31日，</w:t>
      </w:r>
      <w:bookmarkStart w:id="0" w:name="OLE_LINK2"/>
      <w:r>
        <w:rPr>
          <w:rFonts w:hint="eastAsia"/>
        </w:rPr>
        <w:t>南关街道办事处共办理行政许可事项</w:t>
      </w:r>
      <w:r>
        <w:rPr>
          <w:rFonts w:hint="eastAsia"/>
          <w:highlight w:val="none"/>
        </w:rPr>
        <w:t>781</w:t>
      </w:r>
      <w:r>
        <w:rPr>
          <w:rFonts w:hint="eastAsia"/>
        </w:rPr>
        <w:t>件，</w:t>
      </w:r>
      <w:bookmarkEnd w:id="0"/>
      <w:r>
        <w:rPr>
          <w:rFonts w:hint="eastAsia"/>
        </w:rPr>
        <w:t>同比减少</w:t>
      </w:r>
      <w:r>
        <w:rPr>
          <w:rFonts w:hint="eastAsia"/>
          <w:lang w:val="en-US" w:eastAsia="zh-CN"/>
        </w:rPr>
        <w:t>82</w:t>
      </w:r>
      <w:r>
        <w:rPr>
          <w:rFonts w:hint="eastAsia"/>
        </w:rPr>
        <w:t>件，按照要求进行了主动公开。</w:t>
      </w:r>
    </w:p>
    <w:p>
      <w:pPr>
        <w:spacing w:line="560" w:lineRule="exact"/>
        <w:ind w:firstLine="642" w:firstLineChars="200"/>
        <w:jc w:val="left"/>
        <w:rPr>
          <w:rFonts w:hint="eastAsia" w:hAnsi="仿宋"/>
          <w:b/>
          <w:bCs/>
          <w:szCs w:val="32"/>
        </w:rPr>
      </w:pPr>
      <w:r>
        <w:rPr>
          <w:rFonts w:hint="eastAsia" w:hAnsi="仿宋"/>
          <w:b/>
          <w:bCs/>
          <w:szCs w:val="32"/>
        </w:rPr>
        <w:t>（二）依申请公开方面。</w:t>
      </w:r>
      <w:r>
        <w:rPr>
          <w:rFonts w:hint="eastAsia" w:cs="仿宋_GB2312"/>
          <w:kern w:val="0"/>
          <w:szCs w:val="32"/>
          <w:lang w:eastAsia="zh-CN"/>
        </w:rPr>
        <w:t>2025</w:t>
      </w:r>
      <w:r>
        <w:rPr>
          <w:rFonts w:hint="eastAsia" w:cs="仿宋_GB2312"/>
          <w:kern w:val="0"/>
          <w:szCs w:val="32"/>
        </w:rPr>
        <w:t>年，</w:t>
      </w:r>
      <w:r>
        <w:rPr>
          <w:rFonts w:hint="eastAsia"/>
        </w:rPr>
        <w:t>南关街道办事处</w:t>
      </w:r>
      <w:r>
        <w:rPr>
          <w:rFonts w:hint="eastAsia" w:cs="仿宋_GB2312"/>
          <w:kern w:val="0"/>
          <w:szCs w:val="32"/>
        </w:rPr>
        <w:t>未收到政府信息公开申请。</w:t>
      </w:r>
    </w:p>
    <w:p>
      <w:pPr>
        <w:widowControl/>
        <w:spacing w:line="520" w:lineRule="exact"/>
        <w:ind w:firstLine="642" w:firstLineChars="200"/>
        <w:jc w:val="left"/>
        <w:rPr>
          <w:rFonts w:hint="eastAsia" w:hAnsi="仿宋_GB2312" w:cs="仿宋_GB2312"/>
          <w:color w:val="000000"/>
          <w:szCs w:val="32"/>
          <w:shd w:val="clear" w:color="auto" w:fill="FFFFFF"/>
        </w:rPr>
      </w:pPr>
      <w:r>
        <w:rPr>
          <w:rFonts w:hint="eastAsia" w:hAnsi="仿宋_GB2312" w:cs="仿宋_GB2312"/>
          <w:b/>
          <w:color w:val="000000"/>
          <w:kern w:val="0"/>
          <w:szCs w:val="32"/>
          <w:shd w:val="clear" w:color="auto" w:fill="FFFFFF"/>
          <w:lang w:bidi="ar"/>
        </w:rPr>
        <w:t>（三）</w:t>
      </w:r>
      <w:r>
        <w:rPr>
          <w:rFonts w:hint="eastAsia" w:hAnsi="仿宋_GB2312" w:cs="仿宋_GB2312"/>
          <w:b/>
          <w:color w:val="000000"/>
          <w:szCs w:val="32"/>
          <w:shd w:val="clear" w:color="auto" w:fill="FFFFFF"/>
        </w:rPr>
        <w:t>政府信息管理方面。</w:t>
      </w:r>
      <w:r>
        <w:rPr>
          <w:rFonts w:hint="eastAsia" w:hAnsi="仿宋"/>
          <w:bCs/>
          <w:szCs w:val="32"/>
        </w:rPr>
        <w:t>及时在区政府网站</w:t>
      </w:r>
      <w:r>
        <w:rPr>
          <w:rFonts w:hint="eastAsia" w:hAnsi="仿宋_GB2312" w:cs="仿宋_GB2312"/>
          <w:bCs/>
          <w:szCs w:val="32"/>
        </w:rPr>
        <w:t>调整更新本单位的</w:t>
      </w:r>
      <w:r>
        <w:rPr>
          <w:rFonts w:hint="eastAsia" w:hAnsi="仿宋"/>
          <w:bCs/>
          <w:szCs w:val="32"/>
        </w:rPr>
        <w:t>机构职能等信息。</w:t>
      </w:r>
    </w:p>
    <w:p>
      <w:pPr>
        <w:spacing w:line="560" w:lineRule="exact"/>
        <w:ind w:firstLine="642" w:firstLineChars="200"/>
        <w:jc w:val="left"/>
      </w:pPr>
      <w:r>
        <w:rPr>
          <w:rFonts w:hint="eastAsia" w:hAnsi="仿宋_GB2312" w:cs="仿宋_GB2312"/>
          <w:b/>
          <w:color w:val="000000"/>
          <w:kern w:val="0"/>
          <w:szCs w:val="32"/>
          <w:shd w:val="clear" w:color="auto" w:fill="FFFFFF"/>
          <w:lang w:bidi="ar"/>
        </w:rPr>
        <w:t>（四）政府信息</w:t>
      </w:r>
      <w:r>
        <w:rPr>
          <w:rFonts w:hint="eastAsia" w:hAnsi="仿宋_GB2312" w:cs="仿宋_GB2312"/>
          <w:b/>
          <w:szCs w:val="32"/>
        </w:rPr>
        <w:t>平台建设方面。</w:t>
      </w:r>
      <w:r>
        <w:rPr>
          <w:rFonts w:hint="eastAsia"/>
        </w:rPr>
        <w:t>充分发挥政务新媒体正面宣传引导作用，严格落实政务新媒体账号备案登记制度，认真履行信息发布审核制度，确保信息发布准确安全。</w:t>
      </w:r>
    </w:p>
    <w:p>
      <w:pPr>
        <w:spacing w:line="560" w:lineRule="exact"/>
        <w:ind w:firstLine="642" w:firstLineChars="200"/>
        <w:jc w:val="left"/>
      </w:pPr>
      <w:r>
        <w:rPr>
          <w:rFonts w:hint="eastAsia" w:hAnsi="仿宋_GB2312" w:cs="仿宋_GB2312"/>
          <w:b/>
          <w:color w:val="000000"/>
          <w:kern w:val="0"/>
          <w:szCs w:val="32"/>
          <w:shd w:val="clear" w:color="auto" w:fill="FFFFFF"/>
          <w:lang w:bidi="ar"/>
        </w:rPr>
        <w:t>（五）监督保障方面</w:t>
      </w:r>
      <w:r>
        <w:rPr>
          <w:rFonts w:hint="eastAsia" w:hAnsi="仿宋"/>
          <w:b/>
          <w:szCs w:val="32"/>
        </w:rPr>
        <w:t>。</w:t>
      </w:r>
      <w:r>
        <w:rPr>
          <w:rFonts w:hint="eastAsia"/>
        </w:rPr>
        <w:t>根据《中华人民共和国保守国家秘密法》和《中华人民共和国政府信息公开条例》的规定，按照“谁公开、谁审查、谁负责”和“涉密的不公开、公开的不涉密”原则，对拟发布信息内容的准确性、完整性、时效性以及是否涉密进行把关，避免出现信息发布泄密、失信、影响社会稳定等问题。</w:t>
      </w:r>
    </w:p>
    <w:p>
      <w:pPr>
        <w:spacing w:line="560" w:lineRule="exact"/>
        <w:ind w:firstLine="640" w:firstLineChars="200"/>
        <w:rPr>
          <w:rFonts w:hint="eastAsia" w:ascii="黑体" w:hAnsi="黑体" w:eastAsia="黑体" w:cs="黑体"/>
        </w:rPr>
      </w:pPr>
      <w:r>
        <w:rPr>
          <w:rFonts w:hint="eastAsia" w:ascii="黑体" w:hAnsi="黑体" w:eastAsia="黑体" w:cs="黑体"/>
        </w:rPr>
        <w:t>二、主动公开政府信息情况</w:t>
      </w:r>
    </w:p>
    <w:tbl>
      <w:tblPr>
        <w:tblStyle w:val="6"/>
        <w:tblW w:w="9740" w:type="dxa"/>
        <w:jc w:val="center"/>
        <w:tblLayout w:type="autofit"/>
        <w:tblCellMar>
          <w:top w:w="15" w:type="dxa"/>
          <w:left w:w="15" w:type="dxa"/>
          <w:bottom w:w="15" w:type="dxa"/>
          <w:right w:w="15" w:type="dxa"/>
        </w:tblCellMar>
      </w:tblPr>
      <w:tblGrid>
        <w:gridCol w:w="2435"/>
        <w:gridCol w:w="2435"/>
        <w:gridCol w:w="2435"/>
        <w:gridCol w:w="2435"/>
      </w:tblGrid>
      <w:tr>
        <w:tblPrEx>
          <w:tblCellMar>
            <w:top w:w="15" w:type="dxa"/>
            <w:left w:w="15" w:type="dxa"/>
            <w:bottom w:w="15" w:type="dxa"/>
            <w:right w:w="15" w:type="dxa"/>
          </w:tblCellMar>
        </w:tblPrEx>
        <w:trPr>
          <w:trHeight w:val="340" w:hRule="atLeast"/>
          <w:jc w:val="center"/>
        </w:trPr>
        <w:tc>
          <w:tcPr>
            <w:tcW w:w="9740" w:type="dxa"/>
            <w:gridSpan w:val="4"/>
            <w:tcBorders>
              <w:top w:val="single" w:color="auto" w:sz="8" w:space="0"/>
              <w:left w:val="single" w:color="auto" w:sz="8" w:space="0"/>
              <w:bottom w:val="single" w:color="auto" w:sz="8" w:space="0"/>
              <w:right w:val="single" w:color="auto" w:sz="8" w:space="0"/>
            </w:tcBorders>
            <w:shd w:val="clear" w:color="auto" w:fill="C6D9F1"/>
            <w:tcMar>
              <w:top w:w="0" w:type="dxa"/>
              <w:left w:w="57" w:type="dxa"/>
              <w:bottom w:w="0" w:type="dxa"/>
              <w:right w:w="57" w:type="dxa"/>
            </w:tcMar>
            <w:vAlign w:val="center"/>
          </w:tcPr>
          <w:p>
            <w:pPr>
              <w:widowControl/>
              <w:spacing w:line="540" w:lineRule="exact"/>
              <w:jc w:val="center"/>
            </w:pPr>
            <w:r>
              <w:rPr>
                <w:rFonts w:hint="eastAsia" w:ascii="宋体" w:hAnsi="宋体" w:eastAsia="宋体" w:cs="宋体"/>
                <w:color w:val="000000"/>
                <w:kern w:val="0"/>
                <w:sz w:val="20"/>
                <w:szCs w:val="20"/>
                <w:lang w:bidi="ar"/>
              </w:rPr>
              <w:t>第二十条第（一）项</w:t>
            </w:r>
          </w:p>
        </w:tc>
      </w:tr>
      <w:tr>
        <w:tblPrEx>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tcMar>
              <w:top w:w="0" w:type="dxa"/>
              <w:left w:w="57" w:type="dxa"/>
              <w:bottom w:w="0" w:type="dxa"/>
              <w:right w:w="57" w:type="dxa"/>
            </w:tcMar>
            <w:vAlign w:val="center"/>
          </w:tcPr>
          <w:p>
            <w:pPr>
              <w:widowControl/>
              <w:spacing w:line="540" w:lineRule="exact"/>
              <w:jc w:val="center"/>
            </w:pPr>
            <w:r>
              <w:rPr>
                <w:rFonts w:hint="eastAsia" w:ascii="宋体" w:hAnsi="宋体" w:eastAsia="宋体" w:cs="宋体"/>
                <w:color w:val="000000"/>
                <w:kern w:val="0"/>
                <w:sz w:val="20"/>
                <w:szCs w:val="20"/>
                <w:lang w:bidi="ar"/>
              </w:rPr>
              <w:t>信息内容</w:t>
            </w:r>
          </w:p>
        </w:tc>
        <w:tc>
          <w:tcPr>
            <w:tcW w:w="2435" w:type="dxa"/>
            <w:tcBorders>
              <w:top w:val="single" w:color="auto" w:sz="8" w:space="0"/>
              <w:left w:val="nil"/>
              <w:bottom w:val="single" w:color="auto" w:sz="8" w:space="0"/>
              <w:right w:val="single" w:color="auto" w:sz="8" w:space="0"/>
            </w:tcBorders>
            <w:tcMar>
              <w:top w:w="0" w:type="dxa"/>
              <w:left w:w="57" w:type="dxa"/>
              <w:bottom w:w="0" w:type="dxa"/>
              <w:right w:w="57" w:type="dxa"/>
            </w:tcMar>
            <w:vAlign w:val="center"/>
          </w:tcPr>
          <w:p>
            <w:pPr>
              <w:widowControl/>
              <w:spacing w:line="540" w:lineRule="exact"/>
              <w:jc w:val="center"/>
            </w:pPr>
            <w:r>
              <w:rPr>
                <w:rFonts w:hint="eastAsia" w:ascii="宋体" w:hAnsi="宋体" w:eastAsia="宋体" w:cs="宋体"/>
                <w:color w:val="000000"/>
                <w:kern w:val="0"/>
                <w:sz w:val="20"/>
                <w:szCs w:val="20"/>
                <w:lang w:bidi="ar"/>
              </w:rPr>
              <w:t>本年</w:t>
            </w:r>
            <w:r>
              <w:rPr>
                <w:rFonts w:hint="eastAsia" w:ascii="宋体" w:hAnsi="宋体" w:eastAsia="宋体" w:cs="宋体"/>
                <w:kern w:val="0"/>
                <w:sz w:val="20"/>
                <w:szCs w:val="20"/>
                <w:lang w:bidi="ar"/>
              </w:rPr>
              <w:t>制发件数</w:t>
            </w:r>
          </w:p>
        </w:tc>
        <w:tc>
          <w:tcPr>
            <w:tcW w:w="2435" w:type="dxa"/>
            <w:tcBorders>
              <w:top w:val="single" w:color="auto" w:sz="8" w:space="0"/>
              <w:left w:val="nil"/>
              <w:bottom w:val="single" w:color="auto" w:sz="8" w:space="0"/>
              <w:right w:val="single" w:color="auto" w:sz="8" w:space="0"/>
            </w:tcBorders>
            <w:tcMar>
              <w:top w:w="0" w:type="dxa"/>
              <w:left w:w="57" w:type="dxa"/>
              <w:bottom w:w="0" w:type="dxa"/>
              <w:right w:w="57" w:type="dxa"/>
            </w:tcMar>
            <w:vAlign w:val="center"/>
          </w:tcPr>
          <w:p>
            <w:pPr>
              <w:widowControl/>
              <w:spacing w:line="540" w:lineRule="exact"/>
              <w:jc w:val="center"/>
            </w:pPr>
            <w:r>
              <w:rPr>
                <w:rFonts w:hint="eastAsia" w:ascii="宋体" w:hAnsi="宋体" w:eastAsia="宋体" w:cs="宋体"/>
                <w:color w:val="000000"/>
                <w:kern w:val="0"/>
                <w:sz w:val="20"/>
                <w:szCs w:val="20"/>
                <w:lang w:bidi="ar"/>
              </w:rPr>
              <w:t>本年废止件数</w:t>
            </w:r>
          </w:p>
        </w:tc>
        <w:tc>
          <w:tcPr>
            <w:tcW w:w="2435" w:type="dxa"/>
            <w:tcBorders>
              <w:top w:val="single" w:color="auto" w:sz="8" w:space="0"/>
              <w:left w:val="nil"/>
              <w:bottom w:val="single" w:color="auto" w:sz="8" w:space="0"/>
              <w:right w:val="single" w:color="auto" w:sz="8" w:space="0"/>
            </w:tcBorders>
            <w:tcMar>
              <w:top w:w="0" w:type="dxa"/>
              <w:left w:w="57" w:type="dxa"/>
              <w:bottom w:w="0" w:type="dxa"/>
              <w:right w:w="57" w:type="dxa"/>
            </w:tcMar>
            <w:vAlign w:val="center"/>
          </w:tcPr>
          <w:p>
            <w:pPr>
              <w:widowControl/>
              <w:spacing w:line="540" w:lineRule="exact"/>
              <w:jc w:val="center"/>
            </w:pPr>
            <w:r>
              <w:rPr>
                <w:rFonts w:hint="eastAsia" w:ascii="宋体" w:hAnsi="宋体" w:eastAsia="宋体" w:cs="宋体"/>
                <w:color w:val="000000"/>
                <w:kern w:val="0"/>
                <w:sz w:val="20"/>
                <w:szCs w:val="20"/>
                <w:lang w:bidi="ar"/>
              </w:rPr>
              <w:t>现行有效件</w:t>
            </w:r>
            <w:r>
              <w:rPr>
                <w:rFonts w:hint="eastAsia" w:ascii="宋体" w:hAnsi="宋体" w:eastAsia="宋体" w:cs="宋体"/>
                <w:kern w:val="0"/>
                <w:sz w:val="20"/>
                <w:szCs w:val="20"/>
                <w:lang w:bidi="ar"/>
              </w:rPr>
              <w:t>数</w:t>
            </w:r>
          </w:p>
        </w:tc>
      </w:tr>
      <w:tr>
        <w:tblPrEx>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tcMar>
              <w:top w:w="0" w:type="dxa"/>
              <w:left w:w="57" w:type="dxa"/>
              <w:bottom w:w="0" w:type="dxa"/>
              <w:right w:w="57" w:type="dxa"/>
            </w:tcMar>
            <w:vAlign w:val="center"/>
          </w:tcPr>
          <w:p>
            <w:pPr>
              <w:widowControl/>
              <w:spacing w:line="540" w:lineRule="exact"/>
              <w:jc w:val="center"/>
            </w:pPr>
            <w:r>
              <w:rPr>
                <w:rFonts w:hint="eastAsia" w:ascii="宋体" w:hAnsi="宋体" w:eastAsia="宋体" w:cs="宋体"/>
                <w:color w:val="000000"/>
                <w:kern w:val="0"/>
                <w:sz w:val="20"/>
                <w:szCs w:val="20"/>
                <w:lang w:bidi="ar"/>
              </w:rPr>
              <w:t>规章</w:t>
            </w:r>
          </w:p>
        </w:tc>
        <w:tc>
          <w:tcPr>
            <w:tcW w:w="2435" w:type="dxa"/>
            <w:tcBorders>
              <w:top w:val="nil"/>
              <w:left w:val="nil"/>
              <w:bottom w:val="single" w:color="auto" w:sz="8" w:space="0"/>
              <w:right w:val="single" w:color="auto" w:sz="8" w:space="0"/>
            </w:tcBorders>
            <w:tcMar>
              <w:top w:w="0" w:type="dxa"/>
              <w:left w:w="57" w:type="dxa"/>
              <w:bottom w:w="0" w:type="dxa"/>
              <w:right w:w="57" w:type="dxa"/>
            </w:tcMar>
            <w:vAlign w:val="center"/>
          </w:tcPr>
          <w:p>
            <w:pPr>
              <w:widowControl/>
              <w:spacing w:line="540" w:lineRule="exact"/>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color w:val="000000"/>
                <w:kern w:val="0"/>
                <w:sz w:val="24"/>
                <w:lang w:bidi="ar"/>
              </w:rPr>
              <w:t>0</w:t>
            </w:r>
          </w:p>
        </w:tc>
        <w:tc>
          <w:tcPr>
            <w:tcW w:w="2435" w:type="dxa"/>
            <w:tcBorders>
              <w:top w:val="nil"/>
              <w:left w:val="nil"/>
              <w:bottom w:val="single" w:color="auto" w:sz="8" w:space="0"/>
              <w:right w:val="single" w:color="auto" w:sz="8" w:space="0"/>
            </w:tcBorders>
            <w:tcMar>
              <w:top w:w="0" w:type="dxa"/>
              <w:left w:w="57" w:type="dxa"/>
              <w:bottom w:w="0" w:type="dxa"/>
              <w:right w:w="57" w:type="dxa"/>
            </w:tcMar>
            <w:vAlign w:val="center"/>
          </w:tcPr>
          <w:p>
            <w:pPr>
              <w:widowControl/>
              <w:spacing w:line="540" w:lineRule="exact"/>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color w:val="000000"/>
                <w:kern w:val="0"/>
                <w:sz w:val="24"/>
                <w:lang w:bidi="ar"/>
              </w:rPr>
              <w:t>0</w:t>
            </w:r>
          </w:p>
        </w:tc>
        <w:tc>
          <w:tcPr>
            <w:tcW w:w="2435" w:type="dxa"/>
            <w:tcBorders>
              <w:top w:val="nil"/>
              <w:left w:val="nil"/>
              <w:bottom w:val="single" w:color="auto" w:sz="8" w:space="0"/>
              <w:right w:val="single" w:color="auto" w:sz="8" w:space="0"/>
            </w:tcBorders>
            <w:tcMar>
              <w:top w:w="0" w:type="dxa"/>
              <w:left w:w="57" w:type="dxa"/>
              <w:bottom w:w="0" w:type="dxa"/>
              <w:right w:w="57" w:type="dxa"/>
            </w:tcMar>
            <w:vAlign w:val="center"/>
          </w:tcPr>
          <w:p>
            <w:pPr>
              <w:spacing w:line="540" w:lineRule="exact"/>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0</w:t>
            </w:r>
          </w:p>
        </w:tc>
      </w:tr>
      <w:tr>
        <w:tblPrEx>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tcMar>
              <w:top w:w="0" w:type="dxa"/>
              <w:left w:w="57" w:type="dxa"/>
              <w:bottom w:w="0" w:type="dxa"/>
              <w:right w:w="57" w:type="dxa"/>
            </w:tcMar>
            <w:vAlign w:val="center"/>
          </w:tcPr>
          <w:p>
            <w:pPr>
              <w:widowControl/>
              <w:spacing w:line="540" w:lineRule="exact"/>
              <w:jc w:val="center"/>
            </w:pPr>
            <w:r>
              <w:rPr>
                <w:rFonts w:hint="eastAsia" w:ascii="宋体" w:hAnsi="宋体" w:eastAsia="宋体" w:cs="宋体"/>
                <w:color w:val="000000"/>
                <w:kern w:val="0"/>
                <w:sz w:val="20"/>
                <w:szCs w:val="20"/>
                <w:lang w:bidi="ar"/>
              </w:rPr>
              <w:t>行政规范性文件</w:t>
            </w:r>
          </w:p>
        </w:tc>
        <w:tc>
          <w:tcPr>
            <w:tcW w:w="2435" w:type="dxa"/>
            <w:tcBorders>
              <w:top w:val="nil"/>
              <w:left w:val="nil"/>
              <w:bottom w:val="single" w:color="auto" w:sz="8" w:space="0"/>
              <w:right w:val="single" w:color="auto" w:sz="8" w:space="0"/>
            </w:tcBorders>
            <w:tcMar>
              <w:top w:w="0" w:type="dxa"/>
              <w:left w:w="57" w:type="dxa"/>
              <w:bottom w:w="0" w:type="dxa"/>
              <w:right w:w="57" w:type="dxa"/>
            </w:tcMar>
            <w:vAlign w:val="center"/>
          </w:tcPr>
          <w:p>
            <w:pPr>
              <w:widowControl/>
              <w:spacing w:line="540" w:lineRule="exact"/>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color w:val="000000"/>
                <w:kern w:val="0"/>
                <w:sz w:val="24"/>
                <w:lang w:bidi="ar"/>
              </w:rPr>
              <w:t>0</w:t>
            </w:r>
          </w:p>
        </w:tc>
        <w:tc>
          <w:tcPr>
            <w:tcW w:w="2435" w:type="dxa"/>
            <w:tcBorders>
              <w:top w:val="nil"/>
              <w:left w:val="nil"/>
              <w:bottom w:val="single" w:color="auto" w:sz="8" w:space="0"/>
              <w:right w:val="single" w:color="auto" w:sz="8" w:space="0"/>
            </w:tcBorders>
            <w:tcMar>
              <w:top w:w="0" w:type="dxa"/>
              <w:left w:w="57" w:type="dxa"/>
              <w:bottom w:w="0" w:type="dxa"/>
              <w:right w:w="57" w:type="dxa"/>
            </w:tcMar>
            <w:vAlign w:val="center"/>
          </w:tcPr>
          <w:p>
            <w:pPr>
              <w:widowControl/>
              <w:spacing w:line="540" w:lineRule="exact"/>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color w:val="000000"/>
                <w:kern w:val="0"/>
                <w:sz w:val="24"/>
                <w:lang w:bidi="ar"/>
              </w:rPr>
              <w:t>0</w:t>
            </w:r>
          </w:p>
        </w:tc>
        <w:tc>
          <w:tcPr>
            <w:tcW w:w="2435" w:type="dxa"/>
            <w:tcBorders>
              <w:top w:val="nil"/>
              <w:left w:val="nil"/>
              <w:bottom w:val="single" w:color="auto" w:sz="8" w:space="0"/>
              <w:right w:val="single" w:color="auto" w:sz="8" w:space="0"/>
            </w:tcBorders>
            <w:tcMar>
              <w:top w:w="0" w:type="dxa"/>
              <w:left w:w="57" w:type="dxa"/>
              <w:bottom w:w="0" w:type="dxa"/>
              <w:right w:w="57" w:type="dxa"/>
            </w:tcMar>
            <w:vAlign w:val="center"/>
          </w:tcPr>
          <w:p>
            <w:pPr>
              <w:spacing w:line="540" w:lineRule="exact"/>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0</w:t>
            </w:r>
          </w:p>
        </w:tc>
      </w:tr>
      <w:tr>
        <w:tblPrEx>
          <w:tblCellMar>
            <w:top w:w="15" w:type="dxa"/>
            <w:left w:w="15" w:type="dxa"/>
            <w:bottom w:w="15" w:type="dxa"/>
            <w:right w:w="15"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tcMar>
              <w:top w:w="0" w:type="dxa"/>
              <w:left w:w="57" w:type="dxa"/>
              <w:bottom w:w="0" w:type="dxa"/>
              <w:right w:w="57" w:type="dxa"/>
            </w:tcMar>
            <w:vAlign w:val="center"/>
          </w:tcPr>
          <w:p>
            <w:pPr>
              <w:widowControl/>
              <w:spacing w:line="540" w:lineRule="exact"/>
              <w:jc w:val="center"/>
            </w:pPr>
            <w:r>
              <w:rPr>
                <w:rFonts w:hint="eastAsia" w:ascii="宋体" w:hAnsi="宋体" w:eastAsia="宋体" w:cs="宋体"/>
                <w:color w:val="000000"/>
                <w:kern w:val="0"/>
                <w:sz w:val="20"/>
                <w:szCs w:val="20"/>
                <w:lang w:bidi="ar"/>
              </w:rPr>
              <w:t>第二十条第（五）项</w:t>
            </w:r>
          </w:p>
        </w:tc>
      </w:tr>
      <w:tr>
        <w:tblPrEx>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tcMar>
              <w:top w:w="0" w:type="dxa"/>
              <w:left w:w="57" w:type="dxa"/>
              <w:bottom w:w="0" w:type="dxa"/>
              <w:right w:w="57" w:type="dxa"/>
            </w:tcMar>
            <w:vAlign w:val="center"/>
          </w:tcPr>
          <w:p>
            <w:pPr>
              <w:widowControl/>
              <w:spacing w:line="540" w:lineRule="exact"/>
              <w:jc w:val="center"/>
            </w:pPr>
            <w:r>
              <w:rPr>
                <w:rFonts w:hint="eastAsia" w:ascii="宋体" w:hAnsi="宋体" w:eastAsia="宋体" w:cs="宋体"/>
                <w:color w:val="000000"/>
                <w:kern w:val="0"/>
                <w:sz w:val="20"/>
                <w:szCs w:val="20"/>
                <w:lang w:bidi="ar"/>
              </w:rPr>
              <w:t>信息内容</w:t>
            </w:r>
          </w:p>
        </w:tc>
        <w:tc>
          <w:tcPr>
            <w:tcW w:w="7305" w:type="dxa"/>
            <w:gridSpan w:val="3"/>
            <w:tcBorders>
              <w:top w:val="nil"/>
              <w:left w:val="nil"/>
              <w:bottom w:val="single" w:color="auto" w:sz="8" w:space="0"/>
              <w:right w:val="single" w:color="auto" w:sz="8" w:space="0"/>
            </w:tcBorders>
            <w:tcMar>
              <w:top w:w="0" w:type="dxa"/>
              <w:left w:w="57" w:type="dxa"/>
              <w:bottom w:w="0" w:type="dxa"/>
              <w:right w:w="57" w:type="dxa"/>
            </w:tcMar>
            <w:vAlign w:val="center"/>
          </w:tcPr>
          <w:p>
            <w:pPr>
              <w:widowControl/>
              <w:spacing w:line="540" w:lineRule="exact"/>
              <w:jc w:val="center"/>
            </w:pPr>
            <w:r>
              <w:rPr>
                <w:rFonts w:hint="eastAsia" w:ascii="宋体" w:hAnsi="宋体" w:eastAsia="宋体" w:cs="宋体"/>
                <w:color w:val="000000"/>
                <w:kern w:val="0"/>
                <w:sz w:val="20"/>
                <w:szCs w:val="20"/>
                <w:lang w:bidi="ar"/>
              </w:rPr>
              <w:t>本年处理决定数量</w:t>
            </w:r>
          </w:p>
        </w:tc>
      </w:tr>
      <w:tr>
        <w:tblPrEx>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tcMar>
              <w:top w:w="0" w:type="dxa"/>
              <w:left w:w="57" w:type="dxa"/>
              <w:bottom w:w="0" w:type="dxa"/>
              <w:right w:w="57" w:type="dxa"/>
            </w:tcMar>
            <w:vAlign w:val="center"/>
          </w:tcPr>
          <w:p>
            <w:pPr>
              <w:widowControl/>
              <w:spacing w:line="540" w:lineRule="exact"/>
              <w:jc w:val="center"/>
            </w:pPr>
            <w:r>
              <w:rPr>
                <w:rFonts w:hint="eastAsia" w:ascii="宋体" w:hAnsi="宋体" w:eastAsia="宋体" w:cs="宋体"/>
                <w:color w:val="000000"/>
                <w:kern w:val="0"/>
                <w:sz w:val="20"/>
                <w:szCs w:val="20"/>
                <w:lang w:bidi="ar"/>
              </w:rPr>
              <w:t>行政许可</w:t>
            </w:r>
          </w:p>
        </w:tc>
        <w:tc>
          <w:tcPr>
            <w:tcW w:w="7305" w:type="dxa"/>
            <w:gridSpan w:val="3"/>
            <w:tcBorders>
              <w:top w:val="nil"/>
              <w:left w:val="nil"/>
              <w:bottom w:val="single" w:color="auto" w:sz="8" w:space="0"/>
              <w:right w:val="single" w:color="auto" w:sz="8" w:space="0"/>
            </w:tcBorders>
            <w:tcMar>
              <w:top w:w="0" w:type="dxa"/>
              <w:left w:w="57" w:type="dxa"/>
              <w:bottom w:w="0" w:type="dxa"/>
              <w:right w:w="57" w:type="dxa"/>
            </w:tcMar>
            <w:vAlign w:val="center"/>
          </w:tcPr>
          <w:p>
            <w:pPr>
              <w:spacing w:line="540" w:lineRule="exact"/>
              <w:jc w:val="center"/>
              <w:rPr>
                <w:rFonts w:hint="default" w:ascii="宋体" w:eastAsiaTheme="minorEastAsia"/>
                <w:sz w:val="24"/>
                <w:lang w:val="en-US" w:eastAsia="zh-CN"/>
              </w:rPr>
            </w:pPr>
            <w:r>
              <w:rPr>
                <w:rFonts w:hint="eastAsia" w:asciiTheme="minorEastAsia" w:hAnsiTheme="minorEastAsia" w:eastAsiaTheme="minorEastAsia" w:cstheme="minorEastAsia"/>
                <w:kern w:val="0"/>
                <w:sz w:val="24"/>
                <w:lang w:val="en-US" w:eastAsia="zh-CN" w:bidi="ar"/>
              </w:rPr>
              <w:t>781</w:t>
            </w:r>
          </w:p>
        </w:tc>
      </w:tr>
      <w:tr>
        <w:tblPrEx>
          <w:tblCellMar>
            <w:top w:w="15" w:type="dxa"/>
            <w:left w:w="15" w:type="dxa"/>
            <w:bottom w:w="15" w:type="dxa"/>
            <w:right w:w="15"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tcMar>
              <w:top w:w="0" w:type="dxa"/>
              <w:left w:w="57" w:type="dxa"/>
              <w:bottom w:w="0" w:type="dxa"/>
              <w:right w:w="57" w:type="dxa"/>
            </w:tcMar>
            <w:vAlign w:val="center"/>
          </w:tcPr>
          <w:p>
            <w:pPr>
              <w:widowControl/>
              <w:spacing w:line="540" w:lineRule="exact"/>
              <w:jc w:val="center"/>
            </w:pPr>
            <w:r>
              <w:rPr>
                <w:rFonts w:hint="eastAsia" w:ascii="宋体" w:hAnsi="宋体" w:eastAsia="宋体" w:cs="宋体"/>
                <w:color w:val="000000"/>
                <w:kern w:val="0"/>
                <w:sz w:val="20"/>
                <w:szCs w:val="20"/>
                <w:lang w:bidi="ar"/>
              </w:rPr>
              <w:t>第二十条第（六）项</w:t>
            </w:r>
          </w:p>
        </w:tc>
      </w:tr>
      <w:tr>
        <w:tblPrEx>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tcMar>
              <w:top w:w="0" w:type="dxa"/>
              <w:left w:w="57" w:type="dxa"/>
              <w:bottom w:w="0" w:type="dxa"/>
              <w:right w:w="57" w:type="dxa"/>
            </w:tcMar>
            <w:vAlign w:val="center"/>
          </w:tcPr>
          <w:p>
            <w:pPr>
              <w:widowControl/>
              <w:spacing w:line="540" w:lineRule="exact"/>
              <w:jc w:val="center"/>
            </w:pPr>
            <w:r>
              <w:rPr>
                <w:rFonts w:hint="eastAsia" w:ascii="宋体" w:hAnsi="宋体" w:eastAsia="宋体" w:cs="宋体"/>
                <w:color w:val="000000"/>
                <w:kern w:val="0"/>
                <w:sz w:val="20"/>
                <w:szCs w:val="20"/>
                <w:lang w:bidi="ar"/>
              </w:rPr>
              <w:t>信息内容</w:t>
            </w:r>
          </w:p>
        </w:tc>
        <w:tc>
          <w:tcPr>
            <w:tcW w:w="7305" w:type="dxa"/>
            <w:gridSpan w:val="3"/>
            <w:tcBorders>
              <w:top w:val="single" w:color="auto" w:sz="8" w:space="0"/>
              <w:left w:val="nil"/>
              <w:bottom w:val="single" w:color="auto" w:sz="8" w:space="0"/>
              <w:right w:val="single" w:color="auto" w:sz="8" w:space="0"/>
            </w:tcBorders>
            <w:tcMar>
              <w:top w:w="0" w:type="dxa"/>
              <w:left w:w="57" w:type="dxa"/>
              <w:bottom w:w="0" w:type="dxa"/>
              <w:right w:w="57" w:type="dxa"/>
            </w:tcMar>
            <w:vAlign w:val="center"/>
          </w:tcPr>
          <w:p>
            <w:pPr>
              <w:widowControl/>
              <w:spacing w:line="540" w:lineRule="exact"/>
              <w:jc w:val="center"/>
            </w:pPr>
            <w:r>
              <w:rPr>
                <w:rFonts w:hint="eastAsia" w:ascii="宋体" w:hAnsi="宋体" w:eastAsia="宋体" w:cs="宋体"/>
                <w:color w:val="000000"/>
                <w:kern w:val="0"/>
                <w:sz w:val="20"/>
                <w:szCs w:val="20"/>
                <w:lang w:bidi="ar"/>
              </w:rPr>
              <w:t>本年处理决定数量</w:t>
            </w:r>
          </w:p>
        </w:tc>
      </w:tr>
      <w:tr>
        <w:tblPrEx>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tcMar>
              <w:top w:w="0" w:type="dxa"/>
              <w:left w:w="57" w:type="dxa"/>
              <w:bottom w:w="0" w:type="dxa"/>
              <w:right w:w="57" w:type="dxa"/>
            </w:tcMar>
            <w:vAlign w:val="center"/>
          </w:tcPr>
          <w:p>
            <w:pPr>
              <w:widowControl/>
              <w:spacing w:line="540" w:lineRule="exact"/>
              <w:jc w:val="center"/>
            </w:pPr>
            <w:r>
              <w:rPr>
                <w:rFonts w:hint="eastAsia" w:ascii="宋体" w:hAnsi="宋体" w:eastAsia="宋体" w:cs="宋体"/>
                <w:color w:val="000000"/>
                <w:kern w:val="0"/>
                <w:sz w:val="20"/>
                <w:szCs w:val="20"/>
                <w:lang w:bidi="ar"/>
              </w:rPr>
              <w:t>行政处罚</w:t>
            </w:r>
          </w:p>
        </w:tc>
        <w:tc>
          <w:tcPr>
            <w:tcW w:w="7305" w:type="dxa"/>
            <w:gridSpan w:val="3"/>
            <w:tcBorders>
              <w:top w:val="nil"/>
              <w:left w:val="nil"/>
              <w:bottom w:val="single" w:color="auto" w:sz="8" w:space="0"/>
              <w:right w:val="single" w:color="auto" w:sz="8" w:space="0"/>
            </w:tcBorders>
            <w:tcMar>
              <w:top w:w="0" w:type="dxa"/>
              <w:left w:w="57" w:type="dxa"/>
              <w:bottom w:w="0" w:type="dxa"/>
              <w:right w:w="57" w:type="dxa"/>
            </w:tcMar>
            <w:vAlign w:val="center"/>
          </w:tcPr>
          <w:p>
            <w:pPr>
              <w:widowControl/>
              <w:spacing w:line="540" w:lineRule="exact"/>
              <w:jc w:val="center"/>
              <w:rPr>
                <w:rFonts w:hint="eastAsia" w:eastAsia="仿宋_GB2312"/>
                <w:lang w:eastAsia="zh-CN"/>
              </w:rPr>
            </w:pPr>
            <w:r>
              <w:rPr>
                <w:rFonts w:hint="eastAsia" w:ascii="宋体"/>
                <w:sz w:val="24"/>
                <w:lang w:val="en-US" w:eastAsia="zh-CN"/>
              </w:rPr>
              <w:t>0</w:t>
            </w:r>
          </w:p>
        </w:tc>
      </w:tr>
      <w:tr>
        <w:tblPrEx>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tcMar>
              <w:top w:w="0" w:type="dxa"/>
              <w:left w:w="57" w:type="dxa"/>
              <w:bottom w:w="0" w:type="dxa"/>
              <w:right w:w="57" w:type="dxa"/>
            </w:tcMar>
            <w:vAlign w:val="center"/>
          </w:tcPr>
          <w:p>
            <w:pPr>
              <w:widowControl/>
              <w:spacing w:line="540" w:lineRule="exact"/>
              <w:jc w:val="center"/>
            </w:pPr>
            <w:r>
              <w:rPr>
                <w:rFonts w:hint="eastAsia" w:ascii="宋体" w:hAnsi="宋体" w:eastAsia="宋体" w:cs="宋体"/>
                <w:color w:val="000000"/>
                <w:kern w:val="0"/>
                <w:sz w:val="20"/>
                <w:szCs w:val="20"/>
                <w:lang w:bidi="ar"/>
              </w:rPr>
              <w:t>行政强制</w:t>
            </w:r>
          </w:p>
        </w:tc>
        <w:tc>
          <w:tcPr>
            <w:tcW w:w="7305" w:type="dxa"/>
            <w:gridSpan w:val="3"/>
            <w:tcBorders>
              <w:top w:val="nil"/>
              <w:left w:val="nil"/>
              <w:bottom w:val="single" w:color="auto" w:sz="8" w:space="0"/>
              <w:right w:val="single" w:color="auto" w:sz="8" w:space="0"/>
            </w:tcBorders>
            <w:tcMar>
              <w:top w:w="0" w:type="dxa"/>
              <w:left w:w="57" w:type="dxa"/>
              <w:bottom w:w="0" w:type="dxa"/>
              <w:right w:w="57" w:type="dxa"/>
            </w:tcMar>
            <w:vAlign w:val="center"/>
          </w:tcPr>
          <w:p>
            <w:pPr>
              <w:widowControl/>
              <w:spacing w:line="540" w:lineRule="exact"/>
              <w:jc w:val="center"/>
            </w:pPr>
            <w:r>
              <w:rPr>
                <w:rFonts w:hint="eastAsia" w:ascii="宋体"/>
                <w:sz w:val="24"/>
              </w:rPr>
              <w:t>0</w:t>
            </w:r>
          </w:p>
        </w:tc>
      </w:tr>
      <w:tr>
        <w:tblPrEx>
          <w:tblCellMar>
            <w:top w:w="15" w:type="dxa"/>
            <w:left w:w="15" w:type="dxa"/>
            <w:bottom w:w="15" w:type="dxa"/>
            <w:right w:w="15"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tcMar>
              <w:top w:w="0" w:type="dxa"/>
              <w:left w:w="57" w:type="dxa"/>
              <w:bottom w:w="0" w:type="dxa"/>
              <w:right w:w="57" w:type="dxa"/>
            </w:tcMar>
            <w:vAlign w:val="center"/>
          </w:tcPr>
          <w:p>
            <w:pPr>
              <w:widowControl/>
              <w:spacing w:line="540" w:lineRule="exact"/>
              <w:jc w:val="center"/>
            </w:pPr>
            <w:r>
              <w:rPr>
                <w:rFonts w:hint="eastAsia" w:ascii="宋体" w:hAnsi="宋体" w:eastAsia="宋体" w:cs="宋体"/>
                <w:color w:val="000000"/>
                <w:kern w:val="0"/>
                <w:sz w:val="20"/>
                <w:szCs w:val="20"/>
                <w:lang w:bidi="ar"/>
              </w:rPr>
              <w:t>第二十条第（八）项</w:t>
            </w:r>
          </w:p>
        </w:tc>
      </w:tr>
      <w:tr>
        <w:tblPrEx>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tcMar>
              <w:top w:w="0" w:type="dxa"/>
              <w:left w:w="57" w:type="dxa"/>
              <w:bottom w:w="0" w:type="dxa"/>
              <w:right w:w="57" w:type="dxa"/>
            </w:tcMar>
            <w:vAlign w:val="center"/>
          </w:tcPr>
          <w:p>
            <w:pPr>
              <w:widowControl/>
              <w:spacing w:line="540" w:lineRule="exact"/>
              <w:jc w:val="center"/>
            </w:pPr>
            <w:r>
              <w:rPr>
                <w:rFonts w:hint="eastAsia" w:ascii="宋体" w:hAnsi="宋体" w:eastAsia="宋体" w:cs="宋体"/>
                <w:color w:val="000000"/>
                <w:kern w:val="0"/>
                <w:sz w:val="20"/>
                <w:szCs w:val="20"/>
                <w:lang w:bidi="ar"/>
              </w:rPr>
              <w:t>信息内容</w:t>
            </w:r>
          </w:p>
        </w:tc>
        <w:tc>
          <w:tcPr>
            <w:tcW w:w="7305" w:type="dxa"/>
            <w:gridSpan w:val="3"/>
            <w:tcBorders>
              <w:top w:val="nil"/>
              <w:left w:val="nil"/>
              <w:bottom w:val="single" w:color="auto" w:sz="8" w:space="0"/>
              <w:right w:val="single" w:color="000000" w:sz="8" w:space="0"/>
            </w:tcBorders>
            <w:tcMar>
              <w:top w:w="0" w:type="dxa"/>
              <w:left w:w="57" w:type="dxa"/>
              <w:bottom w:w="0" w:type="dxa"/>
              <w:right w:w="57" w:type="dxa"/>
            </w:tcMar>
            <w:vAlign w:val="center"/>
          </w:tcPr>
          <w:p>
            <w:pPr>
              <w:widowControl/>
              <w:spacing w:line="540" w:lineRule="exact"/>
              <w:jc w:val="center"/>
            </w:pPr>
            <w:r>
              <w:rPr>
                <w:rFonts w:hint="eastAsia" w:ascii="宋体" w:hAnsi="宋体" w:eastAsia="宋体" w:cs="宋体"/>
                <w:color w:val="000000"/>
                <w:kern w:val="0"/>
                <w:sz w:val="20"/>
                <w:szCs w:val="20"/>
                <w:lang w:bidi="ar"/>
              </w:rPr>
              <w:t>本年收费金额（单位：万元）</w:t>
            </w:r>
          </w:p>
        </w:tc>
      </w:tr>
      <w:tr>
        <w:tblPrEx>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tcMar>
              <w:top w:w="0" w:type="dxa"/>
              <w:left w:w="57" w:type="dxa"/>
              <w:bottom w:w="0" w:type="dxa"/>
              <w:right w:w="57" w:type="dxa"/>
            </w:tcMar>
            <w:vAlign w:val="center"/>
          </w:tcPr>
          <w:p>
            <w:pPr>
              <w:widowControl/>
              <w:spacing w:line="540" w:lineRule="exact"/>
              <w:jc w:val="center"/>
            </w:pPr>
            <w:r>
              <w:rPr>
                <w:rFonts w:hint="eastAsia" w:ascii="宋体" w:hAnsi="宋体" w:eastAsia="宋体" w:cs="宋体"/>
                <w:color w:val="000000"/>
                <w:kern w:val="0"/>
                <w:sz w:val="20"/>
                <w:szCs w:val="20"/>
                <w:lang w:bidi="ar"/>
              </w:rPr>
              <w:t>行政事业性收费</w:t>
            </w:r>
          </w:p>
        </w:tc>
        <w:tc>
          <w:tcPr>
            <w:tcW w:w="7305" w:type="dxa"/>
            <w:gridSpan w:val="3"/>
            <w:tcBorders>
              <w:top w:val="nil"/>
              <w:left w:val="nil"/>
              <w:bottom w:val="single" w:color="auto" w:sz="8" w:space="0"/>
              <w:right w:val="single" w:color="000000" w:sz="8" w:space="0"/>
            </w:tcBorders>
            <w:tcMar>
              <w:top w:w="0" w:type="dxa"/>
              <w:left w:w="57" w:type="dxa"/>
              <w:bottom w:w="0" w:type="dxa"/>
              <w:right w:w="57" w:type="dxa"/>
            </w:tcMar>
            <w:vAlign w:val="center"/>
          </w:tcPr>
          <w:p>
            <w:pPr>
              <w:spacing w:line="540" w:lineRule="exact"/>
              <w:jc w:val="center"/>
              <w:rPr>
                <w:rFonts w:ascii="宋体" w:eastAsiaTheme="minorEastAsia"/>
                <w:sz w:val="24"/>
              </w:rPr>
            </w:pPr>
            <w:r>
              <w:rPr>
                <w:rFonts w:hint="eastAsia" w:ascii="宋体"/>
                <w:sz w:val="24"/>
              </w:rPr>
              <w:t>0</w:t>
            </w:r>
          </w:p>
        </w:tc>
      </w:tr>
    </w:tbl>
    <w:p>
      <w:pPr>
        <w:spacing w:line="560" w:lineRule="exact"/>
        <w:ind w:firstLine="640" w:firstLineChars="200"/>
        <w:rPr>
          <w:rFonts w:hint="eastAsia" w:ascii="黑体" w:hAnsi="黑体" w:eastAsia="黑体" w:cs="黑体"/>
        </w:rPr>
      </w:pPr>
      <w:r>
        <w:rPr>
          <w:rFonts w:hint="eastAsia" w:ascii="黑体" w:hAnsi="黑体" w:eastAsia="黑体" w:cs="黑体"/>
        </w:rPr>
        <w:t>三、收到和处理政府信息公开申请情况</w:t>
      </w:r>
    </w:p>
    <w:tbl>
      <w:tblPr>
        <w:tblStyle w:val="6"/>
        <w:tblW w:w="9748"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768"/>
        <w:gridCol w:w="943"/>
        <w:gridCol w:w="3220"/>
        <w:gridCol w:w="688"/>
        <w:gridCol w:w="688"/>
        <w:gridCol w:w="688"/>
        <w:gridCol w:w="688"/>
        <w:gridCol w:w="688"/>
        <w:gridCol w:w="688"/>
        <w:gridCol w:w="689"/>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5150" w:type="dxa"/>
            <w:gridSpan w:val="3"/>
            <w:vMerge w:val="restart"/>
            <w:tcBorders>
              <w:top w:val="single" w:color="auto" w:sz="8" w:space="0"/>
              <w:left w:val="single" w:color="auto" w:sz="8" w:space="0"/>
              <w:bottom w:val="outset" w:color="auto" w:sz="8" w:space="0"/>
              <w:right w:val="single" w:color="auto" w:sz="8" w:space="0"/>
            </w:tcBorders>
            <w:noWrap w:val="0"/>
            <w:tcMar>
              <w:top w:w="0" w:type="dxa"/>
              <w:left w:w="108" w:type="dxa"/>
              <w:bottom w:w="0"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楷体" w:hAnsi="楷体" w:eastAsia="楷体" w:cs="楷体"/>
                <w:kern w:val="0"/>
                <w:sz w:val="20"/>
                <w:szCs w:val="20"/>
                <w:lang w:val="en-US" w:eastAsia="zh-CN" w:bidi="ar"/>
              </w:rPr>
              <w:t>（本列数据的勾稽关系为：第一项加第二项之和，等于第三项加第四项之和）</w:t>
            </w:r>
          </w:p>
        </w:tc>
        <w:tc>
          <w:tcPr>
            <w:tcW w:w="4998" w:type="dxa"/>
            <w:gridSpan w:val="7"/>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申请人情况</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5150" w:type="dxa"/>
            <w:gridSpan w:val="3"/>
            <w:vMerge w:val="continue"/>
            <w:tcBorders>
              <w:top w:val="single" w:color="auto" w:sz="8" w:space="0"/>
              <w:left w:val="single" w:color="auto" w:sz="8" w:space="0"/>
              <w:bottom w:val="outset" w:color="auto" w:sz="8" w:space="0"/>
              <w:right w:val="single" w:color="auto" w:sz="8" w:space="0"/>
            </w:tcBorders>
            <w:noWrap w:val="0"/>
            <w:tcMar>
              <w:top w:w="0" w:type="dxa"/>
              <w:left w:w="108" w:type="dxa"/>
              <w:bottom w:w="0" w:type="dxa"/>
              <w:right w:w="108"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714" w:type="dxa"/>
            <w:vMerge w:val="restart"/>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自然人</w:t>
            </w:r>
          </w:p>
        </w:tc>
        <w:tc>
          <w:tcPr>
            <w:tcW w:w="3570" w:type="dxa"/>
            <w:gridSpan w:val="5"/>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法人或其他组织</w:t>
            </w:r>
          </w:p>
        </w:tc>
        <w:tc>
          <w:tcPr>
            <w:tcW w:w="714" w:type="dxa"/>
            <w:vMerge w:val="restart"/>
            <w:tcBorders>
              <w:top w:val="single" w:color="auto" w:sz="8" w:space="0"/>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总计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5150" w:type="dxa"/>
            <w:gridSpan w:val="3"/>
            <w:vMerge w:val="continue"/>
            <w:tcBorders>
              <w:top w:val="single" w:color="auto" w:sz="8" w:space="0"/>
              <w:left w:val="single" w:color="auto" w:sz="8" w:space="0"/>
              <w:bottom w:val="outset" w:color="auto" w:sz="8" w:space="0"/>
              <w:right w:val="single" w:color="auto" w:sz="8" w:space="0"/>
            </w:tcBorders>
            <w:noWrap w:val="0"/>
            <w:tcMar>
              <w:top w:w="0" w:type="dxa"/>
              <w:left w:w="108" w:type="dxa"/>
              <w:bottom w:w="0" w:type="dxa"/>
              <w:right w:w="108"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714" w:type="dxa"/>
            <w:vMerge w:val="continue"/>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商业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企业</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科研</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机构</w:t>
            </w:r>
          </w:p>
        </w:tc>
        <w:tc>
          <w:tcPr>
            <w:tcW w:w="714" w:type="dxa"/>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社会公益组织</w:t>
            </w:r>
          </w:p>
        </w:tc>
        <w:tc>
          <w:tcPr>
            <w:tcW w:w="714" w:type="dxa"/>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法律服务机构</w:t>
            </w:r>
          </w:p>
        </w:tc>
        <w:tc>
          <w:tcPr>
            <w:tcW w:w="714" w:type="dxa"/>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其他</w:t>
            </w:r>
          </w:p>
        </w:tc>
        <w:tc>
          <w:tcPr>
            <w:tcW w:w="714" w:type="dxa"/>
            <w:vMerge w:val="continue"/>
            <w:tcBorders>
              <w:top w:val="single" w:color="auto" w:sz="8" w:space="0"/>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5150" w:type="dxa"/>
            <w:gridSpan w:val="3"/>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一、本年新收政府信息公开申请数量</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sz w:val="24"/>
                <w:szCs w:val="24"/>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5150" w:type="dxa"/>
            <w:gridSpan w:val="3"/>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二、上年结转政府信息公开申请数量</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restart"/>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三、本年度办理结果</w:t>
            </w:r>
          </w:p>
        </w:tc>
        <w:tc>
          <w:tcPr>
            <w:tcW w:w="4365" w:type="dxa"/>
            <w:gridSpan w:val="2"/>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（一）予以公开</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714" w:type="dxa"/>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sz w:val="24"/>
                <w:szCs w:val="24"/>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4365" w:type="dxa"/>
            <w:gridSpan w:val="2"/>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（二）部分公开</w:t>
            </w:r>
            <w:r>
              <w:rPr>
                <w:rFonts w:hint="eastAsia" w:ascii="楷体" w:hAnsi="楷体" w:eastAsia="楷体" w:cs="楷体"/>
                <w:kern w:val="0"/>
                <w:sz w:val="20"/>
                <w:szCs w:val="20"/>
                <w:lang w:val="en-US" w:eastAsia="zh-CN" w:bidi="ar"/>
              </w:rPr>
              <w:t>（区分处理的，只计这一情形，不计其他情形）</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sz w:val="24"/>
                <w:szCs w:val="24"/>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59" w:type="dxa"/>
            <w:vMerge w:val="restart"/>
            <w:tcBorders>
              <w:top w:val="nil"/>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（三）不予公开</w:t>
            </w:r>
          </w:p>
        </w:tc>
        <w:tc>
          <w:tcPr>
            <w:tcW w:w="3406" w:type="dxa"/>
            <w:tcBorders>
              <w:top w:val="nil"/>
              <w:left w:val="nil"/>
              <w:bottom w:val="single" w:color="auto" w:sz="8" w:space="0"/>
              <w:right w:val="single" w:color="auto" w:sz="8" w:space="0"/>
            </w:tcBorders>
            <w:noWrap w:val="0"/>
            <w:tcMar>
              <w:top w:w="0" w:type="dxa"/>
              <w:left w:w="57" w:type="dxa"/>
              <w:bottom w:w="0" w:type="dxa"/>
              <w:right w:w="57"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1.属于国家秘密</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59"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406" w:type="dxa"/>
            <w:tcBorders>
              <w:top w:val="nil"/>
              <w:left w:val="nil"/>
              <w:bottom w:val="single" w:color="auto" w:sz="8" w:space="0"/>
              <w:right w:val="single" w:color="auto" w:sz="8" w:space="0"/>
            </w:tcBorders>
            <w:noWrap w:val="0"/>
            <w:tcMar>
              <w:top w:w="0" w:type="dxa"/>
              <w:left w:w="57" w:type="dxa"/>
              <w:bottom w:w="0" w:type="dxa"/>
              <w:right w:w="57"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2.其他法律行政法规禁止公开</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59"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406" w:type="dxa"/>
            <w:tcBorders>
              <w:top w:val="nil"/>
              <w:left w:val="nil"/>
              <w:bottom w:val="single" w:color="auto" w:sz="8" w:space="0"/>
              <w:right w:val="single" w:color="auto" w:sz="8" w:space="0"/>
            </w:tcBorders>
            <w:noWrap w:val="0"/>
            <w:tcMar>
              <w:top w:w="0" w:type="dxa"/>
              <w:left w:w="57" w:type="dxa"/>
              <w:bottom w:w="0" w:type="dxa"/>
              <w:right w:w="57"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3.危及“三安全一稳定”</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59"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406" w:type="dxa"/>
            <w:tcBorders>
              <w:top w:val="nil"/>
              <w:left w:val="nil"/>
              <w:bottom w:val="single" w:color="auto" w:sz="8" w:space="0"/>
              <w:right w:val="single" w:color="auto" w:sz="8" w:space="0"/>
            </w:tcBorders>
            <w:noWrap w:val="0"/>
            <w:tcMar>
              <w:top w:w="0" w:type="dxa"/>
              <w:left w:w="57" w:type="dxa"/>
              <w:bottom w:w="0" w:type="dxa"/>
              <w:right w:w="57"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4.保护第三方合法权益</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59"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406" w:type="dxa"/>
            <w:tcBorders>
              <w:top w:val="nil"/>
              <w:left w:val="nil"/>
              <w:bottom w:val="single" w:color="auto" w:sz="8" w:space="0"/>
              <w:right w:val="single" w:color="auto" w:sz="8" w:space="0"/>
            </w:tcBorders>
            <w:noWrap w:val="0"/>
            <w:tcMar>
              <w:top w:w="0" w:type="dxa"/>
              <w:left w:w="57" w:type="dxa"/>
              <w:bottom w:w="0" w:type="dxa"/>
              <w:right w:w="57"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5.属于三类内部事务信息</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59"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406" w:type="dxa"/>
            <w:tcBorders>
              <w:top w:val="nil"/>
              <w:left w:val="nil"/>
              <w:bottom w:val="single" w:color="auto" w:sz="8" w:space="0"/>
              <w:right w:val="single" w:color="auto" w:sz="8" w:space="0"/>
            </w:tcBorders>
            <w:noWrap w:val="0"/>
            <w:tcMar>
              <w:top w:w="0" w:type="dxa"/>
              <w:left w:w="57" w:type="dxa"/>
              <w:bottom w:w="0" w:type="dxa"/>
              <w:right w:w="57"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6.属于四类过程性信息</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59"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406" w:type="dxa"/>
            <w:tcBorders>
              <w:top w:val="nil"/>
              <w:left w:val="nil"/>
              <w:bottom w:val="single" w:color="auto" w:sz="8" w:space="0"/>
              <w:right w:val="single" w:color="auto" w:sz="8" w:space="0"/>
            </w:tcBorders>
            <w:noWrap w:val="0"/>
            <w:tcMar>
              <w:top w:w="0" w:type="dxa"/>
              <w:left w:w="57" w:type="dxa"/>
              <w:bottom w:w="0" w:type="dxa"/>
              <w:right w:w="57"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7.属于行政执法案卷</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59"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406" w:type="dxa"/>
            <w:tcBorders>
              <w:top w:val="nil"/>
              <w:left w:val="nil"/>
              <w:bottom w:val="single" w:color="auto" w:sz="8" w:space="0"/>
              <w:right w:val="single" w:color="auto" w:sz="8" w:space="0"/>
            </w:tcBorders>
            <w:noWrap w:val="0"/>
            <w:tcMar>
              <w:top w:w="0" w:type="dxa"/>
              <w:left w:w="57" w:type="dxa"/>
              <w:bottom w:w="0" w:type="dxa"/>
              <w:right w:w="57"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8.属于行政查询事项</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59" w:type="dxa"/>
            <w:vMerge w:val="restart"/>
            <w:tcBorders>
              <w:top w:val="nil"/>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（四）无法提供</w:t>
            </w:r>
          </w:p>
        </w:tc>
        <w:tc>
          <w:tcPr>
            <w:tcW w:w="3406" w:type="dxa"/>
            <w:tcBorders>
              <w:top w:val="nil"/>
              <w:left w:val="nil"/>
              <w:bottom w:val="single" w:color="auto" w:sz="8" w:space="0"/>
              <w:right w:val="single" w:color="auto" w:sz="8" w:space="0"/>
            </w:tcBorders>
            <w:noWrap w:val="0"/>
            <w:tcMar>
              <w:top w:w="0" w:type="dxa"/>
              <w:left w:w="57" w:type="dxa"/>
              <w:bottom w:w="0" w:type="dxa"/>
              <w:right w:w="57"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1.本机关不掌握相关政府信息</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sz w:val="24"/>
                <w:szCs w:val="24"/>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59"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406" w:type="dxa"/>
            <w:tcBorders>
              <w:top w:val="nil"/>
              <w:left w:val="nil"/>
              <w:bottom w:val="single" w:color="auto" w:sz="8" w:space="0"/>
              <w:right w:val="single" w:color="auto" w:sz="8" w:space="0"/>
            </w:tcBorders>
            <w:noWrap w:val="0"/>
            <w:tcMar>
              <w:top w:w="0" w:type="dxa"/>
              <w:left w:w="57" w:type="dxa"/>
              <w:bottom w:w="0" w:type="dxa"/>
              <w:right w:w="57"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2.没有现成信息需要另行制作</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59"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406" w:type="dxa"/>
            <w:tcBorders>
              <w:top w:val="nil"/>
              <w:left w:val="nil"/>
              <w:bottom w:val="single" w:color="auto" w:sz="8" w:space="0"/>
              <w:right w:val="single" w:color="auto" w:sz="8" w:space="0"/>
            </w:tcBorders>
            <w:noWrap w:val="0"/>
            <w:tcMar>
              <w:top w:w="0" w:type="dxa"/>
              <w:left w:w="57" w:type="dxa"/>
              <w:bottom w:w="0" w:type="dxa"/>
              <w:right w:w="57"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3.补正后申请内容仍不明确</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59" w:type="dxa"/>
            <w:vMerge w:val="restart"/>
            <w:tcBorders>
              <w:top w:val="nil"/>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（五）不予处理</w:t>
            </w:r>
          </w:p>
        </w:tc>
        <w:tc>
          <w:tcPr>
            <w:tcW w:w="3406" w:type="dxa"/>
            <w:tcBorders>
              <w:top w:val="nil"/>
              <w:left w:val="nil"/>
              <w:bottom w:val="single" w:color="auto" w:sz="8" w:space="0"/>
              <w:right w:val="single" w:color="auto" w:sz="8" w:space="0"/>
            </w:tcBorders>
            <w:noWrap w:val="0"/>
            <w:tcMar>
              <w:top w:w="0" w:type="dxa"/>
              <w:left w:w="57" w:type="dxa"/>
              <w:bottom w:w="0" w:type="dxa"/>
              <w:right w:w="57"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1.信访举报投诉类申请</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59"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406" w:type="dxa"/>
            <w:tcBorders>
              <w:top w:val="nil"/>
              <w:left w:val="nil"/>
              <w:bottom w:val="single" w:color="auto" w:sz="8" w:space="0"/>
              <w:right w:val="single" w:color="auto" w:sz="8" w:space="0"/>
            </w:tcBorders>
            <w:noWrap w:val="0"/>
            <w:tcMar>
              <w:top w:w="0" w:type="dxa"/>
              <w:left w:w="57" w:type="dxa"/>
              <w:bottom w:w="0" w:type="dxa"/>
              <w:right w:w="57"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2.重复申请</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59"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406" w:type="dxa"/>
            <w:tcBorders>
              <w:top w:val="nil"/>
              <w:left w:val="nil"/>
              <w:bottom w:val="single" w:color="auto" w:sz="8" w:space="0"/>
              <w:right w:val="single" w:color="auto" w:sz="8" w:space="0"/>
            </w:tcBorders>
            <w:noWrap w:val="0"/>
            <w:tcMar>
              <w:top w:w="0" w:type="dxa"/>
              <w:left w:w="57" w:type="dxa"/>
              <w:bottom w:w="0" w:type="dxa"/>
              <w:right w:w="57"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3.要求提供公开出版物</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59"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406" w:type="dxa"/>
            <w:tcBorders>
              <w:top w:val="nil"/>
              <w:left w:val="nil"/>
              <w:bottom w:val="single" w:color="auto" w:sz="8" w:space="0"/>
              <w:right w:val="single" w:color="auto" w:sz="8" w:space="0"/>
            </w:tcBorders>
            <w:noWrap w:val="0"/>
            <w:tcMar>
              <w:top w:w="0" w:type="dxa"/>
              <w:left w:w="57" w:type="dxa"/>
              <w:bottom w:w="0" w:type="dxa"/>
              <w:right w:w="57"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4.无正当理由大量反复申请</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779" w:hRule="atLeast"/>
          <w:jc w:val="center"/>
        </w:trPr>
        <w:tc>
          <w:tcPr>
            <w:tcW w:w="78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59"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406" w:type="dxa"/>
            <w:tcBorders>
              <w:top w:val="nil"/>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both"/>
              <w:textAlignment w:val="auto"/>
            </w:pPr>
            <w:r>
              <w:rPr>
                <w:rFonts w:hint="eastAsia" w:ascii="宋体" w:hAnsi="宋体" w:eastAsia="宋体" w:cs="宋体"/>
                <w:kern w:val="0"/>
                <w:sz w:val="20"/>
                <w:szCs w:val="20"/>
                <w:lang w:val="en-US" w:eastAsia="zh-CN" w:bidi="ar"/>
              </w:rPr>
              <w:t>5.要求行政机关确认或重新出具已获取信息</w:t>
            </w:r>
          </w:p>
        </w:tc>
        <w:tc>
          <w:tcPr>
            <w:tcW w:w="714" w:type="dxa"/>
            <w:tcBorders>
              <w:top w:val="nil"/>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59" w:type="dxa"/>
            <w:vMerge w:val="restart"/>
            <w:tcBorders>
              <w:top w:val="outset" w:color="auto" w:sz="8" w:space="0"/>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（六）其他处理</w:t>
            </w:r>
          </w:p>
        </w:tc>
        <w:tc>
          <w:tcPr>
            <w:tcW w:w="3406"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both"/>
              <w:textAlignment w:val="auto"/>
            </w:pPr>
            <w:r>
              <w:rPr>
                <w:rFonts w:hint="eastAsia" w:ascii="宋体" w:hAnsi="宋体" w:eastAsia="宋体" w:cs="宋体"/>
                <w:kern w:val="0"/>
                <w:sz w:val="20"/>
                <w:szCs w:val="20"/>
                <w:lang w:val="en-US" w:eastAsia="zh-CN" w:bidi="ar"/>
              </w:rPr>
              <w:t>1.申请人无正当理由逾期不补正、行政机关不再处理其政府信息公开申请</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59" w:type="dxa"/>
            <w:vMerge w:val="continue"/>
            <w:tcBorders>
              <w:top w:val="outset" w:color="auto" w:sz="8" w:space="0"/>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406"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both"/>
              <w:textAlignment w:val="auto"/>
            </w:pPr>
            <w:r>
              <w:rPr>
                <w:rFonts w:hint="eastAsia" w:ascii="宋体" w:hAnsi="宋体" w:eastAsia="宋体" w:cs="宋体"/>
                <w:kern w:val="0"/>
                <w:sz w:val="20"/>
                <w:szCs w:val="20"/>
                <w:lang w:val="en-US" w:eastAsia="zh-CN" w:bidi="ar"/>
              </w:rPr>
              <w:t>2.申请人逾期未按收费通知要求缴纳费用、行政机关不再处理其政府信息公开申请</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59" w:type="dxa"/>
            <w:vMerge w:val="continue"/>
            <w:tcBorders>
              <w:top w:val="outset" w:color="auto" w:sz="8" w:space="0"/>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406"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3.其他</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4365" w:type="dxa"/>
            <w:gridSpan w:val="2"/>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（七）总计</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5150" w:type="dxa"/>
            <w:gridSpan w:val="3"/>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四、结转下年度继续办理</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w:t>
            </w:r>
          </w:p>
        </w:tc>
      </w:tr>
    </w:tbl>
    <w:p>
      <w:pPr>
        <w:spacing w:line="560" w:lineRule="exact"/>
        <w:ind w:firstLine="640" w:firstLineChars="200"/>
        <w:rPr>
          <w:rFonts w:hint="eastAsia" w:ascii="黑体" w:hAnsi="黑体" w:eastAsia="黑体" w:cs="黑体"/>
        </w:rPr>
      </w:pPr>
      <w:r>
        <w:rPr>
          <w:rFonts w:hint="eastAsia" w:ascii="黑体" w:hAnsi="黑体" w:eastAsia="黑体" w:cs="黑体"/>
        </w:rPr>
        <w:t>四、政府信息公开行政复议、行政诉讼情况</w:t>
      </w:r>
    </w:p>
    <w:tbl>
      <w:tblPr>
        <w:tblStyle w:val="6"/>
        <w:tblW w:w="9748"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
      <w:tblGrid>
        <w:gridCol w:w="649"/>
        <w:gridCol w:w="649"/>
        <w:gridCol w:w="649"/>
        <w:gridCol w:w="649"/>
        <w:gridCol w:w="649"/>
        <w:gridCol w:w="649"/>
        <w:gridCol w:w="649"/>
        <w:gridCol w:w="650"/>
        <w:gridCol w:w="650"/>
        <w:gridCol w:w="650"/>
        <w:gridCol w:w="651"/>
        <w:gridCol w:w="651"/>
        <w:gridCol w:w="651"/>
        <w:gridCol w:w="651"/>
        <w:gridCol w:w="651"/>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3245" w:type="dxa"/>
            <w:gridSpan w:val="5"/>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行政复议</w:t>
            </w:r>
          </w:p>
        </w:tc>
        <w:tc>
          <w:tcPr>
            <w:tcW w:w="6503" w:type="dxa"/>
            <w:gridSpan w:val="10"/>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行政诉讼</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649"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结果维持</w:t>
            </w:r>
          </w:p>
        </w:tc>
        <w:tc>
          <w:tcPr>
            <w:tcW w:w="649"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结果</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纠正</w:t>
            </w:r>
          </w:p>
        </w:tc>
        <w:tc>
          <w:tcPr>
            <w:tcW w:w="649" w:type="dxa"/>
            <w:vMerge w:val="restar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其他</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结果</w:t>
            </w:r>
          </w:p>
        </w:tc>
        <w:tc>
          <w:tcPr>
            <w:tcW w:w="649" w:type="dxa"/>
            <w:vMerge w:val="restar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尚未</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审结</w:t>
            </w:r>
          </w:p>
        </w:tc>
        <w:tc>
          <w:tcPr>
            <w:tcW w:w="649" w:type="dxa"/>
            <w:vMerge w:val="restar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总计</w:t>
            </w:r>
          </w:p>
        </w:tc>
        <w:tc>
          <w:tcPr>
            <w:tcW w:w="3248" w:type="dxa"/>
            <w:gridSpan w:val="5"/>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未经复议直接起诉</w:t>
            </w:r>
          </w:p>
        </w:tc>
        <w:tc>
          <w:tcPr>
            <w:tcW w:w="3255" w:type="dxa"/>
            <w:gridSpan w:val="5"/>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复议后起诉</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649"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宋体"/>
                <w:sz w:val="24"/>
                <w:szCs w:val="24"/>
              </w:rPr>
            </w:pPr>
          </w:p>
        </w:tc>
        <w:tc>
          <w:tcPr>
            <w:tcW w:w="649"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宋体"/>
                <w:sz w:val="24"/>
                <w:szCs w:val="24"/>
              </w:rPr>
            </w:pPr>
          </w:p>
        </w:tc>
        <w:tc>
          <w:tcPr>
            <w:tcW w:w="649" w:type="dxa"/>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宋体"/>
                <w:sz w:val="24"/>
                <w:szCs w:val="24"/>
              </w:rPr>
            </w:pPr>
          </w:p>
        </w:tc>
        <w:tc>
          <w:tcPr>
            <w:tcW w:w="649" w:type="dxa"/>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宋体"/>
                <w:sz w:val="24"/>
                <w:szCs w:val="24"/>
              </w:rPr>
            </w:pPr>
          </w:p>
        </w:tc>
        <w:tc>
          <w:tcPr>
            <w:tcW w:w="649" w:type="dxa"/>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宋体"/>
                <w:sz w:val="24"/>
                <w:szCs w:val="24"/>
              </w:rPr>
            </w:pP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结果</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维持</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结果</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纠正</w:t>
            </w:r>
          </w:p>
        </w:tc>
        <w:tc>
          <w:tcPr>
            <w:tcW w:w="650"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其他</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结果</w:t>
            </w:r>
          </w:p>
        </w:tc>
        <w:tc>
          <w:tcPr>
            <w:tcW w:w="650"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尚未</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审结</w:t>
            </w:r>
          </w:p>
        </w:tc>
        <w:tc>
          <w:tcPr>
            <w:tcW w:w="650"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color w:val="000000"/>
                <w:kern w:val="0"/>
                <w:sz w:val="20"/>
                <w:szCs w:val="20"/>
                <w:lang w:val="en-US" w:eastAsia="zh-CN" w:bidi="ar"/>
              </w:rPr>
              <w:t>总计</w:t>
            </w:r>
          </w:p>
        </w:tc>
        <w:tc>
          <w:tcPr>
            <w:tcW w:w="651"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结果</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维持</w:t>
            </w:r>
          </w:p>
        </w:tc>
        <w:tc>
          <w:tcPr>
            <w:tcW w:w="651"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结果</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纠正</w:t>
            </w:r>
          </w:p>
        </w:tc>
        <w:tc>
          <w:tcPr>
            <w:tcW w:w="651"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color w:val="000000"/>
                <w:kern w:val="0"/>
                <w:sz w:val="20"/>
                <w:szCs w:val="20"/>
                <w:lang w:val="en-US" w:eastAsia="zh-CN" w:bidi="ar"/>
              </w:rPr>
              <w:t>其他</w:t>
            </w:r>
            <w:r>
              <w:rPr>
                <w:rFonts w:hint="eastAsia" w:ascii="宋体" w:hAnsi="宋体" w:eastAsia="宋体" w:cs="宋体"/>
                <w:color w:val="000000"/>
                <w:kern w:val="0"/>
                <w:sz w:val="20"/>
                <w:szCs w:val="20"/>
                <w:lang w:val="en-US" w:eastAsia="zh-CN" w:bidi="ar"/>
              </w:rPr>
              <w:br w:type="textWrapping"/>
            </w:r>
            <w:r>
              <w:rPr>
                <w:rFonts w:hint="eastAsia" w:ascii="宋体" w:hAnsi="宋体" w:eastAsia="宋体" w:cs="宋体"/>
                <w:color w:val="000000"/>
                <w:kern w:val="0"/>
                <w:sz w:val="20"/>
                <w:szCs w:val="20"/>
                <w:lang w:val="en-US" w:eastAsia="zh-CN" w:bidi="ar"/>
              </w:rPr>
              <w:t>结果</w:t>
            </w:r>
          </w:p>
        </w:tc>
        <w:tc>
          <w:tcPr>
            <w:tcW w:w="651"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尚未</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审结</w:t>
            </w:r>
          </w:p>
        </w:tc>
        <w:tc>
          <w:tcPr>
            <w:tcW w:w="651"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color w:val="000000"/>
                <w:kern w:val="0"/>
                <w:sz w:val="20"/>
                <w:szCs w:val="20"/>
                <w:lang w:val="en-US" w:eastAsia="zh-CN" w:bidi="ar"/>
              </w:rPr>
              <w:t>总计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2" w:hRule="atLeast"/>
          <w:jc w:val="center"/>
        </w:trPr>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50"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50"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50"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5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5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5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5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5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r>
    </w:tbl>
    <w:p>
      <w:pPr>
        <w:spacing w:line="560" w:lineRule="exact"/>
        <w:ind w:firstLine="640" w:firstLineChars="200"/>
        <w:rPr>
          <w:rFonts w:hint="eastAsia" w:ascii="黑体" w:hAnsi="黑体" w:eastAsia="黑体" w:cs="黑体"/>
        </w:rPr>
      </w:pPr>
      <w:r>
        <w:rPr>
          <w:rFonts w:hint="eastAsia" w:ascii="黑体" w:hAnsi="黑体" w:eastAsia="黑体" w:cs="黑体"/>
        </w:rPr>
        <w:t>五、存在的主要问题及改进情况</w:t>
      </w:r>
    </w:p>
    <w:p>
      <w:pPr>
        <w:spacing w:line="560" w:lineRule="exact"/>
        <w:ind w:firstLine="640" w:firstLineChars="200"/>
        <w:rPr>
          <w:rFonts w:hint="eastAsia"/>
        </w:rPr>
      </w:pPr>
      <w:r>
        <w:rPr>
          <w:rFonts w:hint="eastAsia"/>
        </w:rPr>
        <w:t>近年来</w:t>
      </w:r>
      <w:r>
        <w:rPr>
          <w:rFonts w:hint="eastAsia"/>
          <w:lang w:eastAsia="zh-CN"/>
        </w:rPr>
        <w:t>，</w:t>
      </w:r>
      <w:r>
        <w:rPr>
          <w:rFonts w:hint="eastAsia"/>
        </w:rPr>
        <w:t>在政府信息公开方面重视程度持续深化，政务公开理念不断强化，信息发布流程逐步健全。但是仍存在提升空间，主要是公开内容的深度和广度统筹推进还需发力，南关街道办事处</w:t>
      </w:r>
      <w:bookmarkStart w:id="1" w:name="_GoBack"/>
      <w:bookmarkEnd w:id="1"/>
      <w:r>
        <w:rPr>
          <w:rFonts w:hint="eastAsia"/>
        </w:rPr>
        <w:t>将进一步完善信息公开审核发布机制，加强内容统筹，强化流程管控，确保公开的全面性和规范性。</w:t>
      </w:r>
    </w:p>
    <w:p>
      <w:pPr>
        <w:spacing w:line="560" w:lineRule="exact"/>
        <w:ind w:firstLine="640" w:firstLineChars="200"/>
        <w:rPr>
          <w:rFonts w:hint="eastAsia" w:ascii="黑体" w:hAnsi="黑体" w:eastAsia="黑体" w:cs="黑体"/>
        </w:rPr>
      </w:pPr>
      <w:r>
        <w:rPr>
          <w:rFonts w:hint="eastAsia" w:ascii="黑体" w:hAnsi="黑体" w:eastAsia="黑体" w:cs="黑体"/>
        </w:rPr>
        <w:t>六、其他需要报告的事项</w:t>
      </w:r>
    </w:p>
    <w:p>
      <w:pPr>
        <w:spacing w:line="560" w:lineRule="exact"/>
        <w:ind w:firstLine="640" w:firstLineChars="200"/>
        <w:jc w:val="left"/>
      </w:pPr>
      <w:r>
        <w:rPr>
          <w:rFonts w:hint="eastAsia"/>
        </w:rPr>
        <w:t>认真贯彻执行国务院办公厅《政府信息公开信息处理费管理办法》和《关于政府信息公开处理费管理有关事项的通知》。</w:t>
      </w:r>
      <w:r>
        <w:rPr>
          <w:rFonts w:hint="eastAsia"/>
          <w:lang w:eastAsia="zh-CN"/>
        </w:rPr>
        <w:t>2025</w:t>
      </w:r>
      <w:r>
        <w:rPr>
          <w:rFonts w:hint="eastAsia"/>
        </w:rPr>
        <w:t>年未收取信息处理费。</w:t>
      </w:r>
    </w:p>
    <w:p>
      <w:pPr>
        <w:pStyle w:val="5"/>
        <w:shd w:val="clear" w:color="auto" w:fill="FFFFFF"/>
        <w:spacing w:before="0" w:beforeAutospacing="0" w:after="0" w:afterAutospacing="0" w:line="540" w:lineRule="exact"/>
        <w:jc w:val="both"/>
        <w:rPr>
          <w:rFonts w:ascii="仿宋_GB2312" w:hAnsi="Times New Roman" w:eastAsia="仿宋_GB2312" w:cs="Times New Roman"/>
          <w:color w:val="auto"/>
          <w:kern w:val="2"/>
          <w:sz w:val="32"/>
        </w:rPr>
      </w:pPr>
    </w:p>
    <w:p>
      <w:pPr>
        <w:spacing w:line="540" w:lineRule="exact"/>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02"/>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国标黑体">
    <w:panose1 w:val="02000500000000000000"/>
    <w:charset w:val="86"/>
    <w:family w:val="auto"/>
    <w:pitch w:val="default"/>
    <w:sig w:usb0="00000001" w:usb1="08000000" w:usb2="00000000" w:usb3="00000000" w:csb0="00060007" w:csb1="00000000"/>
  </w:font>
  <w:font w:name="仿宋_GB2312">
    <w:altName w:val="方正仿宋_GBK"/>
    <w:panose1 w:val="02010609030101010101"/>
    <w:charset w:val="86"/>
    <w:family w:val="auto"/>
    <w:pitch w:val="default"/>
    <w:sig w:usb0="00000000" w:usb1="00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楷体">
    <w:altName w:val="方正楷体_GBK"/>
    <w:panose1 w:val="02010609060101010101"/>
    <w:charset w:val="86"/>
    <w:family w:val="modern"/>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方正楷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5B229F"/>
    <w:rsid w:val="00001C9A"/>
    <w:rsid w:val="00003CC1"/>
    <w:rsid w:val="000271FE"/>
    <w:rsid w:val="00054086"/>
    <w:rsid w:val="000753A0"/>
    <w:rsid w:val="000A0797"/>
    <w:rsid w:val="00132AB1"/>
    <w:rsid w:val="00170C90"/>
    <w:rsid w:val="00185F1A"/>
    <w:rsid w:val="001B09CD"/>
    <w:rsid w:val="001C3913"/>
    <w:rsid w:val="001D23B1"/>
    <w:rsid w:val="001D40EF"/>
    <w:rsid w:val="001F4FC4"/>
    <w:rsid w:val="0020451A"/>
    <w:rsid w:val="002203E9"/>
    <w:rsid w:val="0023476C"/>
    <w:rsid w:val="00247CDC"/>
    <w:rsid w:val="002E7760"/>
    <w:rsid w:val="00352CCA"/>
    <w:rsid w:val="0037490C"/>
    <w:rsid w:val="003920F4"/>
    <w:rsid w:val="00394689"/>
    <w:rsid w:val="003A35E5"/>
    <w:rsid w:val="00426AE5"/>
    <w:rsid w:val="00440459"/>
    <w:rsid w:val="00467081"/>
    <w:rsid w:val="004E673B"/>
    <w:rsid w:val="005371FF"/>
    <w:rsid w:val="00593E5E"/>
    <w:rsid w:val="005F51B2"/>
    <w:rsid w:val="005F7FEB"/>
    <w:rsid w:val="0064380E"/>
    <w:rsid w:val="007175C1"/>
    <w:rsid w:val="00742FED"/>
    <w:rsid w:val="00765D2E"/>
    <w:rsid w:val="00766E51"/>
    <w:rsid w:val="00770470"/>
    <w:rsid w:val="007774C1"/>
    <w:rsid w:val="007F1628"/>
    <w:rsid w:val="00870D1B"/>
    <w:rsid w:val="00955877"/>
    <w:rsid w:val="0097622A"/>
    <w:rsid w:val="0099422A"/>
    <w:rsid w:val="009F2F3B"/>
    <w:rsid w:val="00A51E0C"/>
    <w:rsid w:val="00A8757F"/>
    <w:rsid w:val="00B1273A"/>
    <w:rsid w:val="00B162E0"/>
    <w:rsid w:val="00B31FE5"/>
    <w:rsid w:val="00B66FED"/>
    <w:rsid w:val="00B842A0"/>
    <w:rsid w:val="00BC24FD"/>
    <w:rsid w:val="00C378A3"/>
    <w:rsid w:val="00C405B3"/>
    <w:rsid w:val="00C50EF8"/>
    <w:rsid w:val="00CA6D9C"/>
    <w:rsid w:val="00CC70A9"/>
    <w:rsid w:val="00CF28F1"/>
    <w:rsid w:val="00D01F0A"/>
    <w:rsid w:val="00D15CDF"/>
    <w:rsid w:val="00D76768"/>
    <w:rsid w:val="00D963A6"/>
    <w:rsid w:val="00DF7696"/>
    <w:rsid w:val="00E07DFF"/>
    <w:rsid w:val="00E11F35"/>
    <w:rsid w:val="00EF029F"/>
    <w:rsid w:val="00F07F50"/>
    <w:rsid w:val="00F20B46"/>
    <w:rsid w:val="00F66394"/>
    <w:rsid w:val="00F97247"/>
    <w:rsid w:val="1BC71309"/>
    <w:rsid w:val="32F84FDD"/>
    <w:rsid w:val="3E5B229F"/>
    <w:rsid w:val="52E0202E"/>
    <w:rsid w:val="5FBBE1FE"/>
    <w:rsid w:val="68BF7371"/>
    <w:rsid w:val="72826491"/>
    <w:rsid w:val="7DFBB5A3"/>
    <w:rsid w:val="F6DF1603"/>
    <w:rsid w:val="F77F34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仿宋_GB2312" w:hAnsi="Times New Roman" w:eastAsia="仿宋_GB2312" w:cs="Times New Roman"/>
      <w:kern w:val="2"/>
      <w:sz w:val="32"/>
      <w:szCs w:val="24"/>
      <w:lang w:val="en-US" w:eastAsia="zh-CN" w:bidi="ar-SA"/>
    </w:rPr>
  </w:style>
  <w:style w:type="character" w:default="1" w:styleId="7">
    <w:name w:val="Default Paragraph Font"/>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unhideWhenUsed/>
    <w:qFormat/>
    <w:uiPriority w:val="99"/>
    <w:pPr>
      <w:suppressAutoHyphens/>
    </w:pPr>
  </w:style>
  <w:style w:type="paragraph" w:styleId="3">
    <w:name w:val="footer"/>
    <w:basedOn w:val="1"/>
    <w:link w:val="10"/>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tabs>
        <w:tab w:val="center" w:pos="4153"/>
        <w:tab w:val="right" w:pos="8306"/>
      </w:tabs>
      <w:snapToGrid w:val="0"/>
      <w:jc w:val="center"/>
    </w:pPr>
    <w:rPr>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eastAsia="宋体" w:cs="宋体"/>
      <w:color w:val="000000"/>
      <w:kern w:val="0"/>
      <w:sz w:val="24"/>
    </w:rPr>
  </w:style>
  <w:style w:type="character" w:styleId="8">
    <w:name w:val="Hyperlink"/>
    <w:basedOn w:val="7"/>
    <w:unhideWhenUsed/>
    <w:qFormat/>
    <w:uiPriority w:val="99"/>
    <w:rPr>
      <w:color w:val="0000FF"/>
      <w:u w:val="single"/>
    </w:rPr>
  </w:style>
  <w:style w:type="character" w:customStyle="1" w:styleId="9">
    <w:name w:val="页眉 字符"/>
    <w:basedOn w:val="7"/>
    <w:link w:val="4"/>
    <w:qFormat/>
    <w:uiPriority w:val="0"/>
    <w:rPr>
      <w:rFonts w:ascii="仿宋_GB2312" w:eastAsia="仿宋_GB2312"/>
      <w:kern w:val="2"/>
      <w:sz w:val="18"/>
      <w:szCs w:val="18"/>
    </w:rPr>
  </w:style>
  <w:style w:type="character" w:customStyle="1" w:styleId="10">
    <w:name w:val="页脚 字符"/>
    <w:basedOn w:val="7"/>
    <w:link w:val="3"/>
    <w:qFormat/>
    <w:uiPriority w:val="0"/>
    <w:rPr>
      <w:rFonts w:ascii="仿宋_GB2312" w:eastAsia="仿宋_GB2312"/>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1894</Words>
  <Characters>1944</Characters>
  <Lines>15</Lines>
  <Paragraphs>4</Paragraphs>
  <TotalTime>1</TotalTime>
  <ScaleCrop>false</ScaleCrop>
  <LinksUpToDate>false</LinksUpToDate>
  <CharactersWithSpaces>1944</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2019-12-31T11:38:00Z</dcterms:created>
  <dc:creator>小公举</dc:creator>
  <cp:lastModifiedBy>work</cp:lastModifiedBy>
  <cp:lastPrinted>2019-12-31T11:40:00Z</cp:lastPrinted>
  <dcterms:modified xsi:type="dcterms:W3CDTF">2026-01-22T15:59:10Z</dcterms:modified>
  <cp:revision>66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KSOTemplateDocerSaveRecord">
    <vt:lpwstr>eyJoZGlkIjoiMTE5MDUyZWM0MzIxZjczYTAyM2QzNzFhYzUyMmFmZTEiLCJ1c2VySWQiOiI1Njk1NTg4MTQifQ==</vt:lpwstr>
  </property>
  <property fmtid="{D5CDD505-2E9C-101B-9397-08002B2CF9AE}" pid="4" name="ICV">
    <vt:lpwstr>3286D78D9B5143CF9C9633DF3B2C0694_12</vt:lpwstr>
  </property>
</Properties>
</file>