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保定市莲池区联盟路街道办事处</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2025年政府信息公开工作年度报告</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根据《中华人民共和国政府信息公开条例》《河北省实施〈中华人民共和国政府信息公开条例〉办法》等规定，发布本年度报告。报告中所列数据统计期限为</w:t>
      </w:r>
      <w:r>
        <w:rPr>
          <w:rFonts w:hint="eastAsia" w:ascii="仿宋" w:hAnsi="仿宋" w:eastAsia="仿宋" w:cs="仿宋"/>
          <w:sz w:val="32"/>
          <w:szCs w:val="32"/>
          <w:lang w:eastAsia="zh-CN"/>
        </w:rPr>
        <w:t>2025</w:t>
      </w:r>
      <w:r>
        <w:rPr>
          <w:rFonts w:hint="eastAsia" w:ascii="仿宋" w:hAnsi="仿宋" w:eastAsia="仿宋" w:cs="仿宋"/>
          <w:sz w:val="32"/>
          <w:szCs w:val="32"/>
        </w:rPr>
        <w:t>年1月1日至12月31日。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lang w:val="en-US" w:eastAsia="zh-CN"/>
        </w:rPr>
      </w:pPr>
      <w:r>
        <w:rPr>
          <w:rFonts w:hint="eastAsia" w:ascii="黑体" w:hAnsi="黑体" w:eastAsia="黑体" w:cs="黑体"/>
          <w:lang w:val="en-US" w:eastAsia="zh-CN"/>
        </w:rPr>
        <w:t>一、总体情况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lang w:val="en-US" w:eastAsia="zh-CN"/>
        </w:rPr>
      </w:pPr>
      <w:r>
        <w:rPr>
          <w:rFonts w:hint="eastAsia"/>
          <w:lang w:val="en-US" w:eastAsia="zh-CN"/>
        </w:rPr>
        <w:t>2025年，联盟路街道办事处坚持以习近平新时代中国特色社会主义思想为指导，全面贯彻落实国家、省、市、区关于政务公开工作决策部署，围绕区委区政府中心工作，立足新发展阶段、贯彻新发展理念、构建新发展格局，推动高质量发展，以公开促规范、促落实、促服务，进一步提升政府信息公开水平，切实提高人民群众获得感和满意度。</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lang w:val="en-US" w:eastAsia="zh-CN"/>
        </w:rPr>
      </w:pPr>
      <w:r>
        <w:rPr>
          <w:rFonts w:hint="eastAsia" w:ascii="仿宋_GB2312" w:hAnsi="仿宋" w:eastAsia="仿宋_GB2312"/>
          <w:b/>
          <w:bCs/>
          <w:sz w:val="32"/>
          <w:szCs w:val="32"/>
          <w:lang w:eastAsia="zh-CN"/>
        </w:rPr>
        <w:t>（一）主动公开方面</w:t>
      </w:r>
      <w:r>
        <w:rPr>
          <w:rFonts w:hint="eastAsia" w:ascii="仿宋_GB2312" w:hAnsi="仿宋" w:eastAsia="仿宋_GB2312"/>
          <w:b/>
          <w:bCs/>
          <w:sz w:val="32"/>
          <w:szCs w:val="32"/>
        </w:rPr>
        <w:t>。</w:t>
      </w:r>
      <w:r>
        <w:rPr>
          <w:rFonts w:hint="eastAsia"/>
          <w:lang w:val="en-US" w:eastAsia="zh-CN"/>
        </w:rPr>
        <w:t>严格按照上级要求，在保定市莲池区人民政府网行政执法板块、河北省行政执法公示平台公示执法事项和执法信息、执法流程等内容。</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 w:eastAsia="仿宋_GB2312"/>
          <w:b/>
          <w:bCs/>
          <w:sz w:val="32"/>
          <w:szCs w:val="32"/>
          <w:lang w:val="en-US" w:eastAsia="zh-CN"/>
        </w:rPr>
      </w:pPr>
      <w:r>
        <w:rPr>
          <w:rFonts w:hint="eastAsia" w:ascii="仿宋_GB2312" w:hAnsi="仿宋" w:eastAsia="仿宋_GB2312"/>
          <w:b/>
          <w:bCs/>
          <w:sz w:val="32"/>
          <w:szCs w:val="32"/>
          <w:lang w:eastAsia="zh-CN"/>
        </w:rPr>
        <w:t>（二）</w:t>
      </w:r>
      <w:r>
        <w:rPr>
          <w:rFonts w:hint="eastAsia" w:ascii="仿宋_GB2312" w:hAnsi="仿宋" w:eastAsia="仿宋_GB2312"/>
          <w:b/>
          <w:bCs/>
          <w:sz w:val="32"/>
          <w:szCs w:val="32"/>
        </w:rPr>
        <w:t>依申</w:t>
      </w:r>
      <w:r>
        <w:rPr>
          <w:rFonts w:hint="eastAsia" w:ascii="仿宋_GB2312" w:hAnsi="仿宋" w:eastAsia="仿宋_GB2312"/>
          <w:b/>
          <w:bCs/>
          <w:sz w:val="32"/>
          <w:szCs w:val="32"/>
          <w:lang w:val="en-US" w:eastAsia="zh-CN"/>
        </w:rPr>
        <w:t>请公开方面。</w:t>
      </w:r>
      <w:r>
        <w:rPr>
          <w:rFonts w:hint="eastAsia" w:cs="仿宋_GB2312"/>
          <w:kern w:val="0"/>
          <w:sz w:val="32"/>
          <w:szCs w:val="32"/>
          <w:lang w:eastAsia="zh-CN"/>
        </w:rPr>
        <w:t>2025</w:t>
      </w:r>
      <w:r>
        <w:rPr>
          <w:rFonts w:hint="eastAsia" w:ascii="仿宋_GB2312" w:eastAsia="仿宋_GB2312" w:cs="仿宋_GB2312"/>
          <w:kern w:val="0"/>
          <w:sz w:val="32"/>
          <w:szCs w:val="32"/>
        </w:rPr>
        <w:t>年，</w:t>
      </w:r>
      <w:r>
        <w:rPr>
          <w:rFonts w:hint="eastAsia"/>
          <w:lang w:val="en-US" w:eastAsia="zh-CN"/>
        </w:rPr>
        <w:t>联盟路街道办事处</w:t>
      </w:r>
      <w:r>
        <w:rPr>
          <w:rFonts w:hint="eastAsia" w:ascii="仿宋_GB2312" w:eastAsia="仿宋_GB2312" w:cs="仿宋_GB2312"/>
          <w:kern w:val="0"/>
          <w:sz w:val="32"/>
          <w:szCs w:val="32"/>
        </w:rPr>
        <w:t>未收到政府信息公开申请。</w:t>
      </w:r>
    </w:p>
    <w:p>
      <w:pPr>
        <w:keepNext w:val="0"/>
        <w:keepLines w:val="0"/>
        <w:pageBreakBefore w:val="0"/>
        <w:widowControl/>
        <w:suppressLineNumbers w:val="0"/>
        <w:kinsoku/>
        <w:wordWrap/>
        <w:overflowPunct/>
        <w:topLinePunct w:val="0"/>
        <w:autoSpaceDN/>
        <w:bidi w:val="0"/>
        <w:adjustRightInd/>
        <w:spacing w:line="520" w:lineRule="exact"/>
        <w:ind w:firstLine="642" w:firstLineChars="200"/>
        <w:jc w:val="left"/>
        <w:textAlignment w:val="auto"/>
        <w:rPr>
          <w:rFonts w:hint="eastAsia" w:ascii="仿宋_GB2312" w:hAnsi="仿宋_GB2312" w:eastAsia="仿宋_GB2312" w:cs="仿宋_GB2312"/>
          <w:i w:val="0"/>
          <w:caps w:val="0"/>
          <w:color w:val="000000"/>
          <w:spacing w:val="0"/>
          <w:sz w:val="32"/>
          <w:szCs w:val="32"/>
          <w:shd w:val="clear" w:color="auto" w:fill="FFFFFF"/>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（三）</w:t>
      </w:r>
      <w:r>
        <w:rPr>
          <w:rFonts w:hint="eastAsia" w:ascii="仿宋_GB2312" w:hAnsi="仿宋_GB2312" w:eastAsia="仿宋_GB2312" w:cs="仿宋_GB2312"/>
          <w:b/>
          <w:bCs w:val="0"/>
          <w:i w:val="0"/>
          <w:caps w:val="0"/>
          <w:color w:val="000000"/>
          <w:spacing w:val="0"/>
          <w:sz w:val="32"/>
          <w:szCs w:val="32"/>
          <w:shd w:val="clear" w:color="auto" w:fill="FFFFFF"/>
          <w:lang w:val="en-US" w:eastAsia="zh-CN"/>
        </w:rPr>
        <w:t>政府信息管理方面。</w:t>
      </w:r>
      <w:r>
        <w:rPr>
          <w:rFonts w:hint="eastAsia" w:ascii="仿宋_GB2312" w:hAnsi="仿宋" w:eastAsia="仿宋_GB2312" w:cs="Times New Roman"/>
          <w:bCs/>
          <w:sz w:val="32"/>
          <w:szCs w:val="32"/>
          <w:lang w:val="en-US" w:eastAsia="zh-CN"/>
        </w:rPr>
        <w:t>及时在区政府网站</w:t>
      </w:r>
      <w:r>
        <w:rPr>
          <w:rFonts w:hint="eastAsia" w:ascii="仿宋_GB2312" w:hAnsi="仿宋_GB2312" w:eastAsia="仿宋_GB2312" w:cs="仿宋_GB2312"/>
          <w:b w:val="0"/>
          <w:bCs/>
          <w:color w:val="auto"/>
          <w:sz w:val="32"/>
          <w:szCs w:val="32"/>
          <w:lang w:val="en-US" w:eastAsia="zh-CN"/>
        </w:rPr>
        <w:t>调整更新</w:t>
      </w:r>
      <w:r>
        <w:rPr>
          <w:rFonts w:hint="eastAsia" w:hAnsi="仿宋_GB2312" w:cs="仿宋_GB2312"/>
          <w:b w:val="0"/>
          <w:bCs/>
          <w:color w:val="auto"/>
          <w:sz w:val="32"/>
          <w:szCs w:val="32"/>
          <w:lang w:val="en-US" w:eastAsia="zh-CN"/>
        </w:rPr>
        <w:t>本单位的</w:t>
      </w:r>
      <w:r>
        <w:rPr>
          <w:rFonts w:hint="eastAsia" w:ascii="仿宋_GB2312" w:hAnsi="仿宋" w:eastAsia="仿宋_GB2312" w:cs="Times New Roman"/>
          <w:bCs/>
          <w:sz w:val="32"/>
          <w:szCs w:val="32"/>
          <w:lang w:val="en-US" w:eastAsia="zh-CN"/>
        </w:rPr>
        <w:t>机构职能等信息。</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default"/>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（四）政府信息</w:t>
      </w:r>
      <w:r>
        <w:rPr>
          <w:rFonts w:hint="eastAsia" w:ascii="仿宋_GB2312" w:hAnsi="仿宋_GB2312" w:eastAsia="仿宋_GB2312" w:cs="仿宋_GB2312"/>
          <w:b/>
          <w:bCs w:val="0"/>
          <w:sz w:val="32"/>
          <w:szCs w:val="32"/>
        </w:rPr>
        <w:t>平台建设</w:t>
      </w:r>
      <w:r>
        <w:rPr>
          <w:rFonts w:hint="eastAsia" w:ascii="仿宋_GB2312" w:hAnsi="仿宋_GB2312" w:eastAsia="仿宋_GB2312" w:cs="仿宋_GB2312"/>
          <w:b/>
          <w:bCs w:val="0"/>
          <w:sz w:val="32"/>
          <w:szCs w:val="32"/>
          <w:lang w:eastAsia="zh-CN"/>
        </w:rPr>
        <w:t>方面</w:t>
      </w:r>
      <w:r>
        <w:rPr>
          <w:rFonts w:hint="eastAsia" w:ascii="仿宋_GB2312" w:hAnsi="仿宋_GB2312" w:eastAsia="仿宋_GB2312" w:cs="仿宋_GB2312"/>
          <w:b/>
          <w:bCs w:val="0"/>
          <w:sz w:val="32"/>
          <w:szCs w:val="32"/>
        </w:rPr>
        <w:t>。</w:t>
      </w:r>
      <w:r>
        <w:rPr>
          <w:rFonts w:hint="eastAsia"/>
          <w:lang w:val="en-US" w:eastAsia="zh-CN"/>
        </w:rPr>
        <w:t>充分发挥政务新媒体正面宣传引导作用，严格落实政务新媒体账号备案登记制度，认真履行信息发布审核制度，确保信息发布准确安全。</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（五）监督保障方面</w:t>
      </w:r>
      <w:r>
        <w:rPr>
          <w:rFonts w:hint="eastAsia" w:ascii="仿宋_GB2312" w:hAnsi="仿宋" w:eastAsia="仿宋_GB2312" w:cs="Times New Roman"/>
          <w:b/>
          <w:bCs w:val="0"/>
          <w:kern w:val="2"/>
          <w:sz w:val="32"/>
          <w:szCs w:val="32"/>
          <w:lang w:val="en-US" w:eastAsia="zh-CN" w:bidi="ar-SA"/>
        </w:rPr>
        <w:t>。</w:t>
      </w:r>
      <w:r>
        <w:rPr>
          <w:rFonts w:hint="eastAsia"/>
          <w:lang w:val="en-US" w:eastAsia="zh-CN"/>
        </w:rPr>
        <w:t>根据《中华人民共和国保守国家秘密法》和《中华人民共和国政府信息公开条例》的规定，按照“谁公开、谁审查、谁负责”和“涉密的不公开、公开的不涉密”原则，对拟发布信息内容的准确性、完整性、时效性以及是否涉密进行把关，避免出现信息发布泄密、失信、影响社会稳定等问题。</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黑体" w:hAnsi="黑体" w:eastAsia="黑体" w:cs="黑体"/>
          <w:lang w:val="en-US" w:eastAsia="zh-CN"/>
        </w:rPr>
      </w:pPr>
      <w:r>
        <w:rPr>
          <w:rFonts w:hint="eastAsia" w:ascii="黑体" w:hAnsi="黑体" w:eastAsia="黑体" w:cs="黑体"/>
          <w:lang w:val="en-US" w:eastAsia="zh-CN"/>
        </w:rPr>
        <w:t>二、主动公开政府信息情况</w:t>
      </w:r>
    </w:p>
    <w:tbl>
      <w:tblPr>
        <w:tblStyle w:val="6"/>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2435"/>
        <w:gridCol w:w="2435"/>
        <w:gridCol w:w="2435"/>
        <w:gridCol w:w="24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580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pPr>
            <w:r>
              <w:rPr>
                <w:rFonts w:hint="eastAsia" w:ascii="宋体" w:hAnsi="宋体" w:eastAsia="宋体" w:cs="宋体"/>
                <w:color w:val="00000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bl>
    <w:p>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jc w:val="left"/>
        <w:textAlignment w:val="auto"/>
        <w:rPr>
          <w:rFonts w:hint="eastAsia"/>
          <w:lang w:val="en-US" w:eastAsia="zh-CN"/>
        </w:rPr>
      </w:pPr>
      <w:r>
        <w:rPr>
          <w:rFonts w:hint="eastAsia" w:ascii="黑体" w:hAnsi="黑体" w:eastAsia="黑体" w:cs="黑体"/>
          <w:lang w:val="en-US" w:eastAsia="zh-CN"/>
        </w:rPr>
        <w:t>收到和处理政府信息公开申请情况</w:t>
      </w:r>
    </w:p>
    <w:tbl>
      <w:tblPr>
        <w:tblStyle w:val="6"/>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768"/>
        <w:gridCol w:w="943"/>
        <w:gridCol w:w="3220"/>
        <w:gridCol w:w="688"/>
        <w:gridCol w:w="688"/>
        <w:gridCol w:w="688"/>
        <w:gridCol w:w="688"/>
        <w:gridCol w:w="688"/>
        <w:gridCol w:w="688"/>
        <w:gridCol w:w="68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jc w:val="center"/>
        </w:trPr>
        <w:tc>
          <w:tcPr>
            <w:tcW w:w="4931" w:type="dxa"/>
            <w:gridSpan w:val="3"/>
            <w:vMerge w:val="restart"/>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楷体" w:hAnsi="楷体" w:eastAsia="楷体" w:cs="楷体"/>
                <w:kern w:val="0"/>
                <w:sz w:val="20"/>
                <w:szCs w:val="20"/>
                <w:lang w:val="en-US" w:eastAsia="zh-CN" w:bidi="ar"/>
              </w:rPr>
              <w:t>（本列数据的勾稽关系为：第一项加第二项之和，等于第三项加第四项之和）</w:t>
            </w:r>
          </w:p>
        </w:tc>
        <w:tc>
          <w:tcPr>
            <w:tcW w:w="4817" w:type="dxa"/>
            <w:gridSpan w:val="7"/>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31" w:type="dxa"/>
            <w:gridSpan w:val="3"/>
            <w:vMerge w:val="continue"/>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688" w:type="dxa"/>
            <w:vMerge w:val="restart"/>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自然人</w:t>
            </w:r>
          </w:p>
        </w:tc>
        <w:tc>
          <w:tcPr>
            <w:tcW w:w="3440" w:type="dxa"/>
            <w:gridSpan w:val="5"/>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法人或其他组织</w:t>
            </w:r>
          </w:p>
        </w:tc>
        <w:tc>
          <w:tcPr>
            <w:tcW w:w="689" w:type="dxa"/>
            <w:vMerge w:val="restart"/>
            <w:tcBorders>
              <w:top w:val="single"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31" w:type="dxa"/>
            <w:gridSpan w:val="3"/>
            <w:vMerge w:val="continue"/>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688" w:type="dxa"/>
            <w:vMerge w:val="continue"/>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商业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企业</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科研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机构</w:t>
            </w:r>
          </w:p>
        </w:tc>
        <w:tc>
          <w:tcPr>
            <w:tcW w:w="688"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社会公益组织</w:t>
            </w:r>
          </w:p>
        </w:tc>
        <w:tc>
          <w:tcPr>
            <w:tcW w:w="688"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法律服务机构</w:t>
            </w:r>
          </w:p>
        </w:tc>
        <w:tc>
          <w:tcPr>
            <w:tcW w:w="688"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其他</w:t>
            </w:r>
          </w:p>
        </w:tc>
        <w:tc>
          <w:tcPr>
            <w:tcW w:w="689" w:type="dxa"/>
            <w:vMerge w:val="continue"/>
            <w:tcBorders>
              <w:top w:val="single"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31"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一、本年新收政府信息公开申请数量</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31"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二、上年结转政府信息公开申请数量</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restart"/>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三、本年度办理结果</w:t>
            </w:r>
          </w:p>
        </w:tc>
        <w:tc>
          <w:tcPr>
            <w:tcW w:w="4163"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（一）予以公开</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4163"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（二）部分公开</w:t>
            </w:r>
            <w:r>
              <w:rPr>
                <w:rFonts w:hint="eastAsia" w:ascii="楷体" w:hAnsi="楷体" w:eastAsia="楷体" w:cs="楷体"/>
                <w:kern w:val="0"/>
                <w:sz w:val="20"/>
                <w:szCs w:val="20"/>
                <w:lang w:val="en-US" w:eastAsia="zh-CN" w:bidi="ar"/>
              </w:rPr>
              <w:t>（区分处理的，只计这一情形，不计其他情形）</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（三）不予公开</w:t>
            </w: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1.属于国家秘密</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2.其他法律行政法规禁止公开</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3.危及“三安全一稳定”</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4.保护第三方合法权益</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5.属于三类内部事务信息</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6.属于四类过程性信息</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7.属于行政执法案卷</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8.属于行政查询事项</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（四）无法提供</w:t>
            </w: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1.本机关不掌握相关政府信息</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2.没有现成信息需要另行制作</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3.补正后申请内容仍不明确</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（五）不予处理</w:t>
            </w: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1.信访举报投诉类申请</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2.重复申请</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3.要求提供公开出版物</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4.无正当理由大量反复申请</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79" w:hRule="atLeast"/>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5.要求行政机关确认或重新出具已获取信息</w:t>
            </w:r>
          </w:p>
        </w:tc>
        <w:tc>
          <w:tcPr>
            <w:tcW w:w="68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restart"/>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（六）其他处理</w:t>
            </w: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1.申请人无正当理由逾期不补正、行政机关不再处理其政府信息公开申请</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2.申请人逾期未按收费通知要求缴纳费用、行政机关不再处理其政府信息公开申请</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3.其他</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4163"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（七）总计</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31"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四、结转下年度继续办理</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bl>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黑体" w:hAnsi="黑体" w:eastAsia="黑体" w:cs="黑体"/>
          <w:lang w:val="en-US" w:eastAsia="zh-CN"/>
        </w:rPr>
      </w:pPr>
      <w:r>
        <w:rPr>
          <w:rFonts w:hint="eastAsia" w:ascii="黑体" w:hAnsi="黑体" w:eastAsia="黑体" w:cs="黑体"/>
          <w:lang w:val="en-US" w:eastAsia="zh-CN"/>
        </w:rPr>
        <w:t>四、政府信息公开行政复议、行政诉讼情况</w:t>
      </w:r>
    </w:p>
    <w:tbl>
      <w:tblPr>
        <w:tblStyle w:val="6"/>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行政复议</w:t>
            </w:r>
          </w:p>
        </w:tc>
        <w:tc>
          <w:tcPr>
            <w:tcW w:w="6503"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结果维持</w:t>
            </w:r>
          </w:p>
        </w:tc>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总计</w:t>
            </w:r>
          </w:p>
        </w:tc>
        <w:tc>
          <w:tcPr>
            <w:tcW w:w="324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lang w:val="en-US" w:eastAsia="zh-CN"/>
        </w:rPr>
      </w:pPr>
      <w:r>
        <w:rPr>
          <w:rFonts w:hint="eastAsia" w:ascii="黑体" w:hAnsi="黑体" w:eastAsia="黑体" w:cs="黑体"/>
          <w:lang w:val="en-US" w:eastAsia="zh-CN"/>
        </w:rPr>
        <w:t>五、存在的主要问题及改进情况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lang w:val="en-US" w:eastAsia="zh-CN"/>
        </w:rPr>
      </w:pPr>
      <w:r>
        <w:rPr>
          <w:rFonts w:hint="eastAsia"/>
          <w:lang w:val="en-US" w:eastAsia="zh-CN"/>
        </w:rPr>
        <w:t>存在的问题：一是主动公开意识不够强，公开内容针对性不足；二是公开渠道较为单一，过度依赖政府网站。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lang w:val="en-US" w:eastAsia="zh-CN"/>
        </w:rPr>
      </w:pPr>
      <w:r>
        <w:rPr>
          <w:rFonts w:hint="eastAsia"/>
          <w:lang w:val="en-US" w:eastAsia="zh-CN"/>
        </w:rPr>
        <w:t>改进情况：一是不断增强依法公开、主动公开意识，丰富政务信息公开内容，建立信息公开清单化管理，增加群众关心的重点民生领域信息的公开量，进一步提升政务信息公开的实用价值；二是拓展公开渠道，同步在政务新媒体平台、社区公告栏发布核心信息，针对老年群体增设线下查询点等，提高信息触达率和群众获得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lang w:val="en-US" w:eastAsia="zh-CN"/>
        </w:rPr>
      </w:pPr>
      <w:r>
        <w:rPr>
          <w:rFonts w:hint="eastAsia" w:ascii="黑体" w:hAnsi="黑体" w:eastAsia="黑体" w:cs="黑体"/>
          <w:lang w:val="en-US" w:eastAsia="zh-CN"/>
        </w:rPr>
        <w:t>六、其他需要报告的事项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lang w:val="en-US" w:eastAsia="zh-CN"/>
        </w:rPr>
      </w:pPr>
      <w:r>
        <w:rPr>
          <w:rFonts w:hint="eastAsia"/>
          <w:lang w:val="en-US" w:eastAsia="zh-CN"/>
        </w:rPr>
        <w:t>认真贯彻执行国务院办公厅《政府信息公开信息处理费管理办法》和《关于政府信息公开处理费管理有关事项的通知》。2025年未收取信息处理费。</w:t>
      </w:r>
    </w:p>
    <w:sectPr>
      <w:footerReference r:id="rId3" w:type="default"/>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2"/>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国标黑体">
    <w:panose1 w:val="02000500000000000000"/>
    <w:charset w:val="86"/>
    <w:family w:val="auto"/>
    <w:pitch w:val="default"/>
    <w:sig w:usb0="00000001" w:usb1="08000000" w:usb2="00000000" w:usb3="00000000" w:csb0="00060007"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asciiTheme="majorEastAsia" w:hAnsiTheme="majorEastAsia" w:eastAsiaTheme="majorEastAsia" w:cstheme="majorEastAsia"/>
                              <w:sz w:val="24"/>
                              <w:szCs w:val="24"/>
                              <w:lang w:eastAsia="zh-CN"/>
                            </w:rPr>
                            <w:fldChar w:fldCharType="begin"/>
                          </w:r>
                          <w:r>
                            <w:rPr>
                              <w:rFonts w:hint="eastAsia" w:asciiTheme="majorEastAsia" w:hAnsiTheme="majorEastAsia" w:eastAsiaTheme="majorEastAsia" w:cstheme="majorEastAsia"/>
                              <w:sz w:val="24"/>
                              <w:szCs w:val="24"/>
                              <w:lang w:eastAsia="zh-CN"/>
                            </w:rPr>
                            <w:instrText xml:space="preserve"> PAGE  \* MERGEFORMAT </w:instrText>
                          </w:r>
                          <w:r>
                            <w:rPr>
                              <w:rFonts w:hint="eastAsia" w:asciiTheme="majorEastAsia" w:hAnsiTheme="majorEastAsia" w:eastAsiaTheme="majorEastAsia" w:cstheme="majorEastAsia"/>
                              <w:sz w:val="24"/>
                              <w:szCs w:val="24"/>
                              <w:lang w:eastAsia="zh-CN"/>
                            </w:rPr>
                            <w:fldChar w:fldCharType="separate"/>
                          </w:r>
                          <w:r>
                            <w:rPr>
                              <w:rFonts w:hint="eastAsia" w:asciiTheme="majorEastAsia" w:hAnsiTheme="majorEastAsia" w:eastAsiaTheme="majorEastAsia" w:cstheme="majorEastAsia"/>
                              <w:sz w:val="24"/>
                              <w:szCs w:val="24"/>
                              <w:lang w:eastAsia="zh-CN"/>
                            </w:rPr>
                            <w:t>1</w:t>
                          </w:r>
                          <w:r>
                            <w:rPr>
                              <w:rFonts w:hint="eastAsia" w:asciiTheme="majorEastAsia" w:hAnsiTheme="majorEastAsia" w:eastAsiaTheme="majorEastAsia" w:cstheme="majorEastAsia"/>
                              <w:sz w:val="24"/>
                              <w:szCs w:val="24"/>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asciiTheme="majorEastAsia" w:hAnsiTheme="majorEastAsia" w:eastAsiaTheme="majorEastAsia" w:cstheme="majorEastAsia"/>
                        <w:sz w:val="24"/>
                        <w:szCs w:val="24"/>
                        <w:lang w:eastAsia="zh-CN"/>
                      </w:rPr>
                      <w:fldChar w:fldCharType="begin"/>
                    </w:r>
                    <w:r>
                      <w:rPr>
                        <w:rFonts w:hint="eastAsia" w:asciiTheme="majorEastAsia" w:hAnsiTheme="majorEastAsia" w:eastAsiaTheme="majorEastAsia" w:cstheme="majorEastAsia"/>
                        <w:sz w:val="24"/>
                        <w:szCs w:val="24"/>
                        <w:lang w:eastAsia="zh-CN"/>
                      </w:rPr>
                      <w:instrText xml:space="preserve"> PAGE  \* MERGEFORMAT </w:instrText>
                    </w:r>
                    <w:r>
                      <w:rPr>
                        <w:rFonts w:hint="eastAsia" w:asciiTheme="majorEastAsia" w:hAnsiTheme="majorEastAsia" w:eastAsiaTheme="majorEastAsia" w:cstheme="majorEastAsia"/>
                        <w:sz w:val="24"/>
                        <w:szCs w:val="24"/>
                        <w:lang w:eastAsia="zh-CN"/>
                      </w:rPr>
                      <w:fldChar w:fldCharType="separate"/>
                    </w:r>
                    <w:r>
                      <w:rPr>
                        <w:rFonts w:hint="eastAsia" w:asciiTheme="majorEastAsia" w:hAnsiTheme="majorEastAsia" w:eastAsiaTheme="majorEastAsia" w:cstheme="majorEastAsia"/>
                        <w:sz w:val="24"/>
                        <w:szCs w:val="24"/>
                        <w:lang w:eastAsia="zh-CN"/>
                      </w:rPr>
                      <w:t>1</w:t>
                    </w:r>
                    <w:r>
                      <w:rPr>
                        <w:rFonts w:hint="eastAsia" w:asciiTheme="majorEastAsia" w:hAnsiTheme="majorEastAsia" w:eastAsiaTheme="majorEastAsia" w:cstheme="majorEastAsia"/>
                        <w:sz w:val="24"/>
                        <w:szCs w:val="24"/>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DF70B8"/>
    <w:multiLevelType w:val="singleLevel"/>
    <w:tmpl w:val="2BDF70B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1MjBjOGY4YWQ4NGY3N2Y3NWJmMjg0ZTM5ODI4MTIifQ=="/>
  </w:docVars>
  <w:rsids>
    <w:rsidRoot w:val="3E5B229F"/>
    <w:rsid w:val="00A51E0C"/>
    <w:rsid w:val="00C405B3"/>
    <w:rsid w:val="00E11F35"/>
    <w:rsid w:val="09210B60"/>
    <w:rsid w:val="12B1644B"/>
    <w:rsid w:val="15D078F9"/>
    <w:rsid w:val="182D778C"/>
    <w:rsid w:val="1B633586"/>
    <w:rsid w:val="1DE73127"/>
    <w:rsid w:val="1E113539"/>
    <w:rsid w:val="28750230"/>
    <w:rsid w:val="30647164"/>
    <w:rsid w:val="3E5B229F"/>
    <w:rsid w:val="3ECB4852"/>
    <w:rsid w:val="53663C1B"/>
    <w:rsid w:val="5DFF0975"/>
    <w:rsid w:val="5E4044BD"/>
    <w:rsid w:val="5FFFE9AE"/>
    <w:rsid w:val="603158D4"/>
    <w:rsid w:val="634E7408"/>
    <w:rsid w:val="6677329F"/>
    <w:rsid w:val="69531548"/>
    <w:rsid w:val="6C101A24"/>
    <w:rsid w:val="72826491"/>
    <w:rsid w:val="73D442D8"/>
    <w:rsid w:val="788720D5"/>
    <w:rsid w:val="7BFF41F5"/>
    <w:rsid w:val="7C5D68C6"/>
    <w:rsid w:val="7F8525F4"/>
    <w:rsid w:val="EBF3849A"/>
    <w:rsid w:val="EF673899"/>
    <w:rsid w:val="F72BF558"/>
    <w:rsid w:val="FDE7BBF8"/>
    <w:rsid w:val="FE8A1E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uppressAutoHyphens/>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styleId="8">
    <w:name w:val="Strong"/>
    <w:basedOn w:val="7"/>
    <w:qFormat/>
    <w:uiPriority w:val="0"/>
    <w:rPr>
      <w:b/>
    </w:rPr>
  </w:style>
  <w:style w:type="character" w:styleId="9">
    <w:name w:val="Hyperlink"/>
    <w:basedOn w:val="7"/>
    <w:unhideWhenUsed/>
    <w:qFormat/>
    <w:uiPriority w:val="99"/>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1605</Words>
  <Characters>1635</Characters>
  <Lines>29</Lines>
  <Paragraphs>8</Paragraphs>
  <TotalTime>26</TotalTime>
  <ScaleCrop>false</ScaleCrop>
  <LinksUpToDate>false</LinksUpToDate>
  <CharactersWithSpaces>1636</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2019-12-31T03:38:00Z</dcterms:created>
  <dc:creator>小公举</dc:creator>
  <cp:lastModifiedBy>work</cp:lastModifiedBy>
  <cp:lastPrinted>2019-12-31T03:40:00Z</cp:lastPrinted>
  <dcterms:modified xsi:type="dcterms:W3CDTF">2026-01-22T15:43:13Z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FC0CCB30B0024A23AC1431C868CFE5C5</vt:lpwstr>
  </property>
  <property fmtid="{D5CDD505-2E9C-101B-9397-08002B2CF9AE}" pid="4" name="KSOTemplateDocerSaveRecord">
    <vt:lpwstr>eyJoZGlkIjoiYmM3ZDhmNWJhZTIyOWYwNzdhYzVlOWYyNTIxZWE5YTIiLCJ1c2VySWQiOiI0MTA0NTg4MDAifQ==</vt:lpwstr>
  </property>
</Properties>
</file>