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napToGrid w:val="0"/>
        <w:ind w:firstLine="420"/>
        <w:jc w:val="center"/>
        <w:rPr>
          <w:rFonts w:hint="eastAsia" w:ascii="方正小标宋简体" w:hAnsi="方正小标宋简体" w:eastAsia="方正小标宋简体" w:cs="方正小标宋简体"/>
          <w:b w:val="0"/>
          <w:bCs w:val="0"/>
          <w:sz w:val="44"/>
          <w:szCs w:val="44"/>
          <w:shd w:val="clear" w:color="auto" w:fill="FFFFFF"/>
          <w:lang w:val="en-US" w:eastAsia="zh-CN"/>
        </w:rPr>
      </w:pPr>
      <w:r>
        <w:rPr>
          <w:rFonts w:hint="eastAsia" w:ascii="方正小标宋简体" w:hAnsi="方正小标宋简体" w:eastAsia="方正小标宋简体" w:cs="方正小标宋简体"/>
          <w:b w:val="0"/>
          <w:bCs w:val="0"/>
          <w:sz w:val="44"/>
          <w:szCs w:val="44"/>
          <w:shd w:val="clear" w:color="auto" w:fill="FFFFFF"/>
          <w:lang w:val="en-US" w:eastAsia="zh-CN"/>
        </w:rPr>
        <w:t>保定市自然资源和规划局莲池区分局</w:t>
      </w:r>
    </w:p>
    <w:p>
      <w:pPr>
        <w:widowControl/>
        <w:shd w:val="clear" w:color="auto" w:fill="FFFFFF"/>
        <w:snapToGrid w:val="0"/>
        <w:ind w:firstLine="420"/>
        <w:jc w:val="center"/>
        <w:rPr>
          <w:rFonts w:hint="eastAsia" w:ascii="方正小标宋简体" w:hAnsi="方正小标宋简体" w:eastAsia="方正小标宋简体" w:cs="方正小标宋简体"/>
          <w:b w:val="0"/>
          <w:bCs w:val="0"/>
          <w:sz w:val="44"/>
          <w:szCs w:val="44"/>
          <w:shd w:val="clear" w:color="auto" w:fill="FFFFFF"/>
        </w:rPr>
      </w:pPr>
      <w:r>
        <w:rPr>
          <w:rFonts w:hint="eastAsia" w:ascii="方正小标宋简体" w:hAnsi="方正小标宋简体" w:eastAsia="方正小标宋简体" w:cs="方正小标宋简体"/>
          <w:b w:val="0"/>
          <w:bCs w:val="0"/>
          <w:sz w:val="44"/>
          <w:szCs w:val="44"/>
          <w:shd w:val="clear" w:color="auto" w:fill="FFFFFF"/>
          <w:lang w:val="en-US" w:eastAsia="zh-CN"/>
        </w:rPr>
        <w:t>2025年</w:t>
      </w:r>
      <w:r>
        <w:rPr>
          <w:rFonts w:hint="eastAsia" w:ascii="方正小标宋简体" w:hAnsi="方正小标宋简体" w:eastAsia="方正小标宋简体" w:cs="方正小标宋简体"/>
          <w:b w:val="0"/>
          <w:bCs w:val="0"/>
          <w:sz w:val="44"/>
          <w:szCs w:val="44"/>
          <w:shd w:val="clear" w:color="auto" w:fill="FFFFFF"/>
        </w:rPr>
        <w:t>政府信息公开工作年度报告</w:t>
      </w:r>
    </w:p>
    <w:p>
      <w:pPr>
        <w:keepNext w:val="0"/>
        <w:keepLines w:val="0"/>
        <w:pageBreakBefore w:val="0"/>
        <w:widowControl/>
        <w:shd w:val="clear" w:color="auto" w:fill="FFFFFF"/>
        <w:kinsoku/>
        <w:wordWrap/>
        <w:overflowPunct/>
        <w:topLinePunct w:val="0"/>
        <w:autoSpaceDN/>
        <w:bidi w:val="0"/>
        <w:adjustRightInd/>
        <w:spacing w:line="520" w:lineRule="exact"/>
        <w:ind w:left="0" w:leftChars="0" w:right="0" w:rightChars="0" w:firstLine="640" w:firstLineChars="200"/>
        <w:jc w:val="both"/>
        <w:textAlignment w:val="auto"/>
        <w:rPr>
          <w:rFonts w:ascii="黑体" w:hAnsi="黑体" w:eastAsia="黑体" w:cs="宋体"/>
          <w:color w:val="000000"/>
          <w:kern w:val="0"/>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根据《中华人民共和国政府信息公开条例》《河北省实施〈中华人民共和国政府信息公开条例〉办法》等规定，发布本年度报告。报告中所列数据统计期限为202</w:t>
      </w:r>
      <w:r>
        <w:rPr>
          <w:rFonts w:hint="eastAsia" w:ascii="仿宋" w:hAnsi="仿宋" w:eastAsia="仿宋" w:cs="仿宋"/>
          <w:sz w:val="32"/>
          <w:szCs w:val="32"/>
          <w:lang w:val="en-US" w:eastAsia="zh-CN"/>
        </w:rPr>
        <w:t>5</w:t>
      </w:r>
      <w:r>
        <w:rPr>
          <w:rFonts w:hint="eastAsia" w:ascii="仿宋" w:hAnsi="仿宋" w:eastAsia="仿宋" w:cs="仿宋"/>
          <w:sz w:val="32"/>
          <w:szCs w:val="32"/>
        </w:rPr>
        <w:t>年1月1日至12月31日。</w:t>
      </w:r>
    </w:p>
    <w:p>
      <w:pPr>
        <w:keepNext w:val="0"/>
        <w:keepLines w:val="0"/>
        <w:pageBreakBefore w:val="0"/>
        <w:widowControl/>
        <w:shd w:val="clear" w:color="auto" w:fill="FFFFFF"/>
        <w:kinsoku/>
        <w:wordWrap/>
        <w:overflowPunct/>
        <w:topLinePunct w:val="0"/>
        <w:autoSpaceDN/>
        <w:bidi w:val="0"/>
        <w:adjustRightInd/>
        <w:spacing w:line="520" w:lineRule="exact"/>
        <w:ind w:left="0" w:leftChars="0" w:right="0" w:rightChars="0" w:firstLine="640" w:firstLineChars="200"/>
        <w:jc w:val="both"/>
        <w:textAlignment w:val="auto"/>
        <w:rPr>
          <w:rFonts w:ascii="黑体" w:hAnsi="黑体" w:eastAsia="黑体" w:cs="宋体"/>
          <w:color w:val="000000"/>
          <w:kern w:val="0"/>
          <w:sz w:val="32"/>
          <w:szCs w:val="32"/>
        </w:rPr>
      </w:pPr>
      <w:r>
        <w:rPr>
          <w:rFonts w:ascii="黑体" w:hAnsi="黑体" w:eastAsia="黑体" w:cs="宋体"/>
          <w:color w:val="000000"/>
          <w:kern w:val="0"/>
          <w:sz w:val="32"/>
          <w:szCs w:val="32"/>
        </w:rPr>
        <w:t>一、总体情况</w:t>
      </w:r>
    </w:p>
    <w:p>
      <w:pPr>
        <w:keepNext w:val="0"/>
        <w:keepLines w:val="0"/>
        <w:pageBreakBefore w:val="0"/>
        <w:widowControl/>
        <w:shd w:val="clear" w:color="auto" w:fill="FFFFFF"/>
        <w:kinsoku/>
        <w:wordWrap/>
        <w:overflowPunct/>
        <w:topLinePunct w:val="0"/>
        <w:autoSpaceDN/>
        <w:bidi w:val="0"/>
        <w:adjustRightInd/>
        <w:spacing w:line="520" w:lineRule="exact"/>
        <w:ind w:left="0" w:leftChars="0" w:right="0" w:rightChars="0" w:firstLine="640" w:firstLineChars="200"/>
        <w:jc w:val="both"/>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202</w:t>
      </w:r>
      <w:r>
        <w:rPr>
          <w:rFonts w:hint="eastAsia" w:hAnsi="仿宋_GB2312" w:cs="仿宋_GB2312"/>
          <w:color w:val="000000"/>
          <w:kern w:val="0"/>
          <w:sz w:val="32"/>
          <w:szCs w:val="32"/>
          <w:lang w:val="en-US" w:eastAsia="zh-CN"/>
        </w:rPr>
        <w:t>5</w:t>
      </w:r>
      <w:r>
        <w:rPr>
          <w:rFonts w:hint="eastAsia" w:ascii="仿宋_GB2312" w:hAnsi="仿宋_GB2312" w:eastAsia="仿宋_GB2312" w:cs="仿宋_GB2312"/>
          <w:color w:val="000000"/>
          <w:kern w:val="0"/>
          <w:sz w:val="32"/>
          <w:szCs w:val="32"/>
        </w:rPr>
        <w:t>年，</w:t>
      </w:r>
      <w:r>
        <w:rPr>
          <w:rFonts w:hint="eastAsia" w:ascii="仿宋_GB2312" w:hAnsi="仿宋_GB2312" w:eastAsia="仿宋_GB2312" w:cs="仿宋_GB2312"/>
          <w:color w:val="000000"/>
          <w:kern w:val="0"/>
          <w:sz w:val="32"/>
          <w:szCs w:val="32"/>
          <w:lang w:eastAsia="zh-CN"/>
        </w:rPr>
        <w:t>保定</w:t>
      </w:r>
      <w:r>
        <w:rPr>
          <w:rFonts w:hint="eastAsia" w:hAnsi="仿宋_GB2312" w:cs="仿宋_GB2312"/>
          <w:color w:val="000000"/>
          <w:kern w:val="0"/>
          <w:sz w:val="32"/>
          <w:szCs w:val="32"/>
          <w:lang w:val="en-US" w:eastAsia="zh-CN"/>
        </w:rPr>
        <w:t>市自然资源和规划局莲池区分局</w:t>
      </w:r>
      <w:r>
        <w:rPr>
          <w:rFonts w:hint="eastAsia" w:ascii="仿宋_GB2312" w:hAnsi="仿宋_GB2312" w:eastAsia="仿宋_GB2312" w:cs="仿宋_GB2312"/>
          <w:color w:val="000000"/>
          <w:kern w:val="0"/>
          <w:sz w:val="32"/>
          <w:szCs w:val="32"/>
        </w:rPr>
        <w:t>坚持以习近平新时代中国特色社会主义思想为指导，</w:t>
      </w:r>
      <w:r>
        <w:rPr>
          <w:rFonts w:hint="eastAsia" w:ascii="仿宋_GB2312" w:hAnsi="ˎ̥" w:eastAsia="仿宋_GB2312"/>
          <w:color w:val="222222"/>
          <w:sz w:val="32"/>
          <w:szCs w:val="32"/>
          <w:lang w:eastAsia="zh-CN"/>
        </w:rPr>
        <w:t>全面贯彻落实</w:t>
      </w:r>
      <w:r>
        <w:rPr>
          <w:rFonts w:hint="eastAsia" w:ascii="仿宋_GB2312" w:eastAsia="仿宋_GB2312"/>
          <w:sz w:val="32"/>
          <w:szCs w:val="32"/>
          <w:lang w:eastAsia="zh-CN"/>
        </w:rPr>
        <w:t>国家、省关于政务公开工作的决策部署，</w:t>
      </w:r>
      <w:r>
        <w:rPr>
          <w:rFonts w:hint="eastAsia"/>
          <w:sz w:val="32"/>
          <w:szCs w:val="32"/>
          <w:lang w:val="en-US" w:eastAsia="zh-CN"/>
        </w:rPr>
        <w:t>围绕区委、区政府和市自然资源和规划局中心工作，</w:t>
      </w:r>
      <w:r>
        <w:rPr>
          <w:rFonts w:hint="eastAsia" w:ascii="仿宋_GB2312" w:eastAsia="仿宋_GB2312"/>
          <w:sz w:val="32"/>
          <w:szCs w:val="32"/>
          <w:lang w:eastAsia="zh-CN"/>
        </w:rPr>
        <w:t>不断丰富政务公开内容，创新政务公开形式，</w:t>
      </w:r>
      <w:r>
        <w:rPr>
          <w:rFonts w:hint="eastAsia"/>
          <w:sz w:val="32"/>
          <w:szCs w:val="32"/>
          <w:lang w:val="en-US" w:eastAsia="zh-CN"/>
        </w:rPr>
        <w:t>推动高质量发展，</w:t>
      </w:r>
      <w:r>
        <w:rPr>
          <w:rFonts w:hint="eastAsia" w:ascii="仿宋_GB2312" w:hAnsi="仿宋_GB2312" w:eastAsia="仿宋_GB2312" w:cs="仿宋_GB2312"/>
          <w:color w:val="000000"/>
          <w:kern w:val="0"/>
          <w:sz w:val="32"/>
          <w:szCs w:val="32"/>
        </w:rPr>
        <w:t>以公开促规范</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促落实</w:t>
      </w:r>
      <w:r>
        <w:rPr>
          <w:rFonts w:hint="eastAsia" w:ascii="仿宋_GB2312" w:hAnsi="仿宋_GB2312" w:eastAsia="仿宋_GB2312" w:cs="仿宋_GB2312"/>
          <w:color w:val="000000"/>
          <w:kern w:val="0"/>
          <w:sz w:val="32"/>
          <w:szCs w:val="32"/>
          <w:lang w:eastAsia="zh-CN"/>
        </w:rPr>
        <w:t>、促</w:t>
      </w:r>
      <w:r>
        <w:rPr>
          <w:rFonts w:hint="eastAsia" w:ascii="仿宋_GB2312" w:hAnsi="仿宋_GB2312" w:eastAsia="仿宋_GB2312" w:cs="仿宋_GB2312"/>
          <w:color w:val="000000"/>
          <w:kern w:val="0"/>
          <w:sz w:val="32"/>
          <w:szCs w:val="32"/>
        </w:rPr>
        <w:t>服务，</w:t>
      </w:r>
      <w:r>
        <w:rPr>
          <w:rFonts w:hint="eastAsia" w:ascii="仿宋_GB2312" w:hAnsi="仿宋_GB2312" w:eastAsia="仿宋_GB2312" w:cs="仿宋_GB2312"/>
          <w:color w:val="000000"/>
          <w:kern w:val="0"/>
          <w:sz w:val="32"/>
          <w:szCs w:val="32"/>
          <w:lang w:eastAsia="zh-CN"/>
        </w:rPr>
        <w:t>不断</w:t>
      </w:r>
      <w:r>
        <w:rPr>
          <w:rFonts w:hint="eastAsia" w:ascii="仿宋_GB2312" w:hAnsi="仿宋_GB2312" w:eastAsia="仿宋_GB2312" w:cs="仿宋_GB2312"/>
          <w:color w:val="000000"/>
          <w:kern w:val="0"/>
          <w:sz w:val="32"/>
          <w:szCs w:val="32"/>
        </w:rPr>
        <w:t>提升政府信息公开</w:t>
      </w:r>
      <w:r>
        <w:rPr>
          <w:rFonts w:hint="eastAsia" w:ascii="仿宋_GB2312" w:hAnsi="仿宋_GB2312" w:eastAsia="仿宋_GB2312" w:cs="仿宋_GB2312"/>
          <w:color w:val="000000"/>
          <w:kern w:val="0"/>
          <w:sz w:val="32"/>
          <w:szCs w:val="32"/>
          <w:lang w:eastAsia="zh-CN"/>
        </w:rPr>
        <w:t>质效</w:t>
      </w:r>
      <w:r>
        <w:rPr>
          <w:rFonts w:hint="eastAsia" w:ascii="仿宋_GB2312" w:hAnsi="仿宋_GB2312" w:eastAsia="仿宋_GB2312" w:cs="仿宋_GB2312"/>
          <w:color w:val="000000"/>
          <w:kern w:val="0"/>
          <w:sz w:val="32"/>
          <w:szCs w:val="32"/>
        </w:rPr>
        <w:t>，切实提高人民群众获得感和满意度。</w:t>
      </w:r>
    </w:p>
    <w:p>
      <w:pPr>
        <w:keepNext w:val="0"/>
        <w:keepLines w:val="0"/>
        <w:pageBreakBefore w:val="0"/>
        <w:numPr>
          <w:ilvl w:val="0"/>
          <w:numId w:val="1"/>
        </w:numPr>
        <w:kinsoku/>
        <w:wordWrap/>
        <w:overflowPunct/>
        <w:topLinePunct w:val="0"/>
        <w:autoSpaceDE w:val="0"/>
        <w:autoSpaceDN/>
        <w:bidi w:val="0"/>
        <w:adjustRightInd/>
        <w:spacing w:line="520" w:lineRule="exact"/>
        <w:ind w:left="0" w:leftChars="0" w:right="0" w:rightChars="0" w:firstLine="640"/>
        <w:jc w:val="both"/>
        <w:textAlignment w:val="auto"/>
        <w:rPr>
          <w:rFonts w:hint="eastAsia" w:ascii="仿宋_GB2312" w:hAnsi="仿宋" w:eastAsia="仿宋_GB2312" w:cs="Times New Roman"/>
          <w:sz w:val="32"/>
          <w:szCs w:val="32"/>
          <w:lang w:val="en-US" w:eastAsia="zh-CN"/>
        </w:rPr>
      </w:pPr>
      <w:r>
        <w:rPr>
          <w:rFonts w:hint="eastAsia" w:ascii="楷体" w:hAnsi="楷体" w:eastAsia="楷体" w:cs="楷体"/>
          <w:sz w:val="32"/>
          <w:szCs w:val="32"/>
          <w:lang w:eastAsia="zh-CN"/>
        </w:rPr>
        <w:t>主动公开</w:t>
      </w:r>
      <w:r>
        <w:rPr>
          <w:rFonts w:hint="eastAsia" w:ascii="楷体" w:hAnsi="楷体" w:eastAsia="楷体" w:cs="楷体"/>
          <w:sz w:val="32"/>
          <w:szCs w:val="32"/>
          <w:lang w:val="en-US" w:eastAsia="zh-CN"/>
        </w:rPr>
        <w:t>方面</w:t>
      </w:r>
      <w:r>
        <w:rPr>
          <w:rFonts w:hint="eastAsia" w:ascii="楷体" w:hAnsi="楷体" w:eastAsia="楷体" w:cs="楷体"/>
          <w:sz w:val="32"/>
          <w:szCs w:val="32"/>
        </w:rPr>
        <w:t>。</w:t>
      </w:r>
      <w:r>
        <w:rPr>
          <w:rFonts w:hint="eastAsia" w:hAnsi="Times New Roman" w:cs="Times New Roman"/>
          <w:lang w:val="en-US" w:eastAsia="zh-CN"/>
        </w:rPr>
        <w:t>积极贯彻落实《中华人民共和国政府信息公开条例》及有关文件精神，</w:t>
      </w:r>
      <w:r>
        <w:rPr>
          <w:rFonts w:hint="eastAsia"/>
          <w:lang w:val="en-US" w:eastAsia="zh-CN"/>
        </w:rPr>
        <w:t>在保定市莲池区人民政府网事前公示、河北省行政执法公示平台公示执法事项和执法信息、执法流程、</w:t>
      </w:r>
      <w:bookmarkStart w:id="0" w:name="_GoBack"/>
      <w:bookmarkEnd w:id="0"/>
      <w:r>
        <w:rPr>
          <w:rFonts w:hint="eastAsia"/>
          <w:lang w:val="en-US" w:eastAsia="zh-CN"/>
        </w:rPr>
        <w:t>行政权力清单等内容</w:t>
      </w:r>
      <w:r>
        <w:rPr>
          <w:rFonts w:hint="eastAsia" w:ascii="仿宋_GB2312" w:hAnsi="仿宋_GB2312" w:eastAsia="仿宋_GB2312" w:cs="仿宋_GB2312"/>
          <w:color w:val="auto"/>
          <w:sz w:val="32"/>
          <w:szCs w:val="32"/>
          <w:lang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left="0" w:leftChars="0" w:right="0" w:rightChars="0" w:firstLine="640" w:firstLineChars="0"/>
        <w:jc w:val="both"/>
        <w:textAlignment w:val="auto"/>
        <w:rPr>
          <w:rFonts w:hint="eastAsia" w:ascii="仿宋_GB2312" w:hAnsi="仿宋_GB2312" w:eastAsia="仿宋_GB2312" w:cs="仿宋_GB2312"/>
          <w:i w:val="0"/>
          <w:caps w:val="0"/>
          <w:color w:val="000000"/>
          <w:spacing w:val="0"/>
          <w:sz w:val="32"/>
          <w:szCs w:val="32"/>
          <w:shd w:val="clear" w:color="auto" w:fill="FFFFFF"/>
          <w:lang w:eastAsia="zh-CN"/>
        </w:rPr>
      </w:pPr>
      <w:r>
        <w:rPr>
          <w:rFonts w:hint="eastAsia" w:ascii="楷体" w:hAnsi="楷体" w:eastAsia="楷体" w:cs="楷体"/>
          <w:b w:val="0"/>
          <w:bCs w:val="0"/>
          <w:sz w:val="32"/>
          <w:szCs w:val="32"/>
        </w:rPr>
        <w:t>依申</w:t>
      </w:r>
      <w:r>
        <w:rPr>
          <w:rFonts w:hint="eastAsia" w:ascii="楷体" w:hAnsi="楷体" w:eastAsia="楷体" w:cs="楷体"/>
          <w:b w:val="0"/>
          <w:bCs w:val="0"/>
          <w:sz w:val="32"/>
          <w:szCs w:val="32"/>
          <w:lang w:val="en-US" w:eastAsia="zh-CN"/>
        </w:rPr>
        <w:t>请公开方面。</w:t>
      </w:r>
      <w:r>
        <w:rPr>
          <w:rFonts w:hint="eastAsia" w:ascii="仿宋_GB2312" w:hAnsi="仿宋_GB2312" w:eastAsia="仿宋_GB2312" w:cs="仿宋_GB2312"/>
          <w:i w:val="0"/>
          <w:caps w:val="0"/>
          <w:color w:val="000000"/>
          <w:spacing w:val="0"/>
          <w:sz w:val="32"/>
          <w:szCs w:val="32"/>
          <w:shd w:val="clear" w:color="auto" w:fill="FFFFFF"/>
          <w:lang w:val="en-US" w:eastAsia="zh-CN"/>
        </w:rPr>
        <w:t>严格按照《中华人民共和国政府信息公开条例》、《河北省政府信息公开申请办理规范》，进一步规范依申请公开工作，建立健全接收、登记、办理、答复等业务流程，</w:t>
      </w:r>
      <w:r>
        <w:rPr>
          <w:rFonts w:hint="eastAsia" w:hAnsi="仿宋_GB2312" w:cs="仿宋_GB2312"/>
          <w:i w:val="0"/>
          <w:caps w:val="0"/>
          <w:color w:val="000000"/>
          <w:spacing w:val="0"/>
          <w:sz w:val="32"/>
          <w:szCs w:val="32"/>
          <w:shd w:val="clear" w:color="auto" w:fill="FFFFFF"/>
          <w:lang w:val="en-US" w:eastAsia="zh-CN"/>
        </w:rPr>
        <w:t>受理信函、当面、网络等多种政府信息公开申请方式，</w:t>
      </w:r>
      <w:r>
        <w:rPr>
          <w:rFonts w:hint="eastAsia" w:ascii="仿宋_GB2312" w:hAnsi="仿宋_GB2312" w:eastAsia="仿宋_GB2312" w:cs="仿宋_GB2312"/>
          <w:i w:val="0"/>
          <w:caps w:val="0"/>
          <w:color w:val="000000"/>
          <w:spacing w:val="0"/>
          <w:sz w:val="32"/>
          <w:szCs w:val="32"/>
          <w:shd w:val="clear" w:color="auto" w:fill="FFFFFF"/>
          <w:lang w:val="en-US" w:eastAsia="zh-CN"/>
        </w:rPr>
        <w:t>对收到的依申请公开事项均严格按照条例规定进行答复处理。</w:t>
      </w:r>
      <w:r>
        <w:rPr>
          <w:rFonts w:hint="eastAsia" w:ascii="仿宋_GB2312" w:hAnsi="仿宋_GB2312" w:eastAsia="仿宋_GB2312" w:cs="仿宋_GB2312"/>
          <w:i w:val="0"/>
          <w:caps w:val="0"/>
          <w:color w:val="000000"/>
          <w:spacing w:val="0"/>
          <w:sz w:val="32"/>
          <w:szCs w:val="32"/>
          <w:highlight w:val="none"/>
          <w:shd w:val="clear" w:color="auto" w:fill="FFFFFF"/>
          <w:lang w:val="en-US" w:eastAsia="zh-CN"/>
        </w:rPr>
        <w:t>202</w:t>
      </w:r>
      <w:r>
        <w:rPr>
          <w:rFonts w:hint="eastAsia" w:hAnsi="仿宋_GB2312" w:cs="仿宋_GB2312"/>
          <w:i w:val="0"/>
          <w:caps w:val="0"/>
          <w:color w:val="000000"/>
          <w:spacing w:val="0"/>
          <w:sz w:val="32"/>
          <w:szCs w:val="32"/>
          <w:highlight w:val="none"/>
          <w:shd w:val="clear" w:color="auto" w:fill="FFFFFF"/>
          <w:lang w:val="en-US" w:eastAsia="zh-CN"/>
        </w:rPr>
        <w:t>5</w:t>
      </w:r>
      <w:r>
        <w:rPr>
          <w:rFonts w:hint="eastAsia" w:ascii="仿宋_GB2312" w:hAnsi="仿宋_GB2312" w:eastAsia="仿宋_GB2312" w:cs="仿宋_GB2312"/>
          <w:i w:val="0"/>
          <w:caps w:val="0"/>
          <w:color w:val="000000"/>
          <w:spacing w:val="0"/>
          <w:sz w:val="32"/>
          <w:szCs w:val="32"/>
          <w:highlight w:val="none"/>
          <w:shd w:val="clear" w:color="auto" w:fill="FFFFFF"/>
          <w:lang w:val="en-US" w:eastAsia="zh-CN"/>
        </w:rPr>
        <w:t>年共收到依申请公开</w:t>
      </w:r>
      <w:r>
        <w:rPr>
          <w:rFonts w:hint="eastAsia" w:hAnsi="仿宋_GB2312" w:cs="仿宋_GB2312"/>
          <w:i w:val="0"/>
          <w:caps w:val="0"/>
          <w:color w:val="000000"/>
          <w:spacing w:val="0"/>
          <w:sz w:val="32"/>
          <w:szCs w:val="32"/>
          <w:highlight w:val="none"/>
          <w:shd w:val="clear" w:color="auto" w:fill="FFFFFF"/>
          <w:lang w:val="en-US" w:eastAsia="zh-CN"/>
        </w:rPr>
        <w:t>59</w:t>
      </w:r>
      <w:r>
        <w:rPr>
          <w:rFonts w:hint="eastAsia" w:ascii="仿宋_GB2312" w:hAnsi="仿宋_GB2312" w:eastAsia="仿宋_GB2312" w:cs="仿宋_GB2312"/>
          <w:i w:val="0"/>
          <w:caps w:val="0"/>
          <w:color w:val="000000"/>
          <w:spacing w:val="0"/>
          <w:sz w:val="32"/>
          <w:szCs w:val="32"/>
          <w:highlight w:val="none"/>
          <w:shd w:val="clear" w:color="auto" w:fill="FFFFFF"/>
          <w:lang w:val="en-US" w:eastAsia="zh-CN"/>
        </w:rPr>
        <w:t>件，其中信函申请</w:t>
      </w:r>
      <w:r>
        <w:rPr>
          <w:rFonts w:hint="eastAsia" w:hAnsi="仿宋_GB2312" w:cs="仿宋_GB2312"/>
          <w:i w:val="0"/>
          <w:caps w:val="0"/>
          <w:color w:val="000000"/>
          <w:spacing w:val="0"/>
          <w:sz w:val="32"/>
          <w:szCs w:val="32"/>
          <w:highlight w:val="none"/>
          <w:shd w:val="clear" w:color="auto" w:fill="FFFFFF"/>
          <w:lang w:val="en-US" w:eastAsia="zh-CN"/>
        </w:rPr>
        <w:t>53</w:t>
      </w:r>
      <w:r>
        <w:rPr>
          <w:rFonts w:hint="eastAsia" w:ascii="仿宋_GB2312" w:hAnsi="仿宋_GB2312" w:eastAsia="仿宋_GB2312" w:cs="仿宋_GB2312"/>
          <w:i w:val="0"/>
          <w:caps w:val="0"/>
          <w:color w:val="000000"/>
          <w:spacing w:val="0"/>
          <w:sz w:val="32"/>
          <w:szCs w:val="32"/>
          <w:highlight w:val="none"/>
          <w:shd w:val="clear" w:color="auto" w:fill="FFFFFF"/>
          <w:lang w:val="en-US" w:eastAsia="zh-CN"/>
        </w:rPr>
        <w:t>件，</w:t>
      </w:r>
      <w:r>
        <w:rPr>
          <w:rFonts w:hint="eastAsia" w:hAnsi="仿宋_GB2312" w:cs="仿宋_GB2312"/>
          <w:i w:val="0"/>
          <w:caps w:val="0"/>
          <w:color w:val="000000"/>
          <w:spacing w:val="0"/>
          <w:sz w:val="32"/>
          <w:szCs w:val="32"/>
          <w:highlight w:val="none"/>
          <w:shd w:val="clear" w:color="auto" w:fill="FFFFFF"/>
          <w:lang w:val="en-US" w:eastAsia="zh-CN"/>
        </w:rPr>
        <w:t>在线申请1件，当面申请5件。</w:t>
      </w:r>
      <w:r>
        <w:rPr>
          <w:rFonts w:hint="eastAsia" w:ascii="仿宋_GB2312" w:hAnsi="仿宋_GB2312" w:eastAsia="仿宋_GB2312" w:cs="仿宋_GB2312"/>
          <w:i w:val="0"/>
          <w:caps w:val="0"/>
          <w:color w:val="000000"/>
          <w:spacing w:val="0"/>
          <w:sz w:val="32"/>
          <w:szCs w:val="32"/>
          <w:highlight w:val="none"/>
          <w:shd w:val="clear" w:color="auto" w:fill="FFFFFF"/>
          <w:lang w:val="en-US" w:eastAsia="zh-CN"/>
        </w:rPr>
        <w:t>当年办结</w:t>
      </w:r>
      <w:r>
        <w:rPr>
          <w:rFonts w:hint="eastAsia" w:hAnsi="仿宋_GB2312" w:cs="仿宋_GB2312"/>
          <w:i w:val="0"/>
          <w:caps w:val="0"/>
          <w:color w:val="000000"/>
          <w:spacing w:val="0"/>
          <w:sz w:val="32"/>
          <w:szCs w:val="32"/>
          <w:highlight w:val="none"/>
          <w:shd w:val="clear" w:color="auto" w:fill="FFFFFF"/>
          <w:lang w:val="en-US" w:eastAsia="zh-CN"/>
        </w:rPr>
        <w:t>52</w:t>
      </w:r>
      <w:r>
        <w:rPr>
          <w:rFonts w:hint="eastAsia" w:ascii="仿宋_GB2312" w:hAnsi="仿宋_GB2312" w:eastAsia="仿宋_GB2312" w:cs="仿宋_GB2312"/>
          <w:i w:val="0"/>
          <w:caps w:val="0"/>
          <w:color w:val="000000"/>
          <w:spacing w:val="0"/>
          <w:sz w:val="32"/>
          <w:szCs w:val="32"/>
          <w:highlight w:val="none"/>
          <w:shd w:val="clear" w:color="auto" w:fill="FFFFFF"/>
          <w:lang w:val="en-US" w:eastAsia="zh-CN"/>
        </w:rPr>
        <w:t>件，结转下一年</w:t>
      </w:r>
      <w:r>
        <w:rPr>
          <w:rFonts w:hint="eastAsia" w:hAnsi="仿宋_GB2312" w:cs="仿宋_GB2312"/>
          <w:i w:val="0"/>
          <w:caps w:val="0"/>
          <w:color w:val="000000"/>
          <w:spacing w:val="0"/>
          <w:sz w:val="32"/>
          <w:szCs w:val="32"/>
          <w:highlight w:val="none"/>
          <w:shd w:val="clear" w:color="auto" w:fill="FFFFFF"/>
          <w:lang w:val="en-US" w:eastAsia="zh-CN"/>
        </w:rPr>
        <w:t>7</w:t>
      </w:r>
      <w:r>
        <w:rPr>
          <w:rFonts w:hint="eastAsia" w:ascii="仿宋_GB2312" w:hAnsi="仿宋_GB2312" w:eastAsia="仿宋_GB2312" w:cs="仿宋_GB2312"/>
          <w:i w:val="0"/>
          <w:caps w:val="0"/>
          <w:color w:val="000000"/>
          <w:spacing w:val="0"/>
          <w:sz w:val="32"/>
          <w:szCs w:val="32"/>
          <w:highlight w:val="none"/>
          <w:shd w:val="clear" w:color="auto" w:fill="FFFFFF"/>
          <w:lang w:val="en-US" w:eastAsia="zh-CN"/>
        </w:rPr>
        <w:t>件，</w:t>
      </w:r>
      <w:r>
        <w:rPr>
          <w:rFonts w:hint="eastAsia" w:ascii="仿宋_GB2312" w:hAnsi="仿宋_GB2312" w:eastAsia="仿宋_GB2312" w:cs="仿宋_GB2312"/>
          <w:i w:val="0"/>
          <w:caps w:val="0"/>
          <w:color w:val="000000"/>
          <w:spacing w:val="0"/>
          <w:sz w:val="32"/>
          <w:szCs w:val="32"/>
          <w:shd w:val="clear" w:color="auto" w:fill="FFFFFF"/>
          <w:lang w:val="en-US" w:eastAsia="zh-CN"/>
        </w:rPr>
        <w:t>答复时限、答复形式、答复内容都符合相关要求。</w:t>
      </w:r>
    </w:p>
    <w:p>
      <w:pPr>
        <w:keepNext w:val="0"/>
        <w:keepLines w:val="0"/>
        <w:pageBreakBefore w:val="0"/>
        <w:widowControl/>
        <w:suppressLineNumbers w:val="0"/>
        <w:kinsoku/>
        <w:wordWrap/>
        <w:overflowPunct/>
        <w:topLinePunct w:val="0"/>
        <w:autoSpaceDN/>
        <w:bidi w:val="0"/>
        <w:adjustRightInd/>
        <w:spacing w:line="520" w:lineRule="exact"/>
        <w:ind w:firstLine="640" w:firstLineChars="200"/>
        <w:jc w:val="left"/>
        <w:textAlignment w:val="auto"/>
        <w:rPr>
          <w:rFonts w:hint="eastAsia" w:ascii="仿宋_GB2312" w:hAnsi="仿宋_GB2312" w:eastAsia="仿宋_GB2312" w:cs="仿宋_GB2312"/>
          <w:i w:val="0"/>
          <w:caps w:val="0"/>
          <w:color w:val="000000"/>
          <w:spacing w:val="0"/>
          <w:sz w:val="32"/>
          <w:szCs w:val="32"/>
          <w:shd w:val="clear" w:color="auto" w:fill="FFFFFF"/>
          <w:lang w:val="en-US" w:eastAsia="zh-CN"/>
        </w:rPr>
      </w:pPr>
      <w:r>
        <w:rPr>
          <w:rFonts w:hint="eastAsia" w:ascii="楷体" w:hAnsi="楷体" w:eastAsia="楷体" w:cs="楷体"/>
          <w:b w:val="0"/>
          <w:bCs/>
          <w:i w:val="0"/>
          <w:iCs w:val="0"/>
          <w:caps w:val="0"/>
          <w:color w:val="000000"/>
          <w:spacing w:val="0"/>
          <w:kern w:val="0"/>
          <w:sz w:val="32"/>
          <w:szCs w:val="32"/>
          <w:shd w:val="clear" w:color="auto" w:fill="FFFFFF"/>
          <w:lang w:val="en-US" w:eastAsia="zh-CN" w:bidi="ar"/>
        </w:rPr>
        <w:t>（三）</w:t>
      </w:r>
      <w:r>
        <w:rPr>
          <w:rFonts w:hint="eastAsia" w:ascii="楷体" w:hAnsi="楷体" w:eastAsia="楷体" w:cs="楷体"/>
          <w:b w:val="0"/>
          <w:bCs/>
          <w:i w:val="0"/>
          <w:caps w:val="0"/>
          <w:color w:val="000000"/>
          <w:spacing w:val="0"/>
          <w:sz w:val="32"/>
          <w:szCs w:val="32"/>
          <w:shd w:val="clear" w:color="auto" w:fill="FFFFFF"/>
          <w:lang w:val="en-US" w:eastAsia="zh-CN"/>
        </w:rPr>
        <w:t>政府信息管理方面。</w:t>
      </w:r>
      <w:r>
        <w:rPr>
          <w:rFonts w:hint="eastAsia" w:ascii="仿宋_GB2312" w:hAnsi="仿宋" w:eastAsia="仿宋_GB2312" w:cs="Times New Roman"/>
          <w:bCs/>
          <w:sz w:val="32"/>
          <w:szCs w:val="32"/>
          <w:lang w:val="en-US" w:eastAsia="zh-CN"/>
        </w:rPr>
        <w:t>及时在区政府网站</w:t>
      </w:r>
      <w:r>
        <w:rPr>
          <w:rFonts w:hint="eastAsia" w:ascii="仿宋_GB2312" w:hAnsi="仿宋_GB2312" w:eastAsia="仿宋_GB2312" w:cs="仿宋_GB2312"/>
          <w:b w:val="0"/>
          <w:bCs/>
          <w:color w:val="auto"/>
          <w:sz w:val="32"/>
          <w:szCs w:val="32"/>
          <w:lang w:val="en-US" w:eastAsia="zh-CN"/>
        </w:rPr>
        <w:t>调整更新</w:t>
      </w:r>
      <w:r>
        <w:rPr>
          <w:rFonts w:hint="eastAsia" w:hAnsi="仿宋_GB2312" w:cs="仿宋_GB2312"/>
          <w:b w:val="0"/>
          <w:bCs/>
          <w:color w:val="auto"/>
          <w:sz w:val="32"/>
          <w:szCs w:val="32"/>
          <w:lang w:val="en-US" w:eastAsia="zh-CN"/>
        </w:rPr>
        <w:t>本单位的</w:t>
      </w:r>
      <w:r>
        <w:rPr>
          <w:rFonts w:hint="eastAsia" w:hAnsi="仿宋" w:cs="Times New Roman"/>
          <w:bCs/>
          <w:sz w:val="32"/>
          <w:szCs w:val="32"/>
          <w:lang w:val="en-US" w:eastAsia="zh-CN"/>
        </w:rPr>
        <w:t>行政权力清单</w:t>
      </w:r>
      <w:r>
        <w:rPr>
          <w:rFonts w:hint="eastAsia" w:ascii="仿宋_GB2312" w:hAnsi="仿宋" w:eastAsia="仿宋_GB2312" w:cs="Times New Roman"/>
          <w:bCs/>
          <w:sz w:val="32"/>
          <w:szCs w:val="32"/>
          <w:lang w:val="en-US" w:eastAsia="zh-CN"/>
        </w:rPr>
        <w:t>、</w:t>
      </w:r>
      <w:r>
        <w:rPr>
          <w:rFonts w:hint="eastAsia" w:hAnsi="仿宋" w:cs="Times New Roman"/>
          <w:bCs/>
          <w:sz w:val="32"/>
          <w:szCs w:val="32"/>
          <w:lang w:val="en-US" w:eastAsia="zh-CN"/>
        </w:rPr>
        <w:t>权责清单和重大行政执法决定法制审核办法、流程图、违法案件查处程序流程图等信息</w:t>
      </w:r>
      <w:r>
        <w:rPr>
          <w:rFonts w:hint="eastAsia" w:ascii="仿宋_GB2312" w:hAnsi="仿宋" w:eastAsia="仿宋_GB2312" w:cs="Times New Roman"/>
          <w:bCs/>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lang w:val="en-US" w:eastAsia="zh-CN"/>
        </w:rPr>
      </w:pPr>
      <w:r>
        <w:rPr>
          <w:rFonts w:hint="eastAsia" w:ascii="楷体" w:hAnsi="楷体" w:eastAsia="楷体" w:cs="楷体"/>
          <w:b w:val="0"/>
          <w:bCs/>
          <w:i w:val="0"/>
          <w:iCs w:val="0"/>
          <w:caps w:val="0"/>
          <w:color w:val="000000"/>
          <w:spacing w:val="0"/>
          <w:kern w:val="0"/>
          <w:sz w:val="32"/>
          <w:szCs w:val="32"/>
          <w:shd w:val="clear" w:color="auto" w:fill="FFFFFF"/>
          <w:lang w:val="en-US" w:eastAsia="zh-CN" w:bidi="ar"/>
        </w:rPr>
        <w:t>（四）政府信息</w:t>
      </w:r>
      <w:r>
        <w:rPr>
          <w:rFonts w:hint="eastAsia" w:ascii="楷体" w:hAnsi="楷体" w:eastAsia="楷体" w:cs="楷体"/>
          <w:b w:val="0"/>
          <w:bCs/>
          <w:sz w:val="32"/>
          <w:szCs w:val="32"/>
        </w:rPr>
        <w:t>平台建设</w:t>
      </w:r>
      <w:r>
        <w:rPr>
          <w:rFonts w:hint="eastAsia" w:ascii="楷体" w:hAnsi="楷体" w:eastAsia="楷体" w:cs="楷体"/>
          <w:b w:val="0"/>
          <w:bCs/>
          <w:sz w:val="32"/>
          <w:szCs w:val="32"/>
          <w:lang w:eastAsia="zh-CN"/>
        </w:rPr>
        <w:t>方面</w:t>
      </w:r>
      <w:r>
        <w:rPr>
          <w:rFonts w:hint="eastAsia" w:ascii="楷体" w:hAnsi="楷体" w:eastAsia="楷体" w:cs="楷体"/>
          <w:b w:val="0"/>
          <w:bCs/>
          <w:sz w:val="32"/>
          <w:szCs w:val="32"/>
        </w:rPr>
        <w:t>。</w:t>
      </w:r>
      <w:r>
        <w:rPr>
          <w:rFonts w:hint="eastAsia" w:hAnsi="Times New Roman" w:cs="Times New Roman"/>
          <w:lang w:val="en-US" w:eastAsia="zh-CN"/>
        </w:rPr>
        <w:t>依托区政府门户网站，及时发布土地征收、不动产首次登记等各类信息，</w:t>
      </w:r>
      <w:r>
        <w:rPr>
          <w:rFonts w:hint="eastAsia"/>
          <w:lang w:val="en-US" w:eastAsia="zh-CN"/>
        </w:rPr>
        <w:t>积极认真履行信息发布审核制度，确保信息发布准确安全。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i w:val="0"/>
          <w:caps w:val="0"/>
          <w:color w:val="000000"/>
          <w:spacing w:val="0"/>
          <w:sz w:val="32"/>
          <w:szCs w:val="32"/>
          <w:shd w:val="clear" w:color="auto" w:fill="FFFFFF"/>
          <w:lang w:val="en-US" w:eastAsia="zh-CN"/>
        </w:rPr>
      </w:pPr>
      <w:r>
        <w:rPr>
          <w:rFonts w:hint="eastAsia" w:ascii="楷体" w:hAnsi="楷体" w:eastAsia="楷体" w:cs="楷体"/>
          <w:b w:val="0"/>
          <w:bCs/>
          <w:i w:val="0"/>
          <w:iCs w:val="0"/>
          <w:caps w:val="0"/>
          <w:color w:val="000000"/>
          <w:spacing w:val="0"/>
          <w:kern w:val="0"/>
          <w:sz w:val="32"/>
          <w:szCs w:val="32"/>
          <w:shd w:val="clear" w:color="auto" w:fill="FFFFFF"/>
          <w:lang w:val="en-US" w:eastAsia="zh-CN" w:bidi="ar"/>
        </w:rPr>
        <w:t>（五）监督保障方面</w:t>
      </w:r>
      <w:r>
        <w:rPr>
          <w:rFonts w:hint="eastAsia" w:ascii="楷体" w:hAnsi="楷体" w:eastAsia="楷体" w:cs="楷体"/>
          <w:b w:val="0"/>
          <w:bCs/>
          <w:kern w:val="2"/>
          <w:sz w:val="32"/>
          <w:szCs w:val="32"/>
          <w:lang w:val="en-US" w:eastAsia="zh-CN" w:bidi="ar-SA"/>
        </w:rPr>
        <w:t>。</w:t>
      </w:r>
      <w:r>
        <w:rPr>
          <w:rFonts w:hint="eastAsia"/>
          <w:lang w:val="en-US" w:eastAsia="zh-CN"/>
        </w:rPr>
        <w:t>根据《中华人民共和国保守国家秘密法》和《中华人民共和国政府信息公开条例》的规定，按照“谁公开、谁审查、谁负责”和“涉密的不公开、公开的不涉密”原则，对拟发布信息内容的准确性、完整性、时效性以及是否涉密进行把关，避免出现信息发布泄密、失信、影响社会稳定等问题。</w:t>
      </w:r>
    </w:p>
    <w:p>
      <w:pPr>
        <w:pStyle w:val="3"/>
        <w:shd w:val="clear" w:color="auto" w:fill="FFFFFF"/>
        <w:spacing w:before="0" w:beforeAutospacing="0" w:after="240" w:afterAutospacing="0"/>
        <w:ind w:firstLine="420"/>
        <w:jc w:val="both"/>
        <w:rPr>
          <w:rFonts w:hint="eastAsia" w:ascii="黑体" w:hAnsi="黑体" w:eastAsia="黑体" w:cs="宋体"/>
          <w:color w:val="000000"/>
          <w:kern w:val="0"/>
          <w:sz w:val="32"/>
          <w:szCs w:val="32"/>
        </w:rPr>
      </w:pPr>
      <w:r>
        <w:rPr>
          <w:rFonts w:hint="eastAsia" w:ascii="黑体" w:hAnsi="黑体" w:eastAsia="黑体" w:cs="黑体"/>
          <w:b/>
          <w:color w:val="333333"/>
          <w:sz w:val="32"/>
          <w:szCs w:val="32"/>
          <w:shd w:val="clear" w:color="auto" w:fill="FFFFFF"/>
        </w:rPr>
        <w:t>二、主动公开政府信息情况</w:t>
      </w:r>
    </w:p>
    <w:tbl>
      <w:tblPr>
        <w:tblStyle w:val="4"/>
        <w:tblW w:w="97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2435"/>
        <w:gridCol w:w="2435"/>
        <w:gridCol w:w="2435"/>
        <w:gridCol w:w="243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9740" w:type="dxa"/>
            <w:gridSpan w:val="4"/>
            <w:tcBorders>
              <w:top w:val="single" w:color="auto" w:sz="8" w:space="0"/>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第二十条第（一）项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信息内容</w:t>
            </w:r>
          </w:p>
        </w:tc>
        <w:tc>
          <w:tcPr>
            <w:tcW w:w="2435"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本年</w:t>
            </w:r>
            <w:r>
              <w:rPr>
                <w:rFonts w:hint="eastAsia" w:ascii="宋体" w:hAnsi="宋体" w:eastAsia="宋体" w:cs="宋体"/>
                <w:kern w:val="0"/>
                <w:sz w:val="20"/>
                <w:szCs w:val="20"/>
                <w:lang w:val="en-US" w:eastAsia="zh-CN" w:bidi="ar"/>
              </w:rPr>
              <w:t>制发件数</w:t>
            </w:r>
          </w:p>
        </w:tc>
        <w:tc>
          <w:tcPr>
            <w:tcW w:w="2435"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本年废止件数</w:t>
            </w:r>
          </w:p>
        </w:tc>
        <w:tc>
          <w:tcPr>
            <w:tcW w:w="2435"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现行有效件</w:t>
            </w:r>
            <w:r>
              <w:rPr>
                <w:rFonts w:hint="eastAsia" w:ascii="宋体" w:hAnsi="宋体" w:eastAsia="宋体" w:cs="宋体"/>
                <w:kern w:val="0"/>
                <w:sz w:val="20"/>
                <w:szCs w:val="20"/>
                <w:lang w:val="en-US" w:eastAsia="zh-CN" w:bidi="ar"/>
              </w:rPr>
              <w:t>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规章</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0</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0</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行政规范性文件</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color w:val="000000"/>
                <w:kern w:val="0"/>
                <w:sz w:val="24"/>
                <w:szCs w:val="24"/>
                <w:lang w:val="en-US" w:eastAsia="zh-CN" w:bidi="ar"/>
              </w:rPr>
              <w:t>0</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0</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第二十条第（五）项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信息内容</w:t>
            </w:r>
          </w:p>
        </w:tc>
        <w:tc>
          <w:tcPr>
            <w:tcW w:w="7305" w:type="dxa"/>
            <w:gridSpan w:val="3"/>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本年处理决定数量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行政许可</w:t>
            </w:r>
          </w:p>
        </w:tc>
        <w:tc>
          <w:tcPr>
            <w:tcW w:w="7305" w:type="dxa"/>
            <w:gridSpan w:val="3"/>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第二十条第（六）项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0"/>
              <w:jc w:val="center"/>
              <w:textAlignment w:val="auto"/>
            </w:pPr>
            <w:r>
              <w:rPr>
                <w:rFonts w:hint="eastAsia" w:ascii="宋体" w:hAnsi="宋体" w:eastAsia="宋体" w:cs="宋体"/>
                <w:color w:val="000000"/>
                <w:kern w:val="0"/>
                <w:sz w:val="20"/>
                <w:szCs w:val="20"/>
                <w:lang w:val="en-US" w:eastAsia="zh-CN" w:bidi="ar"/>
              </w:rPr>
              <w:t>信息内容</w:t>
            </w:r>
          </w:p>
        </w:tc>
        <w:tc>
          <w:tcPr>
            <w:tcW w:w="7305" w:type="dxa"/>
            <w:gridSpan w:val="3"/>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0"/>
              <w:jc w:val="center"/>
              <w:textAlignment w:val="auto"/>
            </w:pPr>
            <w:r>
              <w:rPr>
                <w:rFonts w:hint="eastAsia" w:ascii="宋体" w:hAnsi="宋体" w:eastAsia="宋体" w:cs="宋体"/>
                <w:color w:val="000000"/>
                <w:kern w:val="0"/>
                <w:sz w:val="20"/>
                <w:szCs w:val="20"/>
                <w:lang w:val="en-US" w:eastAsia="zh-CN" w:bidi="ar"/>
              </w:rPr>
              <w:t>本年处理决定数量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行政处罚</w:t>
            </w:r>
          </w:p>
        </w:tc>
        <w:tc>
          <w:tcPr>
            <w:tcW w:w="7305" w:type="dxa"/>
            <w:gridSpan w:val="3"/>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sz w:val="24"/>
                <w:szCs w:val="24"/>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行政强制</w:t>
            </w:r>
          </w:p>
        </w:tc>
        <w:tc>
          <w:tcPr>
            <w:tcW w:w="7305" w:type="dxa"/>
            <w:gridSpan w:val="3"/>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sz w:val="24"/>
                <w:szCs w:val="24"/>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第二十条第（八）项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信息内容</w:t>
            </w:r>
          </w:p>
        </w:tc>
        <w:tc>
          <w:tcPr>
            <w:tcW w:w="7305" w:type="dxa"/>
            <w:gridSpan w:val="3"/>
            <w:tcBorders>
              <w:top w:val="nil"/>
              <w:left w:val="nil"/>
              <w:bottom w:val="single" w:color="auto" w:sz="8" w:space="0"/>
              <w:right w:val="single" w:color="000000"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本年收费金额（单位：万元）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行政事业性收费</w:t>
            </w:r>
          </w:p>
        </w:tc>
        <w:tc>
          <w:tcPr>
            <w:tcW w:w="7305" w:type="dxa"/>
            <w:gridSpan w:val="3"/>
            <w:tcBorders>
              <w:top w:val="nil"/>
              <w:left w:val="nil"/>
              <w:bottom w:val="single" w:color="auto" w:sz="8" w:space="0"/>
              <w:right w:val="single" w:color="000000"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r>
    </w:tbl>
    <w:p>
      <w:pPr>
        <w:keepNext w:val="0"/>
        <w:keepLines w:val="0"/>
        <w:pageBreakBefore w:val="0"/>
        <w:widowControl/>
        <w:shd w:val="clear" w:color="auto" w:fill="FFFFFF"/>
        <w:kinsoku/>
        <w:wordWrap/>
        <w:overflowPunct/>
        <w:topLinePunct w:val="0"/>
        <w:autoSpaceDE/>
        <w:autoSpaceDN/>
        <w:bidi w:val="0"/>
        <w:adjustRightInd/>
        <w:snapToGrid/>
        <w:spacing w:line="360" w:lineRule="atLeast"/>
        <w:ind w:firstLine="640" w:firstLineChars="200"/>
        <w:textAlignment w:val="auto"/>
        <w:rPr>
          <w:rFonts w:ascii="黑体" w:hAnsi="黑体" w:eastAsia="黑体" w:cs="宋体"/>
          <w:color w:val="000000"/>
          <w:kern w:val="0"/>
          <w:sz w:val="32"/>
          <w:szCs w:val="32"/>
        </w:rPr>
      </w:pPr>
    </w:p>
    <w:p>
      <w:pPr>
        <w:keepNext w:val="0"/>
        <w:keepLines w:val="0"/>
        <w:pageBreakBefore w:val="0"/>
        <w:widowControl/>
        <w:shd w:val="clear" w:color="auto" w:fill="FFFFFF"/>
        <w:kinsoku/>
        <w:wordWrap/>
        <w:overflowPunct/>
        <w:topLinePunct w:val="0"/>
        <w:autoSpaceDE/>
        <w:autoSpaceDN/>
        <w:bidi w:val="0"/>
        <w:adjustRightInd/>
        <w:snapToGrid/>
        <w:spacing w:line="360" w:lineRule="atLeast"/>
        <w:ind w:firstLine="640" w:firstLineChars="200"/>
        <w:textAlignment w:val="auto"/>
        <w:rPr>
          <w:rFonts w:ascii="黑体" w:hAnsi="黑体" w:eastAsia="黑体" w:cs="宋体"/>
          <w:color w:val="000000"/>
          <w:kern w:val="0"/>
          <w:sz w:val="32"/>
          <w:szCs w:val="32"/>
          <w:highlight w:val="none"/>
        </w:rPr>
      </w:pPr>
      <w:r>
        <w:rPr>
          <w:rFonts w:ascii="黑体" w:hAnsi="黑体" w:eastAsia="黑体" w:cs="宋体"/>
          <w:color w:val="000000"/>
          <w:kern w:val="0"/>
          <w:sz w:val="32"/>
          <w:szCs w:val="32"/>
          <w:highlight w:val="none"/>
        </w:rPr>
        <w:t>三、收到和处理政府信息公开申请情况</w:t>
      </w:r>
    </w:p>
    <w:tbl>
      <w:tblPr>
        <w:tblStyle w:val="4"/>
        <w:tblW w:w="974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765"/>
        <w:gridCol w:w="942"/>
        <w:gridCol w:w="3208"/>
        <w:gridCol w:w="698"/>
        <w:gridCol w:w="687"/>
        <w:gridCol w:w="687"/>
        <w:gridCol w:w="687"/>
        <w:gridCol w:w="689"/>
        <w:gridCol w:w="687"/>
        <w:gridCol w:w="698"/>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4915" w:type="dxa"/>
            <w:gridSpan w:val="3"/>
            <w:vMerge w:val="restart"/>
            <w:tcBorders>
              <w:top w:val="single" w:color="auto" w:sz="8" w:space="0"/>
              <w:left w:val="single" w:color="auto" w:sz="8" w:space="0"/>
              <w:bottom w:val="outset" w:color="auto" w:sz="8" w:space="0"/>
              <w:right w:val="single" w:color="auto" w:sz="8" w:space="0"/>
            </w:tcBorders>
            <w:noWrap w:val="0"/>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楷体" w:hAnsi="楷体" w:eastAsia="楷体" w:cs="楷体"/>
                <w:kern w:val="0"/>
                <w:sz w:val="20"/>
                <w:szCs w:val="20"/>
                <w:lang w:val="en-US" w:eastAsia="zh-CN" w:bidi="ar"/>
              </w:rPr>
              <w:t>（本列数据的勾稽关系为：第一项加第二项之和，等于第三项加第四项之和）</w:t>
            </w:r>
          </w:p>
        </w:tc>
        <w:tc>
          <w:tcPr>
            <w:tcW w:w="4833" w:type="dxa"/>
            <w:gridSpan w:val="7"/>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申请人情况</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4915" w:type="dxa"/>
            <w:gridSpan w:val="3"/>
            <w:vMerge w:val="continue"/>
            <w:tcBorders>
              <w:top w:val="single" w:color="auto" w:sz="8" w:space="0"/>
              <w:left w:val="single" w:color="auto" w:sz="8" w:space="0"/>
              <w:bottom w:val="outset" w:color="auto" w:sz="8" w:space="0"/>
              <w:right w:val="single" w:color="auto" w:sz="8" w:space="0"/>
            </w:tcBorders>
            <w:noWrap w:val="0"/>
            <w:tcMar>
              <w:top w:w="0" w:type="dxa"/>
              <w:left w:w="108" w:type="dxa"/>
              <w:bottom w:w="0" w:type="dxa"/>
              <w:right w:w="108"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698" w:type="dxa"/>
            <w:vMerge w:val="restart"/>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自然人</w:t>
            </w:r>
          </w:p>
        </w:tc>
        <w:tc>
          <w:tcPr>
            <w:tcW w:w="3437" w:type="dxa"/>
            <w:gridSpan w:val="5"/>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法人或其他组织</w:t>
            </w:r>
          </w:p>
        </w:tc>
        <w:tc>
          <w:tcPr>
            <w:tcW w:w="698" w:type="dxa"/>
            <w:vMerge w:val="restart"/>
            <w:tcBorders>
              <w:top w:val="single" w:color="auto" w:sz="8" w:space="0"/>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4915" w:type="dxa"/>
            <w:gridSpan w:val="3"/>
            <w:vMerge w:val="continue"/>
            <w:tcBorders>
              <w:top w:val="single" w:color="auto" w:sz="8" w:space="0"/>
              <w:left w:val="single" w:color="auto" w:sz="8" w:space="0"/>
              <w:bottom w:val="outset" w:color="auto" w:sz="8" w:space="0"/>
              <w:right w:val="single" w:color="auto" w:sz="8" w:space="0"/>
            </w:tcBorders>
            <w:noWrap w:val="0"/>
            <w:tcMar>
              <w:top w:w="0" w:type="dxa"/>
              <w:left w:w="108" w:type="dxa"/>
              <w:bottom w:w="0" w:type="dxa"/>
              <w:right w:w="108"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698" w:type="dxa"/>
            <w:vMerge w:val="continue"/>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商业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企业</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科研</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机构</w:t>
            </w:r>
          </w:p>
        </w:tc>
        <w:tc>
          <w:tcPr>
            <w:tcW w:w="687"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社会公益组织</w:t>
            </w:r>
          </w:p>
        </w:tc>
        <w:tc>
          <w:tcPr>
            <w:tcW w:w="689"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法律服务机构</w:t>
            </w:r>
          </w:p>
        </w:tc>
        <w:tc>
          <w:tcPr>
            <w:tcW w:w="687"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其他</w:t>
            </w:r>
          </w:p>
        </w:tc>
        <w:tc>
          <w:tcPr>
            <w:tcW w:w="698" w:type="dxa"/>
            <w:vMerge w:val="continue"/>
            <w:tcBorders>
              <w:top w:val="single" w:color="auto" w:sz="8" w:space="0"/>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4915" w:type="dxa"/>
            <w:gridSpan w:val="3"/>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一、本年新收政府信息公开申请数量</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59</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59</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4915" w:type="dxa"/>
            <w:gridSpan w:val="3"/>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二、上年结转政府信息公开申请数量</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1</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1</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5" w:type="dxa"/>
            <w:vMerge w:val="restart"/>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三、本年度办理结果</w:t>
            </w:r>
          </w:p>
        </w:tc>
        <w:tc>
          <w:tcPr>
            <w:tcW w:w="4150" w:type="dxa"/>
            <w:gridSpan w:val="2"/>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（一）予以公开</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25</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98"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25</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4150" w:type="dxa"/>
            <w:gridSpan w:val="2"/>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（二）部分公开</w:t>
            </w:r>
            <w:r>
              <w:rPr>
                <w:rFonts w:hint="eastAsia" w:ascii="楷体" w:hAnsi="楷体" w:eastAsia="楷体" w:cs="楷体"/>
                <w:kern w:val="0"/>
                <w:sz w:val="20"/>
                <w:szCs w:val="20"/>
                <w:lang w:val="en-US" w:eastAsia="zh-CN" w:bidi="ar"/>
              </w:rPr>
              <w:t>（区分处理的，只计这一情形，不计其他情形）</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2" w:type="dxa"/>
            <w:vMerge w:val="restart"/>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（三）不予公开</w:t>
            </w:r>
          </w:p>
        </w:tc>
        <w:tc>
          <w:tcPr>
            <w:tcW w:w="3208"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1.属于国家秘密</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98"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2"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08"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2.其他法律行政法规禁止公开</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2"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08"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3.危及“三安全一稳定”</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2"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08"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4.保护第三方合法权益</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2"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08"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5.属于三类内部事务信息</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2"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08"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6.属于四类过程性信息</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2"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08"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7.属于行政执法案卷</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2"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08"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8.属于行政查询事项</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仿宋_GB2312"/>
                <w:sz w:val="24"/>
                <w:szCs w:val="24"/>
                <w:lang w:val="en-US" w:eastAsia="zh-CN"/>
              </w:rPr>
            </w:pPr>
            <w:r>
              <w:rPr>
                <w:rFonts w:hint="eastAsia" w:ascii="宋体"/>
                <w:sz w:val="24"/>
                <w:szCs w:val="24"/>
                <w:lang w:val="en-US" w:eastAsia="zh-CN"/>
              </w:rPr>
              <w:t>1</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1</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2" w:type="dxa"/>
            <w:vMerge w:val="restart"/>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（四）无法提供</w:t>
            </w:r>
          </w:p>
        </w:tc>
        <w:tc>
          <w:tcPr>
            <w:tcW w:w="3208"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1.本机关不掌握相关政府信息</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sz w:val="24"/>
                <w:szCs w:val="24"/>
                <w:lang w:val="en-US" w:eastAsia="zh-CN"/>
              </w:rPr>
            </w:pPr>
            <w:r>
              <w:rPr>
                <w:rFonts w:hint="eastAsia" w:ascii="宋体"/>
                <w:sz w:val="24"/>
                <w:szCs w:val="24"/>
                <w:lang w:val="en-US" w:eastAsia="zh-CN"/>
              </w:rPr>
              <w:t>27</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lang w:val="en-US" w:eastAsia="zh-CN"/>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eastAsiaTheme="minorEastAsia"/>
                <w:sz w:val="24"/>
                <w:szCs w:val="24"/>
                <w:lang w:val="en-US" w:eastAsia="zh-CN"/>
              </w:rPr>
              <w:t>27</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2"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08"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2.没有现成信息需要另行制作</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2"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08"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3.补正后申请内容仍不明确</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2" w:type="dxa"/>
            <w:vMerge w:val="restart"/>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（五）不予处理</w:t>
            </w:r>
          </w:p>
        </w:tc>
        <w:tc>
          <w:tcPr>
            <w:tcW w:w="3208"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1.信访举报投诉类申请</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2"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08"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2.重复申请</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2"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08"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3.要求提供公开出版物</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2"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08"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4.无正当理由大量反复申请</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779" w:hRule="atLeast"/>
          <w:jc w:val="center"/>
        </w:trPr>
        <w:tc>
          <w:tcPr>
            <w:tcW w:w="76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2"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08"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pPr>
            <w:r>
              <w:rPr>
                <w:rFonts w:hint="eastAsia" w:ascii="宋体" w:hAnsi="宋体" w:eastAsia="宋体" w:cs="宋体"/>
                <w:kern w:val="0"/>
                <w:sz w:val="20"/>
                <w:szCs w:val="20"/>
                <w:lang w:val="en-US" w:eastAsia="zh-CN" w:bidi="ar"/>
              </w:rPr>
              <w:t>5.要求行政机关确认或重新出具已获取信息</w:t>
            </w:r>
          </w:p>
        </w:tc>
        <w:tc>
          <w:tcPr>
            <w:tcW w:w="698"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98"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2" w:type="dxa"/>
            <w:vMerge w:val="restart"/>
            <w:tcBorders>
              <w:top w:val="outset" w:color="auto" w:sz="8" w:space="0"/>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（六）其他处理</w:t>
            </w:r>
          </w:p>
        </w:tc>
        <w:tc>
          <w:tcPr>
            <w:tcW w:w="320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pPr>
            <w:r>
              <w:rPr>
                <w:rFonts w:hint="eastAsia" w:ascii="宋体" w:hAnsi="宋体" w:eastAsia="宋体" w:cs="宋体"/>
                <w:kern w:val="0"/>
                <w:sz w:val="20"/>
                <w:szCs w:val="20"/>
                <w:lang w:val="en-US" w:eastAsia="zh-CN" w:bidi="ar"/>
              </w:rPr>
              <w:t>1.申请人无正当理由逾期不补正、行政机关不再处理其政府信息公开申请</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2" w:type="dxa"/>
            <w:vMerge w:val="continue"/>
            <w:tcBorders>
              <w:top w:val="outset" w:color="auto" w:sz="8" w:space="0"/>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0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pPr>
            <w:r>
              <w:rPr>
                <w:rFonts w:hint="eastAsia" w:ascii="宋体" w:hAnsi="宋体" w:eastAsia="宋体" w:cs="宋体"/>
                <w:kern w:val="0"/>
                <w:sz w:val="20"/>
                <w:szCs w:val="20"/>
                <w:lang w:val="en-US" w:eastAsia="zh-CN" w:bidi="ar"/>
              </w:rPr>
              <w:t>2.申请人逾期未按收费通知要求缴纳费用、行政机关不再处理其政府信息公开申请</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2" w:type="dxa"/>
            <w:vMerge w:val="continue"/>
            <w:tcBorders>
              <w:top w:val="outset" w:color="auto" w:sz="8" w:space="0"/>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0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3.其他</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4150" w:type="dxa"/>
            <w:gridSpan w:val="2"/>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（七）总计</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53</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53</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4915" w:type="dxa"/>
            <w:gridSpan w:val="3"/>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四、结转下年度继续办理</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68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69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w:t>
            </w:r>
          </w:p>
        </w:tc>
      </w:tr>
    </w:tbl>
    <w:p>
      <w:pPr>
        <w:keepNext w:val="0"/>
        <w:keepLines w:val="0"/>
        <w:pageBreakBefore w:val="0"/>
        <w:widowControl/>
        <w:shd w:val="clear" w:color="auto" w:fill="FFFFFF"/>
        <w:kinsoku/>
        <w:wordWrap/>
        <w:overflowPunct/>
        <w:topLinePunct w:val="0"/>
        <w:autoSpaceDE/>
        <w:autoSpaceDN/>
        <w:bidi w:val="0"/>
        <w:adjustRightInd/>
        <w:snapToGrid/>
        <w:spacing w:line="560" w:lineRule="exact"/>
        <w:ind w:right="0" w:rightChars="0"/>
        <w:textAlignment w:val="auto"/>
        <w:outlineLvl w:val="9"/>
        <w:rPr>
          <w:rFonts w:hint="eastAsia" w:ascii="黑体" w:hAnsi="黑体" w:eastAsia="黑体" w:cs="宋体"/>
          <w:color w:val="000000"/>
          <w:kern w:val="0"/>
          <w:sz w:val="32"/>
          <w:szCs w:val="32"/>
        </w:rPr>
      </w:pP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四、政府信息公开行政复议、行政诉讼情况</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黑体" w:hAnsi="黑体" w:eastAsia="黑体" w:cs="宋体"/>
          <w:color w:val="000000"/>
          <w:kern w:val="0"/>
          <w:sz w:val="32"/>
          <w:szCs w:val="32"/>
          <w:lang w:eastAsia="zh-CN"/>
        </w:rPr>
      </w:pPr>
    </w:p>
    <w:tbl>
      <w:tblPr>
        <w:tblStyle w:val="4"/>
        <w:tblW w:w="974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649"/>
        <w:gridCol w:w="649"/>
        <w:gridCol w:w="649"/>
        <w:gridCol w:w="649"/>
        <w:gridCol w:w="649"/>
        <w:gridCol w:w="649"/>
        <w:gridCol w:w="649"/>
        <w:gridCol w:w="650"/>
        <w:gridCol w:w="650"/>
        <w:gridCol w:w="650"/>
        <w:gridCol w:w="651"/>
        <w:gridCol w:w="651"/>
        <w:gridCol w:w="651"/>
        <w:gridCol w:w="651"/>
        <w:gridCol w:w="651"/>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245"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行政复议</w:t>
            </w:r>
          </w:p>
        </w:tc>
        <w:tc>
          <w:tcPr>
            <w:tcW w:w="6503" w:type="dxa"/>
            <w:gridSpan w:val="10"/>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行政诉讼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649"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结果维持</w:t>
            </w:r>
          </w:p>
        </w:tc>
        <w:tc>
          <w:tcPr>
            <w:tcW w:w="649"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纠正</w:t>
            </w:r>
          </w:p>
        </w:tc>
        <w:tc>
          <w:tcPr>
            <w:tcW w:w="649"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其他</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结果</w:t>
            </w:r>
          </w:p>
        </w:tc>
        <w:tc>
          <w:tcPr>
            <w:tcW w:w="649"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尚未</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审结</w:t>
            </w:r>
          </w:p>
        </w:tc>
        <w:tc>
          <w:tcPr>
            <w:tcW w:w="649"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总计</w:t>
            </w:r>
          </w:p>
        </w:tc>
        <w:tc>
          <w:tcPr>
            <w:tcW w:w="3248"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未经复议直接起诉</w:t>
            </w:r>
          </w:p>
        </w:tc>
        <w:tc>
          <w:tcPr>
            <w:tcW w:w="3255"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复议后起诉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649"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宋体"/>
                <w:sz w:val="24"/>
                <w:szCs w:val="24"/>
              </w:rPr>
            </w:pPr>
          </w:p>
        </w:tc>
        <w:tc>
          <w:tcPr>
            <w:tcW w:w="649"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宋体"/>
                <w:sz w:val="24"/>
                <w:szCs w:val="24"/>
              </w:rPr>
            </w:pPr>
          </w:p>
        </w:tc>
        <w:tc>
          <w:tcPr>
            <w:tcW w:w="649"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宋体"/>
                <w:sz w:val="24"/>
                <w:szCs w:val="24"/>
              </w:rPr>
            </w:pPr>
          </w:p>
        </w:tc>
        <w:tc>
          <w:tcPr>
            <w:tcW w:w="649"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宋体"/>
                <w:sz w:val="24"/>
                <w:szCs w:val="24"/>
              </w:rPr>
            </w:pPr>
          </w:p>
        </w:tc>
        <w:tc>
          <w:tcPr>
            <w:tcW w:w="649"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宋体"/>
                <w:sz w:val="24"/>
                <w:szCs w:val="24"/>
              </w:rPr>
            </w:pP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维持</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纠正</w:t>
            </w:r>
          </w:p>
        </w:tc>
        <w:tc>
          <w:tcPr>
            <w:tcW w:w="65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其他</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结果</w:t>
            </w:r>
          </w:p>
        </w:tc>
        <w:tc>
          <w:tcPr>
            <w:tcW w:w="65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尚未</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审结</w:t>
            </w:r>
          </w:p>
        </w:tc>
        <w:tc>
          <w:tcPr>
            <w:tcW w:w="65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color w:val="000000"/>
                <w:kern w:val="0"/>
                <w:sz w:val="20"/>
                <w:szCs w:val="20"/>
                <w:lang w:val="en-US" w:eastAsia="zh-CN" w:bidi="ar"/>
              </w:rPr>
              <w:t>总计</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维持</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纠正</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color w:val="000000"/>
                <w:kern w:val="0"/>
                <w:sz w:val="20"/>
                <w:szCs w:val="20"/>
                <w:lang w:val="en-US" w:eastAsia="zh-CN" w:bidi="ar"/>
              </w:rPr>
              <w:t>其他</w:t>
            </w:r>
            <w:r>
              <w:rPr>
                <w:rFonts w:hint="eastAsia" w:ascii="宋体" w:hAnsi="宋体" w:eastAsia="宋体" w:cs="宋体"/>
                <w:color w:val="000000"/>
                <w:kern w:val="0"/>
                <w:sz w:val="20"/>
                <w:szCs w:val="20"/>
                <w:lang w:val="en-US" w:eastAsia="zh-CN" w:bidi="ar"/>
              </w:rPr>
              <w:br w:type="textWrapping"/>
            </w:r>
            <w:r>
              <w:rPr>
                <w:rFonts w:hint="eastAsia" w:ascii="宋体" w:hAnsi="宋体" w:eastAsia="宋体" w:cs="宋体"/>
                <w:color w:val="000000"/>
                <w:kern w:val="0"/>
                <w:sz w:val="20"/>
                <w:szCs w:val="20"/>
                <w:lang w:val="en-US" w:eastAsia="zh-CN" w:bidi="ar"/>
              </w:rPr>
              <w:t>结果</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尚未</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审结</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color w:val="000000"/>
                <w:kern w:val="0"/>
                <w:sz w:val="20"/>
                <w:szCs w:val="20"/>
                <w:lang w:val="en-US" w:eastAsia="zh-CN"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2" w:hRule="atLeast"/>
          <w:jc w:val="center"/>
        </w:trPr>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2</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2</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r>
    </w:tbl>
    <w:p>
      <w:pPr>
        <w:keepNext w:val="0"/>
        <w:keepLines w:val="0"/>
        <w:pageBreakBefore w:val="0"/>
        <w:widowControl/>
        <w:shd w:val="clear" w:color="auto" w:fill="FFFFFF"/>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黑体" w:hAnsi="黑体" w:eastAsia="黑体" w:cs="宋体"/>
          <w:color w:val="000000"/>
          <w:kern w:val="0"/>
          <w:sz w:val="32"/>
          <w:szCs w:val="32"/>
        </w:rPr>
      </w:pP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ascii="黑体" w:hAnsi="黑体" w:eastAsia="黑体" w:cs="宋体"/>
          <w:color w:val="000000"/>
          <w:kern w:val="0"/>
          <w:sz w:val="32"/>
          <w:szCs w:val="32"/>
        </w:rPr>
      </w:pPr>
      <w:r>
        <w:rPr>
          <w:rFonts w:hint="eastAsia" w:ascii="黑体" w:hAnsi="黑体" w:eastAsia="黑体" w:cs="宋体"/>
          <w:color w:val="000000"/>
          <w:kern w:val="0"/>
          <w:sz w:val="32"/>
          <w:szCs w:val="32"/>
        </w:rPr>
        <w:t>五、存在的主要问题及改进情况</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仿宋_GB2312" w:hAnsi="微软雅黑" w:eastAsia="仿宋_GB2312" w:cs="宋体"/>
          <w:color w:val="000000"/>
          <w:kern w:val="0"/>
          <w:sz w:val="32"/>
          <w:szCs w:val="32"/>
          <w:lang w:val="en-US" w:eastAsia="zh-CN"/>
        </w:rPr>
      </w:pPr>
      <w:r>
        <w:rPr>
          <w:rFonts w:hint="eastAsia" w:ascii="仿宋_GB2312" w:hAnsi="仿宋_GB2312" w:eastAsia="仿宋_GB2312" w:cs="仿宋_GB2312"/>
          <w:color w:val="auto"/>
          <w:sz w:val="32"/>
          <w:szCs w:val="32"/>
          <w:lang w:val="en-US" w:eastAsia="zh-CN"/>
        </w:rPr>
        <w:t>2025年保定市自然资源和规划局莲池区分局信息公开工作取得了一定的成绩，</w:t>
      </w:r>
      <w:r>
        <w:rPr>
          <w:rFonts w:hint="eastAsia" w:ascii="仿宋_GB2312" w:hAnsi="微软雅黑" w:eastAsia="仿宋_GB2312" w:cs="宋体"/>
          <w:color w:val="000000"/>
          <w:kern w:val="0"/>
          <w:sz w:val="32"/>
          <w:szCs w:val="32"/>
        </w:rPr>
        <w:t>但仍存在一些不足，主要表现在：</w:t>
      </w:r>
      <w:r>
        <w:rPr>
          <w:rFonts w:hint="eastAsia" w:ascii="仿宋_GB2312" w:hAnsi="仿宋_GB2312" w:eastAsia="仿宋_GB2312" w:cs="仿宋_GB2312"/>
          <w:color w:val="auto"/>
          <w:sz w:val="32"/>
          <w:szCs w:val="32"/>
          <w:lang w:val="en-US" w:eastAsia="zh-CN"/>
        </w:rPr>
        <w:t>一是政府信息公开数量、更新频率不够；二是基层政务公开工作人员水平有待提高。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微软雅黑" w:eastAsia="仿宋_GB2312" w:cs="宋体"/>
          <w:color w:val="000000"/>
          <w:kern w:val="0"/>
          <w:sz w:val="32"/>
          <w:szCs w:val="32"/>
          <w:lang w:val="en-US" w:eastAsia="zh-CN" w:bidi="ar-SA"/>
        </w:rPr>
      </w:pPr>
      <w:r>
        <w:rPr>
          <w:rFonts w:hint="eastAsia" w:ascii="仿宋_GB2312" w:hAnsi="微软雅黑" w:eastAsia="仿宋_GB2312" w:cs="宋体"/>
          <w:color w:val="000000"/>
          <w:kern w:val="0"/>
          <w:sz w:val="32"/>
          <w:szCs w:val="32"/>
          <w:lang w:val="en-US" w:eastAsia="zh-CN" w:bidi="ar-SA"/>
        </w:rPr>
        <w:t>下一步，</w:t>
      </w:r>
      <w:r>
        <w:rPr>
          <w:rFonts w:hint="eastAsia" w:hAnsi="微软雅黑" w:cs="宋体"/>
          <w:color w:val="000000"/>
          <w:kern w:val="0"/>
          <w:sz w:val="32"/>
          <w:szCs w:val="32"/>
          <w:lang w:val="en-US" w:eastAsia="zh-CN" w:bidi="ar-SA"/>
        </w:rPr>
        <w:t>我们将</w:t>
      </w:r>
      <w:r>
        <w:rPr>
          <w:rFonts w:hint="eastAsia"/>
          <w:lang w:val="en-US" w:eastAsia="zh-CN"/>
        </w:rPr>
        <w:t>不断增强依法公开、主动公开意识，丰富政务信息公开内容，增加信息发布量，提高政务信息公开的及时性、准确性，同时围绕政务信息公开流程、工作制度和注意事项等进行专题培训，提升政务公开工作人员业务能力。</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ascii="黑体" w:hAnsi="黑体" w:eastAsia="黑体" w:cs="宋体"/>
          <w:color w:val="000000"/>
          <w:kern w:val="0"/>
          <w:sz w:val="32"/>
          <w:szCs w:val="32"/>
        </w:rPr>
      </w:pPr>
      <w:r>
        <w:rPr>
          <w:rFonts w:ascii="黑体" w:hAnsi="黑体" w:eastAsia="黑体" w:cs="宋体"/>
          <w:color w:val="000000"/>
          <w:kern w:val="0"/>
          <w:sz w:val="32"/>
          <w:szCs w:val="32"/>
        </w:rPr>
        <w:t>六、其他需要报告的事项</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仿宋_GB2312" w:hAnsi="仿宋" w:eastAsia="仿宋_GB2312"/>
          <w:sz w:val="32"/>
          <w:szCs w:val="32"/>
        </w:rPr>
      </w:pPr>
      <w:r>
        <w:rPr>
          <w:rFonts w:hint="eastAsia" w:ascii="仿宋_GB2312" w:hAnsi="仿宋" w:eastAsia="仿宋_GB2312"/>
          <w:sz w:val="32"/>
          <w:szCs w:val="32"/>
        </w:rPr>
        <w:t>认真贯彻执行国务院办公厅《政府信息公开信息处理费管理办法》和《关于政府信息公开处理费管理有关事项的通知》</w:t>
      </w:r>
      <w:r>
        <w:rPr>
          <w:rFonts w:hint="eastAsia" w:ascii="仿宋_GB2312" w:hAnsi="仿宋" w:eastAsia="仿宋_GB2312"/>
          <w:sz w:val="32"/>
          <w:szCs w:val="32"/>
          <w:lang w:eastAsia="zh-CN"/>
        </w:rPr>
        <w:t>，</w:t>
      </w:r>
      <w:r>
        <w:rPr>
          <w:rFonts w:hint="eastAsia" w:ascii="仿宋_GB2312" w:hAnsi="仿宋" w:eastAsia="仿宋_GB2312"/>
          <w:sz w:val="32"/>
          <w:szCs w:val="32"/>
        </w:rPr>
        <w:t>202</w:t>
      </w:r>
      <w:r>
        <w:rPr>
          <w:rFonts w:hint="eastAsia" w:hAnsi="仿宋"/>
          <w:sz w:val="32"/>
          <w:szCs w:val="32"/>
          <w:lang w:val="en-US" w:eastAsia="zh-CN"/>
        </w:rPr>
        <w:t>5</w:t>
      </w:r>
      <w:r>
        <w:rPr>
          <w:rFonts w:hint="eastAsia" w:ascii="仿宋_GB2312" w:hAnsi="仿宋" w:eastAsia="仿宋_GB2312"/>
          <w:sz w:val="32"/>
          <w:szCs w:val="32"/>
        </w:rPr>
        <w:t>年</w:t>
      </w:r>
      <w:r>
        <w:rPr>
          <w:rFonts w:hint="eastAsia" w:ascii="仿宋_GB2312" w:hAnsi="仿宋_GB2312" w:eastAsia="仿宋_GB2312" w:cs="仿宋_GB2312"/>
          <w:color w:val="000000"/>
          <w:kern w:val="0"/>
          <w:sz w:val="32"/>
          <w:szCs w:val="32"/>
          <w:lang w:eastAsia="zh-CN"/>
        </w:rPr>
        <w:t>保定</w:t>
      </w:r>
      <w:r>
        <w:rPr>
          <w:rFonts w:hint="eastAsia" w:ascii="仿宋_GB2312" w:hAnsi="仿宋" w:eastAsia="仿宋_GB2312"/>
          <w:sz w:val="32"/>
          <w:szCs w:val="32"/>
        </w:rPr>
        <w:t>市</w:t>
      </w:r>
      <w:r>
        <w:rPr>
          <w:rFonts w:hint="eastAsia" w:hAnsi="仿宋"/>
          <w:sz w:val="32"/>
          <w:szCs w:val="32"/>
          <w:lang w:val="en-US" w:eastAsia="zh-CN"/>
        </w:rPr>
        <w:t>自然资源和规划局莲池区分局</w:t>
      </w:r>
      <w:r>
        <w:rPr>
          <w:rFonts w:hint="eastAsia" w:ascii="仿宋_GB2312" w:hAnsi="仿宋" w:eastAsia="仿宋_GB2312"/>
          <w:sz w:val="32"/>
          <w:szCs w:val="32"/>
        </w:rPr>
        <w:t>未收取政府信息公开信息处理费。</w:t>
      </w:r>
    </w:p>
    <w:p>
      <w:pPr>
        <w:pStyle w:val="3"/>
        <w:shd w:val="clear" w:color="auto" w:fill="FFFFFF"/>
        <w:spacing w:before="0" w:beforeAutospacing="0" w:after="0" w:afterAutospacing="0"/>
        <w:ind w:firstLine="420"/>
        <w:jc w:val="both"/>
      </w:pPr>
    </w:p>
    <w:p>
      <w:pPr>
        <w:pStyle w:val="3"/>
        <w:shd w:val="clear" w:color="auto" w:fill="FFFFFF"/>
        <w:spacing w:before="0" w:beforeAutospacing="0" w:after="0" w:afterAutospacing="0"/>
        <w:ind w:firstLine="420"/>
        <w:jc w:val="both"/>
      </w:pPr>
    </w:p>
    <w:p>
      <w:pPr>
        <w:pStyle w:val="3"/>
        <w:shd w:val="clear" w:color="auto" w:fill="FFFFFF"/>
        <w:spacing w:before="0" w:beforeAutospacing="0" w:after="0" w:afterAutospacing="0"/>
        <w:ind w:firstLine="420"/>
        <w:jc w:val="both"/>
      </w:pPr>
    </w:p>
    <w:p>
      <w:pPr>
        <w:pStyle w:val="3"/>
        <w:shd w:val="clear" w:color="auto" w:fill="FFFFFF"/>
        <w:spacing w:before="0" w:beforeAutospacing="0" w:after="0" w:afterAutospacing="0"/>
        <w:ind w:firstLine="420"/>
        <w:jc w:val="both"/>
      </w:pPr>
    </w:p>
    <w:p>
      <w:pPr>
        <w:pStyle w:val="3"/>
        <w:shd w:val="clear" w:color="auto" w:fill="FFFFFF"/>
        <w:spacing w:before="0" w:beforeAutospacing="0" w:after="0" w:afterAutospacing="0"/>
        <w:ind w:firstLine="420"/>
        <w:jc w:val="both"/>
      </w:pPr>
    </w:p>
    <w:p>
      <w:pPr>
        <w:pStyle w:val="3"/>
        <w:shd w:val="clear" w:color="auto" w:fill="FFFFFF"/>
        <w:spacing w:before="0" w:beforeAutospacing="0" w:after="0" w:afterAutospacing="0"/>
        <w:ind w:firstLine="420"/>
        <w:jc w:val="both"/>
      </w:pPr>
    </w:p>
    <w:p>
      <w:pPr>
        <w:pStyle w:val="3"/>
        <w:shd w:val="clear" w:color="auto" w:fill="FFFFFF"/>
        <w:spacing w:before="0" w:beforeAutospacing="0" w:after="0" w:afterAutospacing="0"/>
        <w:jc w:val="both"/>
        <w:rPr>
          <w:rFonts w:hint="default" w:ascii="仿宋_GB2312" w:hAnsi="仿宋" w:eastAsia="仿宋_GB2312" w:cs="Times New Roman"/>
          <w:color w:val="auto"/>
          <w:kern w:val="2"/>
          <w:sz w:val="32"/>
          <w:szCs w:val="32"/>
          <w:lang w:val="en-US" w:eastAsia="zh-CN" w:bidi="ar-SA"/>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02"/>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国标黑体">
    <w:panose1 w:val="02000500000000000000"/>
    <w:charset w:val="86"/>
    <w:family w:val="auto"/>
    <w:pitch w:val="default"/>
    <w:sig w:usb0="00000001" w:usb1="08000000" w:usb2="00000000" w:usb3="00000000" w:csb0="00060007" w:csb1="00000000"/>
  </w:font>
  <w:font w:name="仿宋_GB2312">
    <w:altName w:val="方正仿宋_GBK"/>
    <w:panose1 w:val="02010609030101010101"/>
    <w:charset w:val="86"/>
    <w:family w:val="modern"/>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ˎ̥">
    <w:altName w:val="文泉驿微米黑"/>
    <w:panose1 w:val="00000000000000000000"/>
    <w:charset w:val="00"/>
    <w:family w:val="roman"/>
    <w:pitch w:val="default"/>
    <w:sig w:usb0="00000000" w:usb1="00000000" w:usb2="00000000"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微软雅黑">
    <w:altName w:val="方正黑体_GBK"/>
    <w:panose1 w:val="020B0503020204020204"/>
    <w:charset w:val="86"/>
    <w:family w:val="auto"/>
    <w:pitch w:val="default"/>
    <w:sig w:usb0="00000000" w:usb1="00000000"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文泉驿微米黑">
    <w:panose1 w:val="020B0606030804020204"/>
    <w:charset w:val="86"/>
    <w:family w:val="auto"/>
    <w:pitch w:val="default"/>
    <w:sig w:usb0="E10002EF" w:usb1="6BDFFCFB" w:usb2="00800036" w:usb3="00000000" w:csb0="603E01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4FE0F6C"/>
    <w:multiLevelType w:val="singleLevel"/>
    <w:tmpl w:val="F4FE0F6C"/>
    <w:lvl w:ilvl="0" w:tentative="0">
      <w:start w:val="1"/>
      <w:numFmt w:val="chineseCounting"/>
      <w:suff w:val="nothing"/>
      <w:lvlText w:val="（%1）"/>
      <w:lvlJc w:val="left"/>
      <w:rPr>
        <w:rFonts w:hint="eastAsia"/>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U2Zjk5YTk5OWY4ZWU5OTBmNmRlMTliMGVjYjdmNTQifQ=="/>
  </w:docVars>
  <w:rsids>
    <w:rsidRoot w:val="3E5B229F"/>
    <w:rsid w:val="00A51E0C"/>
    <w:rsid w:val="00C405B3"/>
    <w:rsid w:val="00E11F35"/>
    <w:rsid w:val="06807F06"/>
    <w:rsid w:val="14140597"/>
    <w:rsid w:val="14655CF8"/>
    <w:rsid w:val="18147685"/>
    <w:rsid w:val="1BD914B0"/>
    <w:rsid w:val="26BD6705"/>
    <w:rsid w:val="3E5B229F"/>
    <w:rsid w:val="3EA17508"/>
    <w:rsid w:val="41FB279F"/>
    <w:rsid w:val="432B70DA"/>
    <w:rsid w:val="444276D3"/>
    <w:rsid w:val="511A43D0"/>
    <w:rsid w:val="61D927DE"/>
    <w:rsid w:val="69B07D83"/>
    <w:rsid w:val="6E951701"/>
    <w:rsid w:val="72826491"/>
    <w:rsid w:val="7B4B3FD5"/>
    <w:rsid w:val="7CE54D43"/>
    <w:rsid w:val="BA8F3D0D"/>
    <w:rsid w:val="E6B728F7"/>
    <w:rsid w:val="FBF6C7ED"/>
    <w:rsid w:val="FCC325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Times New Roman" w:eastAsia="仿宋_GB2312" w:cs="Times New Roman"/>
      <w:kern w:val="2"/>
      <w:sz w:val="32"/>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unhideWhenUsed/>
    <w:qFormat/>
    <w:uiPriority w:val="99"/>
    <w:pPr>
      <w:suppressAutoHyphens/>
    </w:pPr>
  </w:style>
  <w:style w:type="paragraph" w:styleId="3">
    <w:name w:val="Normal (Web)"/>
    <w:basedOn w:val="1"/>
    <w:unhideWhenUsed/>
    <w:qFormat/>
    <w:uiPriority w:val="99"/>
    <w:pPr>
      <w:widowControl/>
      <w:spacing w:before="100" w:beforeAutospacing="1" w:after="100" w:afterAutospacing="1"/>
      <w:jc w:val="left"/>
    </w:pPr>
    <w:rPr>
      <w:rFonts w:ascii="宋体" w:hAnsi="宋体" w:eastAsia="宋体" w:cs="宋体"/>
      <w:color w:val="000000"/>
      <w:kern w:val="0"/>
      <w:sz w:val="24"/>
    </w:rPr>
  </w:style>
  <w:style w:type="character" w:styleId="6">
    <w:name w:val="Hyperlink"/>
    <w:basedOn w:val="5"/>
    <w:unhideWhenUsed/>
    <w:qFormat/>
    <w:uiPriority w:val="99"/>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1976</Words>
  <Characters>2024</Characters>
  <Lines>29</Lines>
  <Paragraphs>8</Paragraphs>
  <TotalTime>1</TotalTime>
  <ScaleCrop>false</ScaleCrop>
  <LinksUpToDate>false</LinksUpToDate>
  <CharactersWithSpaces>2055</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2019-12-30T03:38:00Z</dcterms:created>
  <dc:creator>小公举</dc:creator>
  <cp:lastModifiedBy>work</cp:lastModifiedBy>
  <cp:lastPrinted>2025-01-10T13:54:00Z</cp:lastPrinted>
  <dcterms:modified xsi:type="dcterms:W3CDTF">2026-01-22T16:07:45Z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78EFF5A4592440ADB0BAC16B25E442EB</vt:lpwstr>
  </property>
  <property fmtid="{D5CDD505-2E9C-101B-9397-08002B2CF9AE}" pid="4" name="KSOTemplateDocerSaveRecord">
    <vt:lpwstr>eyJoZGlkIjoiYmE5MzQ1NjI5NDU1OTcyMGQ0MmY4YzEzODc0NDZkMzUiLCJ1c2VySWQiOiI2OTgzNTcxMDgifQ==</vt:lpwstr>
  </property>
</Properties>
</file>