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85A48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ascii="方正小标宋简体" w:hAnsi="方正小标宋简体" w:eastAsia="方正小标宋简体" w:cs="方正小标宋简体"/>
          <w:i w:val="0"/>
          <w:iCs w:val="0"/>
          <w:caps w:val="0"/>
          <w:color w:val="353535"/>
          <w:spacing w:val="0"/>
          <w:sz w:val="44"/>
          <w:szCs w:val="44"/>
          <w:shd w:val="clear" w:fill="FFFFFF"/>
        </w:rPr>
      </w:pPr>
      <w:r>
        <w:rPr>
          <w:rFonts w:hint="eastAsia" w:ascii="方正小标宋简体" w:hAnsi="方正小标宋简体" w:eastAsia="方正小标宋简体" w:cs="方正小标宋简体"/>
          <w:i w:val="0"/>
          <w:iCs w:val="0"/>
          <w:caps w:val="0"/>
          <w:color w:val="353535"/>
          <w:spacing w:val="0"/>
          <w:sz w:val="44"/>
          <w:szCs w:val="44"/>
          <w:shd w:val="clear" w:fill="FFFFFF"/>
          <w:lang w:eastAsia="zh-CN"/>
        </w:rPr>
        <w:t>保定市莲池区南大园</w:t>
      </w:r>
      <w:r>
        <w:rPr>
          <w:rFonts w:ascii="方正小标宋简体" w:hAnsi="方正小标宋简体" w:eastAsia="方正小标宋简体" w:cs="方正小标宋简体"/>
          <w:i w:val="0"/>
          <w:iCs w:val="0"/>
          <w:caps w:val="0"/>
          <w:color w:val="353535"/>
          <w:spacing w:val="0"/>
          <w:sz w:val="44"/>
          <w:szCs w:val="44"/>
          <w:shd w:val="clear" w:fill="FFFFFF"/>
        </w:rPr>
        <w:t>乡人民政府</w:t>
      </w:r>
    </w:p>
    <w:p w14:paraId="4A90C34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微软雅黑" w:hAnsi="微软雅黑" w:eastAsia="微软雅黑" w:cs="微软雅黑"/>
          <w:i w:val="0"/>
          <w:iCs w:val="0"/>
          <w:caps w:val="0"/>
          <w:color w:val="353535"/>
          <w:spacing w:val="0"/>
          <w:sz w:val="44"/>
          <w:szCs w:val="44"/>
        </w:rPr>
      </w:pPr>
      <w:r>
        <w:rPr>
          <w:rFonts w:hint="eastAsia" w:ascii="方正小标宋简体" w:hAnsi="方正小标宋简体" w:eastAsia="方正小标宋简体" w:cs="方正小标宋简体"/>
          <w:i w:val="0"/>
          <w:iCs w:val="0"/>
          <w:caps w:val="0"/>
          <w:color w:val="353535"/>
          <w:spacing w:val="0"/>
          <w:sz w:val="44"/>
          <w:szCs w:val="44"/>
          <w:shd w:val="clear" w:fill="FFFFFF"/>
        </w:rPr>
        <w:t>202</w:t>
      </w:r>
      <w:r>
        <w:rPr>
          <w:rFonts w:hint="eastAsia" w:ascii="方正小标宋简体" w:hAnsi="方正小标宋简体" w:eastAsia="方正小标宋简体" w:cs="方正小标宋简体"/>
          <w:i w:val="0"/>
          <w:iCs w:val="0"/>
          <w:caps w:val="0"/>
          <w:color w:val="353535"/>
          <w:spacing w:val="0"/>
          <w:sz w:val="44"/>
          <w:szCs w:val="44"/>
          <w:shd w:val="clear" w:fill="FFFFFF"/>
          <w:lang w:val="en-US" w:eastAsia="zh-CN"/>
        </w:rPr>
        <w:t>5</w:t>
      </w:r>
      <w:r>
        <w:rPr>
          <w:rFonts w:hint="eastAsia" w:ascii="方正小标宋简体" w:hAnsi="方正小标宋简体" w:eastAsia="方正小标宋简体" w:cs="方正小标宋简体"/>
          <w:i w:val="0"/>
          <w:iCs w:val="0"/>
          <w:caps w:val="0"/>
          <w:color w:val="353535"/>
          <w:spacing w:val="0"/>
          <w:sz w:val="44"/>
          <w:szCs w:val="44"/>
          <w:shd w:val="clear" w:fill="FFFFFF"/>
        </w:rPr>
        <w:t>年</w:t>
      </w:r>
      <w:r>
        <w:rPr>
          <w:rFonts w:hint="eastAsia" w:ascii="方正小标宋简体" w:hAnsi="方正小标宋简体" w:eastAsia="方正小标宋简体" w:cs="方正小标宋简体"/>
          <w:i w:val="0"/>
          <w:iCs w:val="0"/>
          <w:caps w:val="0"/>
          <w:color w:val="353535"/>
          <w:spacing w:val="0"/>
          <w:sz w:val="44"/>
          <w:szCs w:val="44"/>
          <w:shd w:val="clear" w:fill="FFFFFF"/>
          <w:lang w:eastAsia="zh-CN"/>
        </w:rPr>
        <w:t>政府</w:t>
      </w:r>
      <w:r>
        <w:rPr>
          <w:rFonts w:hint="eastAsia" w:ascii="方正小标宋简体" w:hAnsi="方正小标宋简体" w:eastAsia="方正小标宋简体" w:cs="方正小标宋简体"/>
          <w:i w:val="0"/>
          <w:iCs w:val="0"/>
          <w:caps w:val="0"/>
          <w:color w:val="353535"/>
          <w:spacing w:val="0"/>
          <w:sz w:val="44"/>
          <w:szCs w:val="44"/>
          <w:shd w:val="clear" w:fill="FFFFFF"/>
        </w:rPr>
        <w:t>信息公开工作年度报告</w:t>
      </w:r>
    </w:p>
    <w:p w14:paraId="30637507">
      <w:pPr>
        <w:keepNext w:val="0"/>
        <w:keepLines w:val="0"/>
        <w:pageBreakBefore w:val="0"/>
        <w:widowControl/>
        <w:shd w:val="clear" w:color="auto" w:fill="FFFFFF"/>
        <w:kinsoku/>
        <w:wordWrap/>
        <w:overflowPunct/>
        <w:topLinePunct w:val="0"/>
        <w:autoSpaceDN/>
        <w:bidi w:val="0"/>
        <w:adjustRightInd/>
        <w:snapToGrid w:val="0"/>
        <w:spacing w:line="520" w:lineRule="exact"/>
        <w:ind w:right="0" w:rightChars="0" w:firstLine="640" w:firstLineChars="200"/>
        <w:jc w:val="both"/>
        <w:textAlignment w:val="auto"/>
        <w:rPr>
          <w:rFonts w:hint="eastAsia" w:ascii="仿宋_GB2312" w:hAnsi="微软雅黑" w:eastAsia="仿宋_GB2312" w:cs="宋体"/>
          <w:color w:val="000000"/>
          <w:kern w:val="0"/>
          <w:sz w:val="32"/>
          <w:szCs w:val="32"/>
        </w:rPr>
      </w:pPr>
    </w:p>
    <w:p w14:paraId="22197617">
      <w:pPr>
        <w:keepNext w:val="0"/>
        <w:keepLines w:val="0"/>
        <w:pageBreakBefore w:val="0"/>
        <w:widowControl/>
        <w:shd w:val="clear" w:color="auto" w:fill="FFFFFF"/>
        <w:kinsoku/>
        <w:wordWrap/>
        <w:overflowPunct/>
        <w:topLinePunct w:val="0"/>
        <w:autoSpaceDE/>
        <w:autoSpaceDN/>
        <w:bidi w:val="0"/>
        <w:adjustRightInd/>
        <w:snapToGrid w:val="0"/>
        <w:spacing w:line="560" w:lineRule="exact"/>
        <w:ind w:right="0" w:rightChars="0" w:firstLine="640" w:firstLineChars="200"/>
        <w:jc w:val="both"/>
        <w:textAlignment w:val="auto"/>
        <w:rPr>
          <w:rFonts w:hint="eastAsia" w:ascii="仿宋_GB2312" w:hAnsi="微软雅黑" w:eastAsia="仿宋_GB2312" w:cs="宋体"/>
          <w:color w:val="auto"/>
          <w:kern w:val="0"/>
          <w:sz w:val="32"/>
          <w:szCs w:val="32"/>
        </w:rPr>
      </w:pPr>
      <w:bookmarkStart w:id="0" w:name="_GoBack"/>
      <w:r>
        <w:rPr>
          <w:rFonts w:hint="eastAsia" w:ascii="仿宋_GB2312" w:hAnsi="微软雅黑" w:eastAsia="仿宋_GB2312" w:cs="宋体"/>
          <w:color w:val="000000"/>
          <w:kern w:val="0"/>
          <w:sz w:val="32"/>
          <w:szCs w:val="32"/>
        </w:rPr>
        <w:t>根据《中华人民共和国政府信息公开条例》《河北省实施〈中华人民共和国</w:t>
      </w:r>
      <w:r>
        <w:rPr>
          <w:rFonts w:hint="eastAsia" w:ascii="仿宋_GB2312" w:hAnsi="微软雅黑" w:eastAsia="仿宋_GB2312" w:cs="宋体"/>
          <w:color w:val="auto"/>
          <w:kern w:val="0"/>
          <w:sz w:val="32"/>
          <w:szCs w:val="32"/>
        </w:rPr>
        <w:t>政府信息公开条例〉办法》等规定，发布本年度报告。报告中所列数据统计期限为202</w:t>
      </w:r>
      <w:r>
        <w:rPr>
          <w:rFonts w:hint="eastAsia" w:ascii="仿宋_GB2312" w:hAnsi="微软雅黑" w:eastAsia="仿宋_GB2312" w:cs="宋体"/>
          <w:color w:val="auto"/>
          <w:kern w:val="0"/>
          <w:sz w:val="32"/>
          <w:szCs w:val="32"/>
          <w:lang w:val="en-US" w:eastAsia="zh-CN"/>
        </w:rPr>
        <w:t>5</w:t>
      </w:r>
      <w:r>
        <w:rPr>
          <w:rFonts w:hint="eastAsia" w:ascii="仿宋_GB2312" w:hAnsi="微软雅黑" w:eastAsia="仿宋_GB2312" w:cs="宋体"/>
          <w:color w:val="auto"/>
          <w:kern w:val="0"/>
          <w:sz w:val="32"/>
          <w:szCs w:val="32"/>
        </w:rPr>
        <w:t>年1月1日至12月31日。</w:t>
      </w:r>
    </w:p>
    <w:p w14:paraId="6370896E">
      <w:pPr>
        <w:keepNext w:val="0"/>
        <w:keepLines w:val="0"/>
        <w:pageBreakBefore w:val="0"/>
        <w:widowControl/>
        <w:shd w:val="clear" w:color="auto" w:fill="FFFFFF"/>
        <w:kinsoku/>
        <w:wordWrap/>
        <w:overflowPunct/>
        <w:topLinePunct w:val="0"/>
        <w:autoSpaceDE/>
        <w:autoSpaceDN/>
        <w:bidi w:val="0"/>
        <w:adjustRightInd/>
        <w:spacing w:line="560" w:lineRule="exact"/>
        <w:ind w:left="0" w:leftChars="0" w:right="0" w:rightChars="0" w:firstLine="640" w:firstLineChars="200"/>
        <w:jc w:val="both"/>
        <w:textAlignment w:val="auto"/>
        <w:rPr>
          <w:rFonts w:ascii="黑体" w:hAnsi="黑体" w:eastAsia="黑体" w:cs="宋体"/>
          <w:color w:val="auto"/>
          <w:kern w:val="0"/>
          <w:sz w:val="32"/>
          <w:szCs w:val="32"/>
        </w:rPr>
      </w:pPr>
      <w:r>
        <w:rPr>
          <w:rFonts w:ascii="黑体" w:hAnsi="黑体" w:eastAsia="黑体" w:cs="宋体"/>
          <w:color w:val="auto"/>
          <w:kern w:val="0"/>
          <w:sz w:val="32"/>
          <w:szCs w:val="32"/>
        </w:rPr>
        <w:t>一、总体情况</w:t>
      </w:r>
    </w:p>
    <w:p w14:paraId="6E42AFD9">
      <w:pPr>
        <w:keepNext w:val="0"/>
        <w:keepLines w:val="0"/>
        <w:pageBreakBefore w:val="0"/>
        <w:widowControl/>
        <w:shd w:val="clear" w:color="auto" w:fill="FFFFFF"/>
        <w:kinsoku/>
        <w:wordWrap/>
        <w:overflowPunct/>
        <w:topLinePunct w:val="0"/>
        <w:autoSpaceDE/>
        <w:autoSpaceDN/>
        <w:bidi w:val="0"/>
        <w:adjustRightInd/>
        <w:spacing w:line="560" w:lineRule="exact"/>
        <w:ind w:left="0" w:leftChars="0" w:right="0" w:rightChars="0" w:firstLine="640" w:firstLineChars="200"/>
        <w:jc w:val="both"/>
        <w:textAlignment w:val="auto"/>
        <w:rPr>
          <w:rFonts w:hint="eastAsia" w:ascii="仿宋_GB2312" w:hAnsi="仿宋_GB2312" w:eastAsia="仿宋_GB2312" w:cs="仿宋_GB2312"/>
          <w:color w:val="auto"/>
          <w:kern w:val="0"/>
          <w:sz w:val="32"/>
          <w:szCs w:val="32"/>
        </w:rPr>
      </w:pPr>
      <w:r>
        <w:rPr>
          <w:rFonts w:hint="eastAsia" w:ascii="仿宋_GB2312" w:hAnsi="微软雅黑" w:eastAsia="仿宋_GB2312" w:cs="仿宋_GB2312"/>
          <w:i w:val="0"/>
          <w:iCs w:val="0"/>
          <w:caps w:val="0"/>
          <w:color w:val="auto"/>
          <w:spacing w:val="0"/>
          <w:sz w:val="32"/>
          <w:szCs w:val="32"/>
          <w:shd w:val="clear" w:fill="FFFFFF"/>
          <w:lang w:val="en-US" w:eastAsia="zh-CN"/>
        </w:rPr>
        <w:t>2025年，南大园乡人民政府</w:t>
      </w:r>
      <w:r>
        <w:rPr>
          <w:rFonts w:hint="eastAsia" w:ascii="仿宋_GB2312" w:hAnsi="仿宋_GB2312" w:eastAsia="仿宋_GB2312" w:cs="仿宋_GB2312"/>
          <w:color w:val="auto"/>
          <w:kern w:val="0"/>
          <w:sz w:val="32"/>
          <w:szCs w:val="32"/>
        </w:rPr>
        <w:t>坚持以习近平新时代中国特色社会主义思想为指导，</w:t>
      </w:r>
      <w:r>
        <w:rPr>
          <w:rFonts w:hint="eastAsia" w:ascii="仿宋_GB2312" w:hAnsi="ˎ̥" w:eastAsia="仿宋_GB2312"/>
          <w:color w:val="auto"/>
          <w:sz w:val="32"/>
          <w:szCs w:val="32"/>
          <w:lang w:eastAsia="zh-CN"/>
        </w:rPr>
        <w:t>全面贯彻落实</w:t>
      </w:r>
      <w:r>
        <w:rPr>
          <w:rFonts w:hint="default" w:ascii="仿宋_GB2312" w:hAnsi="微软雅黑" w:eastAsia="仿宋_GB2312" w:cs="仿宋_GB2312"/>
          <w:i w:val="0"/>
          <w:iCs w:val="0"/>
          <w:caps w:val="0"/>
          <w:color w:val="auto"/>
          <w:spacing w:val="0"/>
          <w:sz w:val="32"/>
          <w:szCs w:val="32"/>
          <w:shd w:val="clear" w:fill="FFFFFF"/>
        </w:rPr>
        <w:t>区委、区政府</w:t>
      </w:r>
      <w:r>
        <w:rPr>
          <w:rFonts w:hint="eastAsia" w:ascii="仿宋_GB2312" w:eastAsia="仿宋_GB2312"/>
          <w:color w:val="auto"/>
          <w:sz w:val="32"/>
          <w:szCs w:val="32"/>
          <w:lang w:eastAsia="zh-CN"/>
        </w:rPr>
        <w:t>关于政务公开工作的决策部署，紧紧围绕经济社会发展和人民群众关注关切，不断丰富政务公开内容，创新政务公开形式，突出政务公开重点，</w:t>
      </w:r>
      <w:r>
        <w:rPr>
          <w:rFonts w:hint="eastAsia" w:ascii="仿宋_GB2312" w:hAnsi="仿宋_GB2312" w:eastAsia="仿宋_GB2312" w:cs="仿宋_GB2312"/>
          <w:color w:val="auto"/>
          <w:kern w:val="0"/>
          <w:sz w:val="32"/>
          <w:szCs w:val="32"/>
        </w:rPr>
        <w:t>以公开促规范</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促落实</w:t>
      </w:r>
      <w:r>
        <w:rPr>
          <w:rFonts w:hint="eastAsia" w:ascii="仿宋_GB2312" w:hAnsi="仿宋_GB2312" w:eastAsia="仿宋_GB2312" w:cs="仿宋_GB2312"/>
          <w:color w:val="auto"/>
          <w:kern w:val="0"/>
          <w:sz w:val="32"/>
          <w:szCs w:val="32"/>
          <w:lang w:eastAsia="zh-CN"/>
        </w:rPr>
        <w:t>、促</w:t>
      </w:r>
      <w:r>
        <w:rPr>
          <w:rFonts w:hint="eastAsia" w:ascii="仿宋_GB2312" w:hAnsi="仿宋_GB2312" w:eastAsia="仿宋_GB2312" w:cs="仿宋_GB2312"/>
          <w:color w:val="auto"/>
          <w:kern w:val="0"/>
          <w:sz w:val="32"/>
          <w:szCs w:val="32"/>
        </w:rPr>
        <w:t>服务，</w:t>
      </w:r>
      <w:r>
        <w:rPr>
          <w:rFonts w:hint="eastAsia" w:ascii="仿宋_GB2312" w:hAnsi="仿宋_GB2312" w:eastAsia="仿宋_GB2312" w:cs="仿宋_GB2312"/>
          <w:color w:val="auto"/>
          <w:kern w:val="0"/>
          <w:sz w:val="32"/>
          <w:szCs w:val="32"/>
          <w:lang w:eastAsia="zh-CN"/>
        </w:rPr>
        <w:t>不断</w:t>
      </w:r>
      <w:r>
        <w:rPr>
          <w:rFonts w:hint="eastAsia" w:ascii="仿宋_GB2312" w:hAnsi="仿宋_GB2312" w:eastAsia="仿宋_GB2312" w:cs="仿宋_GB2312"/>
          <w:color w:val="auto"/>
          <w:kern w:val="0"/>
          <w:sz w:val="32"/>
          <w:szCs w:val="32"/>
        </w:rPr>
        <w:t>提升政府信息公开</w:t>
      </w:r>
      <w:r>
        <w:rPr>
          <w:rFonts w:hint="eastAsia" w:ascii="仿宋_GB2312" w:hAnsi="仿宋_GB2312" w:eastAsia="仿宋_GB2312" w:cs="仿宋_GB2312"/>
          <w:color w:val="auto"/>
          <w:kern w:val="0"/>
          <w:sz w:val="32"/>
          <w:szCs w:val="32"/>
          <w:lang w:eastAsia="zh-CN"/>
        </w:rPr>
        <w:t>质效</w:t>
      </w:r>
      <w:r>
        <w:rPr>
          <w:rFonts w:hint="eastAsia" w:ascii="仿宋_GB2312" w:hAnsi="仿宋_GB2312" w:eastAsia="仿宋_GB2312" w:cs="仿宋_GB2312"/>
          <w:color w:val="auto"/>
          <w:kern w:val="0"/>
          <w:sz w:val="32"/>
          <w:szCs w:val="32"/>
        </w:rPr>
        <w:t>，切实提高人民群众获得感和满意度。</w:t>
      </w:r>
    </w:p>
    <w:p w14:paraId="19BD0F8E">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Times New Roman" w:eastAsia="仿宋_GB2312" w:cs="Times New Roman"/>
          <w:sz w:val="32"/>
          <w:szCs w:val="24"/>
          <w:lang w:val="en-US" w:eastAsia="zh-CN"/>
        </w:rPr>
      </w:pPr>
      <w:r>
        <w:rPr>
          <w:rFonts w:hint="eastAsia" w:ascii="仿宋_GB2312" w:hAnsi="仿宋" w:eastAsia="仿宋_GB2312" w:cs="Times New Roman"/>
          <w:b/>
          <w:bCs/>
          <w:sz w:val="32"/>
          <w:szCs w:val="32"/>
          <w:lang w:eastAsia="zh-CN"/>
        </w:rPr>
        <w:t>（一）主动公开方面</w:t>
      </w:r>
      <w:r>
        <w:rPr>
          <w:rFonts w:hint="eastAsia" w:ascii="仿宋_GB2312" w:hAnsi="仿宋" w:eastAsia="仿宋_GB2312" w:cs="Times New Roman"/>
          <w:b/>
          <w:bCs/>
          <w:sz w:val="32"/>
          <w:szCs w:val="32"/>
        </w:rPr>
        <w:t>。</w:t>
      </w:r>
      <w:r>
        <w:rPr>
          <w:rFonts w:hint="eastAsia" w:ascii="仿宋_GB2312" w:hAnsi="Times New Roman" w:eastAsia="仿宋_GB2312" w:cs="Times New Roman"/>
          <w:sz w:val="32"/>
          <w:szCs w:val="24"/>
          <w:lang w:val="en-US" w:eastAsia="zh-CN"/>
        </w:rPr>
        <w:t>严格按照上级要求，在保定市莲池区人民政府网行政执法板块、河北省行政执法公示平台公示执法事项和执法信息、执法流程等内容。</w:t>
      </w:r>
    </w:p>
    <w:p w14:paraId="32D70F0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i w:val="0"/>
          <w:iCs w:val="0"/>
          <w:caps w:val="0"/>
          <w:color w:val="000000"/>
          <w:spacing w:val="0"/>
          <w:sz w:val="32"/>
          <w:szCs w:val="32"/>
          <w:shd w:val="clear" w:fill="FFFFFF"/>
          <w:lang w:val="en-US" w:eastAsia="zh-CN"/>
        </w:rPr>
      </w:pPr>
      <w:r>
        <w:rPr>
          <w:rFonts w:hint="eastAsia" w:ascii="仿宋_GB2312" w:hAnsi="仿宋" w:eastAsia="仿宋_GB2312" w:cs="Times New Roman"/>
          <w:b/>
          <w:bCs/>
          <w:sz w:val="32"/>
          <w:szCs w:val="32"/>
          <w:lang w:eastAsia="zh-CN"/>
        </w:rPr>
        <w:t>（二）</w:t>
      </w:r>
      <w:r>
        <w:rPr>
          <w:rFonts w:hint="eastAsia" w:ascii="仿宋_GB2312" w:hAnsi="仿宋" w:eastAsia="仿宋_GB2312" w:cs="Times New Roman"/>
          <w:b/>
          <w:bCs/>
          <w:sz w:val="32"/>
          <w:szCs w:val="32"/>
        </w:rPr>
        <w:t>依申</w:t>
      </w:r>
      <w:r>
        <w:rPr>
          <w:rFonts w:hint="eastAsia" w:ascii="仿宋_GB2312" w:hAnsi="仿宋" w:eastAsia="仿宋_GB2312" w:cs="Times New Roman"/>
          <w:b/>
          <w:bCs/>
          <w:sz w:val="32"/>
          <w:szCs w:val="32"/>
          <w:lang w:val="en-US" w:eastAsia="zh-CN"/>
        </w:rPr>
        <w:t>请公开方面。</w:t>
      </w:r>
      <w:r>
        <w:rPr>
          <w:rFonts w:hint="eastAsia" w:ascii="仿宋_GB2312" w:hAnsi="仿宋_GB2312" w:eastAsia="仿宋_GB2312" w:cs="仿宋_GB2312"/>
          <w:i w:val="0"/>
          <w:iCs w:val="0"/>
          <w:caps w:val="0"/>
          <w:color w:val="000000"/>
          <w:spacing w:val="0"/>
          <w:sz w:val="32"/>
          <w:szCs w:val="32"/>
          <w:shd w:val="clear" w:fill="FFFFFF"/>
          <w:lang w:val="en-US" w:eastAsia="zh-CN"/>
        </w:rPr>
        <w:t>严格按照《中华人民共和国政府信息公开条例》《河北省政府信息公开申请办理规范》，进一步规范依申请公开工作，建立健全接收、登记、办理、答复等业务流程，对从网络、信函、政府交办卡等多种渠道收到的依申请公开事项均严格按照条例规定进行答复处理。2025年共收到政府信息公开申请5件，全部当年办结，答复时限、答复形式、答复内容都符合相关要求。</w:t>
      </w:r>
    </w:p>
    <w:p w14:paraId="15A45916">
      <w:pPr>
        <w:keepNext w:val="0"/>
        <w:keepLines w:val="0"/>
        <w:pageBreakBefore w:val="0"/>
        <w:widowControl/>
        <w:suppressLineNumbers w:val="0"/>
        <w:kinsoku/>
        <w:wordWrap/>
        <w:overflowPunct/>
        <w:topLinePunct w:val="0"/>
        <w:autoSpaceDE/>
        <w:autoSpaceDN/>
        <w:bidi w:val="0"/>
        <w:adjustRightInd/>
        <w:spacing w:line="560" w:lineRule="exact"/>
        <w:ind w:firstLine="643" w:firstLineChars="200"/>
        <w:jc w:val="left"/>
        <w:textAlignment w:val="auto"/>
        <w:rPr>
          <w:rFonts w:hint="eastAsia" w:ascii="仿宋_GB2312" w:hAnsi="仿宋_GB2312" w:eastAsia="仿宋_GB2312" w:cs="仿宋_GB2312"/>
          <w:i w:val="0"/>
          <w:caps w:val="0"/>
          <w:color w:val="000000"/>
          <w:spacing w:val="0"/>
          <w:sz w:val="32"/>
          <w:szCs w:val="32"/>
          <w:shd w:val="clear" w:color="auto" w:fill="FFFFFF"/>
          <w:lang w:val="en-US" w:eastAsia="zh-CN"/>
        </w:rPr>
      </w:pPr>
      <w:r>
        <w:rPr>
          <w:rFonts w:hint="eastAsia" w:ascii="仿宋_GB2312" w:hAnsi="仿宋_GB2312" w:eastAsia="仿宋_GB2312" w:cs="仿宋_GB2312"/>
          <w:b/>
          <w:bCs w:val="0"/>
          <w:i w:val="0"/>
          <w:iCs w:val="0"/>
          <w:caps w:val="0"/>
          <w:color w:val="000000"/>
          <w:spacing w:val="0"/>
          <w:kern w:val="0"/>
          <w:sz w:val="32"/>
          <w:szCs w:val="32"/>
          <w:shd w:val="clear" w:color="auto" w:fill="FFFFFF"/>
          <w:lang w:val="en-US" w:eastAsia="zh-CN" w:bidi="ar"/>
        </w:rPr>
        <w:t>（三）</w:t>
      </w:r>
      <w:r>
        <w:rPr>
          <w:rFonts w:hint="eastAsia" w:ascii="仿宋_GB2312" w:hAnsi="仿宋_GB2312" w:eastAsia="仿宋_GB2312" w:cs="仿宋_GB2312"/>
          <w:b/>
          <w:bCs w:val="0"/>
          <w:i w:val="0"/>
          <w:caps w:val="0"/>
          <w:color w:val="000000"/>
          <w:spacing w:val="0"/>
          <w:sz w:val="32"/>
          <w:szCs w:val="32"/>
          <w:shd w:val="clear" w:color="auto" w:fill="FFFFFF"/>
          <w:lang w:val="en-US" w:eastAsia="zh-CN"/>
        </w:rPr>
        <w:t>政府信息管理方面。</w:t>
      </w:r>
      <w:r>
        <w:rPr>
          <w:rFonts w:hint="eastAsia" w:ascii="仿宋_GB2312" w:hAnsi="仿宋" w:eastAsia="仿宋_GB2312" w:cs="Times New Roman"/>
          <w:bCs/>
          <w:sz w:val="32"/>
          <w:szCs w:val="32"/>
          <w:lang w:val="en-US" w:eastAsia="zh-CN"/>
        </w:rPr>
        <w:t>及时在区政府网站</w:t>
      </w:r>
      <w:r>
        <w:rPr>
          <w:rFonts w:hint="eastAsia" w:ascii="仿宋_GB2312" w:hAnsi="仿宋_GB2312" w:eastAsia="仿宋_GB2312" w:cs="仿宋_GB2312"/>
          <w:b w:val="0"/>
          <w:bCs/>
          <w:color w:val="auto"/>
          <w:sz w:val="32"/>
          <w:szCs w:val="32"/>
          <w:lang w:val="en-US" w:eastAsia="zh-CN"/>
        </w:rPr>
        <w:t>调整更新本单位的</w:t>
      </w:r>
      <w:r>
        <w:rPr>
          <w:rFonts w:hint="eastAsia" w:ascii="仿宋_GB2312" w:hAnsi="仿宋" w:eastAsia="仿宋_GB2312" w:cs="Times New Roman"/>
          <w:bCs/>
          <w:sz w:val="32"/>
          <w:szCs w:val="32"/>
          <w:lang w:val="en-US" w:eastAsia="zh-CN"/>
        </w:rPr>
        <w:t>机构职能等信息。</w:t>
      </w:r>
    </w:p>
    <w:p w14:paraId="0CE0633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default" w:ascii="仿宋_GB2312" w:hAnsi="Times New Roman" w:eastAsia="仿宋_GB2312" w:cs="Times New Roman"/>
          <w:sz w:val="32"/>
          <w:szCs w:val="24"/>
          <w:lang w:val="en-US" w:eastAsia="zh-CN"/>
        </w:rPr>
      </w:pPr>
      <w:r>
        <w:rPr>
          <w:rFonts w:hint="eastAsia" w:ascii="仿宋_GB2312" w:hAnsi="仿宋_GB2312" w:eastAsia="仿宋_GB2312" w:cs="仿宋_GB2312"/>
          <w:b/>
          <w:bCs w:val="0"/>
          <w:i w:val="0"/>
          <w:iCs w:val="0"/>
          <w:caps w:val="0"/>
          <w:color w:val="000000"/>
          <w:spacing w:val="0"/>
          <w:kern w:val="0"/>
          <w:sz w:val="32"/>
          <w:szCs w:val="32"/>
          <w:shd w:val="clear" w:color="auto" w:fill="FFFFFF"/>
          <w:lang w:val="en-US" w:eastAsia="zh-CN" w:bidi="ar"/>
        </w:rPr>
        <w:t>（四）政府信息</w:t>
      </w:r>
      <w:r>
        <w:rPr>
          <w:rFonts w:hint="eastAsia" w:ascii="仿宋_GB2312" w:hAnsi="仿宋_GB2312" w:eastAsia="仿宋_GB2312" w:cs="仿宋_GB2312"/>
          <w:b/>
          <w:bCs w:val="0"/>
          <w:sz w:val="32"/>
          <w:szCs w:val="32"/>
        </w:rPr>
        <w:t>平台建设</w:t>
      </w:r>
      <w:r>
        <w:rPr>
          <w:rFonts w:hint="eastAsia" w:ascii="仿宋_GB2312" w:hAnsi="仿宋_GB2312" w:eastAsia="仿宋_GB2312" w:cs="仿宋_GB2312"/>
          <w:b/>
          <w:bCs w:val="0"/>
          <w:sz w:val="32"/>
          <w:szCs w:val="32"/>
          <w:lang w:eastAsia="zh-CN"/>
        </w:rPr>
        <w:t>方面</w:t>
      </w:r>
      <w:r>
        <w:rPr>
          <w:rFonts w:hint="eastAsia" w:ascii="仿宋_GB2312" w:hAnsi="仿宋_GB2312" w:eastAsia="仿宋_GB2312" w:cs="仿宋_GB2312"/>
          <w:b/>
          <w:bCs w:val="0"/>
          <w:sz w:val="32"/>
          <w:szCs w:val="32"/>
        </w:rPr>
        <w:t>。</w:t>
      </w:r>
      <w:r>
        <w:rPr>
          <w:rFonts w:hint="eastAsia" w:ascii="仿宋_GB2312" w:hAnsi="Times New Roman" w:eastAsia="仿宋_GB2312" w:cs="Times New Roman"/>
          <w:sz w:val="32"/>
          <w:szCs w:val="24"/>
          <w:lang w:val="en-US" w:eastAsia="zh-CN"/>
        </w:rPr>
        <w:t>充分发挥政务新媒体正面宣传引导作用，严格落实政务新媒体账号备案登记制度，认真履行信息发布审核制度，确保信息发布准确安全。</w:t>
      </w:r>
    </w:p>
    <w:p w14:paraId="0AE7A40F">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Times New Roman" w:eastAsia="仿宋_GB2312" w:cs="Times New Roman"/>
          <w:sz w:val="32"/>
          <w:szCs w:val="24"/>
          <w:lang w:val="en-US" w:eastAsia="zh-CN"/>
        </w:rPr>
      </w:pPr>
      <w:r>
        <w:rPr>
          <w:rFonts w:hint="eastAsia" w:ascii="仿宋_GB2312" w:hAnsi="仿宋_GB2312" w:eastAsia="仿宋_GB2312" w:cs="仿宋_GB2312"/>
          <w:b/>
          <w:bCs w:val="0"/>
          <w:i w:val="0"/>
          <w:iCs w:val="0"/>
          <w:caps w:val="0"/>
          <w:color w:val="000000"/>
          <w:spacing w:val="0"/>
          <w:kern w:val="0"/>
          <w:sz w:val="32"/>
          <w:szCs w:val="32"/>
          <w:shd w:val="clear" w:color="auto" w:fill="FFFFFF"/>
          <w:lang w:val="en-US" w:eastAsia="zh-CN" w:bidi="ar"/>
        </w:rPr>
        <w:t>（五）监督保障方面</w:t>
      </w:r>
      <w:r>
        <w:rPr>
          <w:rFonts w:hint="eastAsia" w:ascii="仿宋_GB2312" w:hAnsi="仿宋" w:eastAsia="仿宋_GB2312" w:cs="Times New Roman"/>
          <w:b/>
          <w:bCs w:val="0"/>
          <w:kern w:val="2"/>
          <w:sz w:val="32"/>
          <w:szCs w:val="32"/>
          <w:lang w:val="en-US" w:eastAsia="zh-CN" w:bidi="ar-SA"/>
        </w:rPr>
        <w:t>。</w:t>
      </w:r>
      <w:r>
        <w:rPr>
          <w:rFonts w:hint="eastAsia" w:ascii="仿宋_GB2312" w:hAnsi="Times New Roman" w:eastAsia="仿宋_GB2312" w:cs="Times New Roman"/>
          <w:sz w:val="32"/>
          <w:szCs w:val="24"/>
          <w:lang w:val="en-US" w:eastAsia="zh-CN"/>
        </w:rPr>
        <w:t>根据《中华人民共和国保守国家秘密法》和《中华人民共和国政府信息公开条例》的规定，按照“谁公开、谁审查、谁负责”和“涉密的不公开、公开的不涉密”原则，对拟发布信息内容的准确性、完整性、时效性以及是否涉密进行把关，避免出现信息发布泄密、失信、影响社会稳定等问题。</w:t>
      </w:r>
    </w:p>
    <w:p w14:paraId="65DA4191">
      <w:pPr>
        <w:keepNext w:val="0"/>
        <w:keepLines w:val="0"/>
        <w:pageBreakBefore w:val="0"/>
        <w:kinsoku/>
        <w:wordWrap/>
        <w:overflowPunct/>
        <w:topLinePunct w:val="0"/>
        <w:autoSpaceDE w:val="0"/>
        <w:autoSpaceDN/>
        <w:bidi w:val="0"/>
        <w:adjustRightInd/>
        <w:spacing w:line="560" w:lineRule="exact"/>
        <w:ind w:firstLine="640"/>
        <w:textAlignment w:val="auto"/>
        <w:rPr>
          <w:rFonts w:ascii="黑体" w:hAnsi="黑体" w:eastAsia="黑体" w:cs="宋体"/>
          <w:color w:val="000000"/>
          <w:kern w:val="0"/>
          <w:sz w:val="32"/>
          <w:szCs w:val="32"/>
          <w:highlight w:val="none"/>
        </w:rPr>
      </w:pPr>
      <w:r>
        <w:rPr>
          <w:rFonts w:ascii="黑体" w:hAnsi="黑体" w:eastAsia="黑体" w:cs="宋体"/>
          <w:color w:val="000000"/>
          <w:kern w:val="0"/>
          <w:sz w:val="32"/>
          <w:szCs w:val="32"/>
          <w:highlight w:val="none"/>
        </w:rPr>
        <w:t>二、主动公开政府信息情况</w:t>
      </w:r>
    </w:p>
    <w:tbl>
      <w:tblPr>
        <w:tblStyle w:val="7"/>
        <w:tblW w:w="97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2435"/>
        <w:gridCol w:w="2435"/>
        <w:gridCol w:w="2435"/>
        <w:gridCol w:w="2435"/>
      </w:tblGrid>
      <w:tr w14:paraId="479C2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6DF898B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第二十条第（一）项</w:t>
            </w:r>
          </w:p>
        </w:tc>
      </w:tr>
      <w:tr w14:paraId="76663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6E1D7B2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信息内容</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42F6B84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本年</w:t>
            </w:r>
            <w:r>
              <w:rPr>
                <w:rFonts w:hint="eastAsia" w:ascii="宋体" w:hAnsi="宋体" w:eastAsia="宋体" w:cs="宋体"/>
                <w:kern w:val="0"/>
                <w:sz w:val="20"/>
                <w:szCs w:val="20"/>
                <w:lang w:val="en-US" w:eastAsia="zh-CN" w:bidi="ar"/>
              </w:rPr>
              <w:t>制发件数</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66506A4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本年废止件数</w:t>
            </w:r>
          </w:p>
        </w:tc>
        <w:tc>
          <w:tcPr>
            <w:tcW w:w="2435"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24F71B4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现行有效件</w:t>
            </w:r>
            <w:r>
              <w:rPr>
                <w:rFonts w:hint="eastAsia" w:ascii="宋体" w:hAnsi="宋体" w:eastAsia="宋体" w:cs="宋体"/>
                <w:kern w:val="0"/>
                <w:sz w:val="20"/>
                <w:szCs w:val="20"/>
                <w:lang w:val="en-US" w:eastAsia="zh-CN" w:bidi="ar"/>
              </w:rPr>
              <w:t>数</w:t>
            </w:r>
          </w:p>
        </w:tc>
      </w:tr>
      <w:tr w14:paraId="440D5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55F73E2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规章</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DF60B7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F08053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DBB55F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0</w:t>
            </w:r>
          </w:p>
        </w:tc>
      </w:tr>
      <w:tr w14:paraId="0576C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29B69AC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行政规范性文件</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787826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Theme="minorEastAsia" w:hAnsiTheme="minorEastAsia" w:eastAsiaTheme="minorEastAsia" w:cstheme="minorEastAsia"/>
                <w:sz w:val="24"/>
                <w:szCs w:val="24"/>
                <w:lang w:val="en-US"/>
              </w:rPr>
            </w:pPr>
            <w:r>
              <w:rPr>
                <w:rFonts w:hint="eastAsia" w:asciiTheme="minorEastAsia" w:hAnsiTheme="minorEastAsia" w:cstheme="minorEastAsia"/>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756CA2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color w:val="000000"/>
                <w:kern w:val="0"/>
                <w:sz w:val="24"/>
                <w:szCs w:val="24"/>
                <w:lang w:val="en-US" w:eastAsia="zh-CN" w:bidi="ar"/>
              </w:rPr>
              <w:t>0</w:t>
            </w:r>
          </w:p>
        </w:tc>
        <w:tc>
          <w:tcPr>
            <w:tcW w:w="2435"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2A1835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0</w:t>
            </w:r>
          </w:p>
        </w:tc>
      </w:tr>
      <w:tr w14:paraId="128DB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60676FE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第二十条第（五）项</w:t>
            </w:r>
          </w:p>
        </w:tc>
      </w:tr>
      <w:tr w14:paraId="7B9B9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29DB981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6AF4C7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本年处理决定数量</w:t>
            </w:r>
          </w:p>
        </w:tc>
      </w:tr>
      <w:tr w14:paraId="4C13C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55087EE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行政许可</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50081AF">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2560</w:t>
            </w:r>
          </w:p>
        </w:tc>
      </w:tr>
      <w:tr w14:paraId="2DB99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2BF8B46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第二十条第（六）项</w:t>
            </w:r>
          </w:p>
        </w:tc>
      </w:tr>
      <w:tr w14:paraId="2D5DE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1C28F6F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0"/>
              <w:jc w:val="center"/>
              <w:textAlignment w:val="auto"/>
            </w:pPr>
            <w:r>
              <w:rPr>
                <w:rFonts w:hint="eastAsia" w:ascii="宋体" w:hAnsi="宋体" w:eastAsia="宋体" w:cs="宋体"/>
                <w:color w:val="000000"/>
                <w:kern w:val="0"/>
                <w:sz w:val="20"/>
                <w:szCs w:val="20"/>
                <w:lang w:val="en-US" w:eastAsia="zh-CN" w:bidi="ar"/>
              </w:rPr>
              <w:t>信息内容</w:t>
            </w:r>
          </w:p>
        </w:tc>
        <w:tc>
          <w:tcPr>
            <w:tcW w:w="7305" w:type="dxa"/>
            <w:gridSpan w:val="3"/>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66F43AF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0"/>
              <w:jc w:val="center"/>
              <w:textAlignment w:val="auto"/>
            </w:pPr>
            <w:r>
              <w:rPr>
                <w:rFonts w:hint="eastAsia" w:ascii="宋体" w:hAnsi="宋体" w:eastAsia="宋体" w:cs="宋体"/>
                <w:color w:val="000000"/>
                <w:kern w:val="0"/>
                <w:sz w:val="20"/>
                <w:szCs w:val="20"/>
                <w:lang w:val="en-US" w:eastAsia="zh-CN" w:bidi="ar"/>
              </w:rPr>
              <w:t>本年处理决定数量</w:t>
            </w:r>
          </w:p>
        </w:tc>
      </w:tr>
      <w:tr w14:paraId="3325E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1712D28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行政处罚</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E756EC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rPr>
                <w:rFonts w:hint="default" w:eastAsiaTheme="minorEastAsia"/>
                <w:lang w:val="en-US" w:eastAsia="zh-CN"/>
              </w:rPr>
            </w:pPr>
            <w:r>
              <w:rPr>
                <w:rFonts w:hint="eastAsia" w:ascii="宋体"/>
                <w:sz w:val="24"/>
                <w:szCs w:val="24"/>
                <w:lang w:val="en-US" w:eastAsia="zh-CN"/>
              </w:rPr>
              <w:t>0</w:t>
            </w:r>
          </w:p>
        </w:tc>
      </w:tr>
      <w:tr w14:paraId="6C04A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2A3349A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行政强制</w:t>
            </w:r>
          </w:p>
        </w:tc>
        <w:tc>
          <w:tcPr>
            <w:tcW w:w="7305" w:type="dxa"/>
            <w:gridSpan w:val="3"/>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A1246E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sz w:val="24"/>
                <w:szCs w:val="24"/>
                <w:lang w:val="en-US" w:eastAsia="zh-CN"/>
              </w:rPr>
              <w:t>0</w:t>
            </w:r>
          </w:p>
        </w:tc>
      </w:tr>
      <w:tr w14:paraId="74FC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noWrap w:val="0"/>
            <w:tcMar>
              <w:top w:w="0" w:type="dxa"/>
              <w:left w:w="57" w:type="dxa"/>
              <w:bottom w:w="0" w:type="dxa"/>
              <w:right w:w="57" w:type="dxa"/>
            </w:tcMar>
            <w:vAlign w:val="center"/>
          </w:tcPr>
          <w:p w14:paraId="6CB0525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第二十条第（八）项</w:t>
            </w:r>
          </w:p>
        </w:tc>
      </w:tr>
      <w:tr w14:paraId="06D48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51B50B0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000000" w:sz="8" w:space="0"/>
            </w:tcBorders>
            <w:noWrap w:val="0"/>
            <w:tcMar>
              <w:top w:w="0" w:type="dxa"/>
              <w:left w:w="57" w:type="dxa"/>
              <w:bottom w:w="0" w:type="dxa"/>
              <w:right w:w="57" w:type="dxa"/>
            </w:tcMar>
            <w:vAlign w:val="center"/>
          </w:tcPr>
          <w:p w14:paraId="1274265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本年收费金额（单位：万元）</w:t>
            </w:r>
          </w:p>
        </w:tc>
      </w:tr>
      <w:tr w14:paraId="7C4EE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2175637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color w:val="000000"/>
                <w:kern w:val="0"/>
                <w:sz w:val="20"/>
                <w:szCs w:val="20"/>
                <w:lang w:val="en-US" w:eastAsia="zh-CN" w:bidi="ar"/>
              </w:rPr>
              <w:t>行政事业性收费</w:t>
            </w:r>
          </w:p>
        </w:tc>
        <w:tc>
          <w:tcPr>
            <w:tcW w:w="7305" w:type="dxa"/>
            <w:gridSpan w:val="3"/>
            <w:tcBorders>
              <w:top w:val="nil"/>
              <w:left w:val="nil"/>
              <w:bottom w:val="single" w:color="auto" w:sz="8" w:space="0"/>
              <w:right w:val="single" w:color="000000" w:sz="8" w:space="0"/>
            </w:tcBorders>
            <w:noWrap w:val="0"/>
            <w:tcMar>
              <w:top w:w="0" w:type="dxa"/>
              <w:left w:w="57" w:type="dxa"/>
              <w:bottom w:w="0" w:type="dxa"/>
              <w:right w:w="57" w:type="dxa"/>
            </w:tcMar>
            <w:vAlign w:val="center"/>
          </w:tcPr>
          <w:p w14:paraId="41595C7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bl>
    <w:p w14:paraId="22BB71E3">
      <w:pPr>
        <w:keepNext w:val="0"/>
        <w:keepLines w:val="0"/>
        <w:pageBreakBefore w:val="0"/>
        <w:widowControl/>
        <w:shd w:val="clear" w:color="auto" w:fill="FFFFFF"/>
        <w:kinsoku/>
        <w:wordWrap/>
        <w:overflowPunct/>
        <w:topLinePunct w:val="0"/>
        <w:autoSpaceDE/>
        <w:autoSpaceDN/>
        <w:bidi w:val="0"/>
        <w:adjustRightInd/>
        <w:snapToGrid/>
        <w:spacing w:line="360" w:lineRule="atLeast"/>
        <w:ind w:firstLine="640" w:firstLineChars="200"/>
        <w:textAlignment w:val="auto"/>
        <w:rPr>
          <w:rFonts w:ascii="黑体" w:hAnsi="黑体" w:eastAsia="黑体" w:cs="宋体"/>
          <w:color w:val="000000"/>
          <w:kern w:val="0"/>
          <w:sz w:val="32"/>
          <w:szCs w:val="32"/>
          <w:highlight w:val="none"/>
        </w:rPr>
      </w:pPr>
      <w:r>
        <w:rPr>
          <w:rFonts w:ascii="黑体" w:hAnsi="黑体" w:eastAsia="黑体" w:cs="宋体"/>
          <w:color w:val="000000"/>
          <w:kern w:val="0"/>
          <w:sz w:val="32"/>
          <w:szCs w:val="32"/>
          <w:highlight w:val="none"/>
        </w:rPr>
        <w:t>三、收到和处理政府信息公开申请情况</w:t>
      </w:r>
    </w:p>
    <w:tbl>
      <w:tblPr>
        <w:tblStyle w:val="7"/>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768"/>
        <w:gridCol w:w="943"/>
        <w:gridCol w:w="3220"/>
        <w:gridCol w:w="688"/>
        <w:gridCol w:w="688"/>
        <w:gridCol w:w="688"/>
        <w:gridCol w:w="688"/>
        <w:gridCol w:w="688"/>
        <w:gridCol w:w="688"/>
        <w:gridCol w:w="689"/>
      </w:tblGrid>
      <w:tr w14:paraId="2CFF704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931" w:type="dxa"/>
            <w:gridSpan w:val="3"/>
            <w:vMerge w:val="restart"/>
            <w:tcBorders>
              <w:top w:val="single" w:color="auto" w:sz="8" w:space="0"/>
              <w:left w:val="single" w:color="auto" w:sz="8" w:space="0"/>
              <w:bottom w:val="outset" w:color="auto" w:sz="8" w:space="0"/>
              <w:right w:val="single" w:color="auto" w:sz="8" w:space="0"/>
            </w:tcBorders>
            <w:noWrap w:val="0"/>
            <w:tcMar>
              <w:top w:w="0" w:type="dxa"/>
              <w:left w:w="108" w:type="dxa"/>
              <w:bottom w:w="0" w:type="dxa"/>
              <w:right w:w="108" w:type="dxa"/>
            </w:tcMar>
            <w:vAlign w:val="center"/>
          </w:tcPr>
          <w:p w14:paraId="3B316F9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楷体" w:hAnsi="楷体" w:eastAsia="楷体" w:cs="楷体"/>
                <w:kern w:val="0"/>
                <w:sz w:val="20"/>
                <w:szCs w:val="20"/>
                <w:lang w:val="en-US" w:eastAsia="zh-CN" w:bidi="ar"/>
              </w:rPr>
              <w:t>（本列数据的勾稽关系为：第一项加第二项之和，等于第三项加第四项之和）</w:t>
            </w:r>
          </w:p>
        </w:tc>
        <w:tc>
          <w:tcPr>
            <w:tcW w:w="4817" w:type="dxa"/>
            <w:gridSpan w:val="7"/>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14AD132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申请人情况</w:t>
            </w:r>
          </w:p>
        </w:tc>
      </w:tr>
      <w:tr w14:paraId="1A1DBBD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931" w:type="dxa"/>
            <w:gridSpan w:val="3"/>
            <w:vMerge w:val="continue"/>
            <w:tcBorders>
              <w:top w:val="single" w:color="auto" w:sz="8" w:space="0"/>
              <w:left w:val="single" w:color="auto" w:sz="8" w:space="0"/>
              <w:bottom w:val="outset" w:color="auto" w:sz="8" w:space="0"/>
              <w:right w:val="single" w:color="auto" w:sz="8" w:space="0"/>
            </w:tcBorders>
            <w:noWrap w:val="0"/>
            <w:tcMar>
              <w:top w:w="0" w:type="dxa"/>
              <w:left w:w="108" w:type="dxa"/>
              <w:bottom w:w="0" w:type="dxa"/>
              <w:right w:w="108" w:type="dxa"/>
            </w:tcMar>
            <w:vAlign w:val="center"/>
          </w:tcPr>
          <w:p w14:paraId="1EF8B5D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688" w:type="dxa"/>
            <w:vMerge w:val="restart"/>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3FCF10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自然人</w:t>
            </w:r>
          </w:p>
        </w:tc>
        <w:tc>
          <w:tcPr>
            <w:tcW w:w="3440" w:type="dxa"/>
            <w:gridSpan w:val="5"/>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53B1E7F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法人或其他组织</w:t>
            </w:r>
          </w:p>
        </w:tc>
        <w:tc>
          <w:tcPr>
            <w:tcW w:w="689" w:type="dxa"/>
            <w:vMerge w:val="restart"/>
            <w:tcBorders>
              <w:top w:val="single" w:color="auto" w:sz="8" w:space="0"/>
              <w:left w:val="nil"/>
              <w:bottom w:val="outset" w:color="auto" w:sz="8" w:space="0"/>
              <w:right w:val="single" w:color="auto" w:sz="8" w:space="0"/>
            </w:tcBorders>
            <w:noWrap w:val="0"/>
            <w:tcMar>
              <w:top w:w="0" w:type="dxa"/>
              <w:left w:w="57" w:type="dxa"/>
              <w:bottom w:w="0" w:type="dxa"/>
              <w:right w:w="57" w:type="dxa"/>
            </w:tcMar>
            <w:vAlign w:val="center"/>
          </w:tcPr>
          <w:p w14:paraId="52CDE2C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总计</w:t>
            </w:r>
          </w:p>
        </w:tc>
      </w:tr>
      <w:tr w14:paraId="6943BA8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931" w:type="dxa"/>
            <w:gridSpan w:val="3"/>
            <w:vMerge w:val="continue"/>
            <w:tcBorders>
              <w:top w:val="single" w:color="auto" w:sz="8" w:space="0"/>
              <w:left w:val="single" w:color="auto" w:sz="8" w:space="0"/>
              <w:bottom w:val="outset" w:color="auto" w:sz="8" w:space="0"/>
              <w:right w:val="single" w:color="auto" w:sz="8" w:space="0"/>
            </w:tcBorders>
            <w:noWrap w:val="0"/>
            <w:tcMar>
              <w:top w:w="0" w:type="dxa"/>
              <w:left w:w="108" w:type="dxa"/>
              <w:bottom w:w="0" w:type="dxa"/>
              <w:right w:w="108" w:type="dxa"/>
            </w:tcMar>
            <w:vAlign w:val="center"/>
          </w:tcPr>
          <w:p w14:paraId="0D3A8D4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688" w:type="dxa"/>
            <w:vMerge w:val="continue"/>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AFEBAE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ACBD53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商业</w:t>
            </w:r>
          </w:p>
          <w:p w14:paraId="78C190C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企业</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804F0E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科研</w:t>
            </w:r>
          </w:p>
          <w:p w14:paraId="226F271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机构</w:t>
            </w:r>
          </w:p>
        </w:tc>
        <w:tc>
          <w:tcPr>
            <w:tcW w:w="688"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4640BC5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社会公益组织</w:t>
            </w:r>
          </w:p>
        </w:tc>
        <w:tc>
          <w:tcPr>
            <w:tcW w:w="688"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3E2CB66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法律服务机构</w:t>
            </w:r>
          </w:p>
        </w:tc>
        <w:tc>
          <w:tcPr>
            <w:tcW w:w="688"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685FE8F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center"/>
              <w:textAlignment w:val="auto"/>
            </w:pPr>
            <w:r>
              <w:rPr>
                <w:rFonts w:hint="eastAsia" w:ascii="宋体" w:hAnsi="宋体" w:eastAsia="宋体" w:cs="宋体"/>
                <w:kern w:val="0"/>
                <w:sz w:val="20"/>
                <w:szCs w:val="20"/>
                <w:lang w:val="en-US" w:eastAsia="zh-CN" w:bidi="ar"/>
              </w:rPr>
              <w:t>其他</w:t>
            </w:r>
          </w:p>
        </w:tc>
        <w:tc>
          <w:tcPr>
            <w:tcW w:w="689" w:type="dxa"/>
            <w:vMerge w:val="continue"/>
            <w:tcBorders>
              <w:top w:val="single" w:color="auto" w:sz="8" w:space="0"/>
              <w:left w:val="nil"/>
              <w:bottom w:val="outset" w:color="auto" w:sz="8" w:space="0"/>
              <w:right w:val="single" w:color="auto" w:sz="8" w:space="0"/>
            </w:tcBorders>
            <w:noWrap w:val="0"/>
            <w:tcMar>
              <w:top w:w="0" w:type="dxa"/>
              <w:left w:w="57" w:type="dxa"/>
              <w:bottom w:w="0" w:type="dxa"/>
              <w:right w:w="57" w:type="dxa"/>
            </w:tcMar>
            <w:vAlign w:val="center"/>
          </w:tcPr>
          <w:p w14:paraId="213C987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r>
      <w:tr w14:paraId="3CBB48E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931" w:type="dxa"/>
            <w:gridSpan w:val="3"/>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6AE0079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一、本年新收政府信息公开申请数量</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F5D333E">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5</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06839F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4C16A6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3EC108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7790DF6">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442F43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D45F9B7">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5</w:t>
            </w:r>
          </w:p>
        </w:tc>
      </w:tr>
      <w:tr w14:paraId="1819AF4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931" w:type="dxa"/>
            <w:gridSpan w:val="3"/>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4D11E92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二、上年结转政府信息公开申请数量</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D9CB6D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C6BC1C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9FEA73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A1A7FC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C601C9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BCA2BC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8DA5DD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r w14:paraId="49F6836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8" w:type="dxa"/>
            <w:vMerge w:val="restart"/>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631F1B0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三、本年度办理结果</w:t>
            </w:r>
          </w:p>
        </w:tc>
        <w:tc>
          <w:tcPr>
            <w:tcW w:w="4163" w:type="dxa"/>
            <w:gridSpan w:val="2"/>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161EF2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（一）予以公开</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ED755BF">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2</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476C3C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6FAE59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C21DB7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08497D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D97A53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9"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11B30DF7">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2</w:t>
            </w:r>
          </w:p>
        </w:tc>
      </w:tr>
      <w:tr w14:paraId="1F3FC7D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3D54C54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4163" w:type="dxa"/>
            <w:gridSpan w:val="2"/>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15C3AA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（二）部分公开</w:t>
            </w:r>
            <w:r>
              <w:rPr>
                <w:rFonts w:hint="eastAsia" w:ascii="楷体" w:hAnsi="楷体" w:eastAsia="楷体" w:cs="楷体"/>
                <w:kern w:val="0"/>
                <w:sz w:val="20"/>
                <w:szCs w:val="20"/>
                <w:lang w:val="en-US" w:eastAsia="zh-CN" w:bidi="ar"/>
              </w:rPr>
              <w:t>（区分处理的，只计这一情形，不计其他情形）</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7A2F90E">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3</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518B06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FAD6D4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9137F5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10B59E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862577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371CC8D">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3</w:t>
            </w:r>
          </w:p>
        </w:tc>
      </w:tr>
      <w:tr w14:paraId="41A798B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417E3E3D">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restart"/>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7126ADF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（三）不予公开</w:t>
            </w:r>
          </w:p>
        </w:tc>
        <w:tc>
          <w:tcPr>
            <w:tcW w:w="3220"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4670DE0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1.属于国家秘密</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411DF6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584B91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D8FDA0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05188B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EEB198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356852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single" w:color="auto" w:sz="8" w:space="0"/>
              <w:left w:val="nil"/>
              <w:bottom w:val="single" w:color="auto" w:sz="8" w:space="0"/>
              <w:right w:val="single" w:color="auto" w:sz="8" w:space="0"/>
            </w:tcBorders>
            <w:noWrap w:val="0"/>
            <w:tcMar>
              <w:top w:w="0" w:type="dxa"/>
              <w:left w:w="57" w:type="dxa"/>
              <w:bottom w:w="0" w:type="dxa"/>
              <w:right w:w="57" w:type="dxa"/>
            </w:tcMar>
            <w:vAlign w:val="center"/>
          </w:tcPr>
          <w:p w14:paraId="74ACB44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3E68852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4A01A6C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41CF9D0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5FCFEE9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2.其他法律行政法规禁止公开</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D46032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9E5D05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31F52E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1711C3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F4483E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6D8478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DCB747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57C4171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3FB8A48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0F24723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21F95DE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3.危及“三安全一稳定”</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058DFF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93BEEF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8027B7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9BDB31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87B108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4E4687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4DD801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20FC14A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73586F9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7370D02D">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6CCCAB0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4.保护第三方合法权益</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A7E3ED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CA7DCF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5D7DEA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5A61FF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9C6FA6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679445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201113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41C0797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2D7BA3D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78A3771E">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549D670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5.属于三类内部事务信息</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F1AD4C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E9C178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CB24D8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157C8E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301FB7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C8FD03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CA5A7B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113234D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37D29EC4">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496EBE2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2531594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6.属于四类过程性信息</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A1E8B8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4057E4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209D66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5CE6E4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AAB8B9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8AF223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4A9A91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65DFA4D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3520ECE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090CF0E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6A9A238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7.属于行政执法案卷</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2616AE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E2F954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526FEB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09C6C4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7D191D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A4311D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E0483F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2C87F2C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2FA9CA8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786BBD9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2690104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8.属于行政查询事项</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019ABF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BFE6C6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76C96D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507D6D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A956FC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A80331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9346ED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2F72CC4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72896D7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restart"/>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11E7C74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（四）无法提供</w:t>
            </w:r>
          </w:p>
        </w:tc>
        <w:tc>
          <w:tcPr>
            <w:tcW w:w="3220"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035E398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1.本机关不掌握相关政府信息</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F97D8D3">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0F98117">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B58510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CF4272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F0B8484">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5D537B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44A8F40">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eastAsiaTheme="minorEastAsia"/>
                <w:sz w:val="24"/>
                <w:szCs w:val="24"/>
                <w:lang w:val="en-US" w:eastAsia="zh-CN"/>
              </w:rPr>
            </w:pPr>
            <w:r>
              <w:rPr>
                <w:rFonts w:hint="eastAsia" w:ascii="宋体"/>
                <w:sz w:val="24"/>
                <w:szCs w:val="24"/>
                <w:lang w:val="en-US" w:eastAsia="zh-CN"/>
              </w:rPr>
              <w:t xml:space="preserve">0 </w:t>
            </w:r>
          </w:p>
        </w:tc>
      </w:tr>
      <w:tr w14:paraId="1180849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32A6B38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2DCAAA3B">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51DF463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2.没有现成信息需要另行制作</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2F8C9E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29B7E0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7E2B5C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81E570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B429D2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390167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615616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12F36E4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3648D69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6A453BA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5C7DFB1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3.补正后申请内容仍不明确</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657FB2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9FE051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FE7C93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B69A0A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FC2D1E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E99646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F842A5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47600D5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008E080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restart"/>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6948D17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（五）不予处理</w:t>
            </w:r>
          </w:p>
        </w:tc>
        <w:tc>
          <w:tcPr>
            <w:tcW w:w="3220"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04D90FD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1.信访举报投诉类申请</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06D76E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7CF309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89E827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1A2B8C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2231E2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A2283D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D8A83F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r w14:paraId="3574E29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58280C8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449CAF7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7CC92E2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2.重复申请</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59BCA4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D150C7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D290D4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C1C454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1D1E3A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9A3A11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EB12FC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50A12B2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776BC959">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2CC8EAE5">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2648C83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3.要求提供公开出版物</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BDF955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46E0E8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3941C4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7C352D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32B97A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862D25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5CE93C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0EF0DE0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423EBDAF">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4743228C">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noWrap w:val="0"/>
            <w:tcMar>
              <w:top w:w="0" w:type="dxa"/>
              <w:left w:w="57" w:type="dxa"/>
              <w:bottom w:w="0" w:type="dxa"/>
              <w:right w:w="57" w:type="dxa"/>
            </w:tcMar>
            <w:vAlign w:val="top"/>
          </w:tcPr>
          <w:p w14:paraId="79262CA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4.无正当理由大量反复申请</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EB8BA6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07DF83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00C911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F468BA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CDFC9F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00F30D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066856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6601369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779" w:hRule="atLeast"/>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4C474B5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6296AEC8">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20"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6CFEAAF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pPr>
            <w:r>
              <w:rPr>
                <w:rFonts w:hint="eastAsia" w:ascii="宋体" w:hAnsi="宋体" w:eastAsia="宋体" w:cs="宋体"/>
                <w:kern w:val="0"/>
                <w:sz w:val="20"/>
                <w:szCs w:val="20"/>
                <w:lang w:val="en-US" w:eastAsia="zh-CN" w:bidi="ar"/>
              </w:rPr>
              <w:t>5.要求行政机关确认或重新出具已获取信息</w:t>
            </w:r>
          </w:p>
        </w:tc>
        <w:tc>
          <w:tcPr>
            <w:tcW w:w="688"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61DE948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06A2CB6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027EFEB4">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017FFB7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21B3E1F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09879B6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outset" w:color="auto" w:sz="8" w:space="0"/>
              <w:right w:val="single" w:color="auto" w:sz="8" w:space="0"/>
            </w:tcBorders>
            <w:noWrap w:val="0"/>
            <w:tcMar>
              <w:top w:w="0" w:type="dxa"/>
              <w:left w:w="57" w:type="dxa"/>
              <w:bottom w:w="0" w:type="dxa"/>
              <w:right w:w="57" w:type="dxa"/>
            </w:tcMar>
            <w:vAlign w:val="center"/>
          </w:tcPr>
          <w:p w14:paraId="7C07BDC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6AE6202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47BCEE71">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restart"/>
            <w:tcBorders>
              <w:top w:val="outset" w:color="auto" w:sz="8" w:space="0"/>
              <w:left w:val="nil"/>
              <w:bottom w:val="outset" w:color="auto" w:sz="8" w:space="0"/>
              <w:right w:val="single" w:color="auto" w:sz="8" w:space="0"/>
            </w:tcBorders>
            <w:noWrap w:val="0"/>
            <w:tcMar>
              <w:top w:w="0" w:type="dxa"/>
              <w:left w:w="57" w:type="dxa"/>
              <w:bottom w:w="0" w:type="dxa"/>
              <w:right w:w="57" w:type="dxa"/>
            </w:tcMar>
            <w:vAlign w:val="center"/>
          </w:tcPr>
          <w:p w14:paraId="5E60F32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（六）其他处理</w:t>
            </w:r>
          </w:p>
        </w:tc>
        <w:tc>
          <w:tcPr>
            <w:tcW w:w="3220"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ADDACA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pPr>
            <w:r>
              <w:rPr>
                <w:rFonts w:hint="eastAsia" w:ascii="宋体" w:hAnsi="宋体" w:eastAsia="宋体" w:cs="宋体"/>
                <w:kern w:val="0"/>
                <w:sz w:val="20"/>
                <w:szCs w:val="20"/>
                <w:lang w:val="en-US" w:eastAsia="zh-CN" w:bidi="ar"/>
              </w:rPr>
              <w:t>1.申请人无正当理由逾期不补正、行政机关不再处理其政府信息公开申请</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DCEC5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452EA3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68ADA6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42BB74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42CCEC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5EA543C">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48EB3BA">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r w14:paraId="0AF1D15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518F77CA">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outset" w:color="auto" w:sz="8" w:space="0"/>
              <w:left w:val="nil"/>
              <w:bottom w:val="outset" w:color="auto" w:sz="8" w:space="0"/>
              <w:right w:val="single" w:color="auto" w:sz="8" w:space="0"/>
            </w:tcBorders>
            <w:noWrap w:val="0"/>
            <w:tcMar>
              <w:top w:w="0" w:type="dxa"/>
              <w:left w:w="57" w:type="dxa"/>
              <w:bottom w:w="0" w:type="dxa"/>
              <w:right w:w="57" w:type="dxa"/>
            </w:tcMar>
            <w:vAlign w:val="center"/>
          </w:tcPr>
          <w:p w14:paraId="1D1CB996">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B1CF34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pPr>
            <w:r>
              <w:rPr>
                <w:rFonts w:hint="eastAsia" w:ascii="宋体" w:hAnsi="宋体" w:eastAsia="宋体" w:cs="宋体"/>
                <w:kern w:val="0"/>
                <w:sz w:val="20"/>
                <w:szCs w:val="20"/>
                <w:lang w:val="en-US" w:eastAsia="zh-CN" w:bidi="ar"/>
              </w:rPr>
              <w:t>2.申请人逾期未按收费通知要求缴纳费用、行政机关不再处理其政府信息公开申请</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0D2DC8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9852B2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217651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30FD2F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F152CF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7F5193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B3A346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sz w:val="24"/>
                <w:szCs w:val="24"/>
              </w:rPr>
            </w:pPr>
            <w:r>
              <w:rPr>
                <w:rFonts w:hint="eastAsia" w:ascii="宋体"/>
                <w:sz w:val="24"/>
                <w:szCs w:val="24"/>
                <w:lang w:val="en-US" w:eastAsia="zh-CN"/>
              </w:rPr>
              <w:t>0</w:t>
            </w:r>
          </w:p>
        </w:tc>
      </w:tr>
      <w:tr w14:paraId="20C3ED4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6A39A560">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943" w:type="dxa"/>
            <w:vMerge w:val="continue"/>
            <w:tcBorders>
              <w:top w:val="outset" w:color="auto" w:sz="8" w:space="0"/>
              <w:left w:val="nil"/>
              <w:bottom w:val="outset" w:color="auto" w:sz="8" w:space="0"/>
              <w:right w:val="single" w:color="auto" w:sz="8" w:space="0"/>
            </w:tcBorders>
            <w:noWrap w:val="0"/>
            <w:tcMar>
              <w:top w:w="0" w:type="dxa"/>
              <w:left w:w="57" w:type="dxa"/>
              <w:bottom w:w="0" w:type="dxa"/>
              <w:right w:w="57" w:type="dxa"/>
            </w:tcMar>
            <w:vAlign w:val="center"/>
          </w:tcPr>
          <w:p w14:paraId="1BF90DE3">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3220"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D31129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3.其他</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7D6144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AFFDC28">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EDBA42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E28FBC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63CBA82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5764B8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381962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r>
      <w:tr w14:paraId="5E47DDD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68" w:type="dxa"/>
            <w:vMerge w:val="continue"/>
            <w:tcBorders>
              <w:top w:val="nil"/>
              <w:left w:val="single" w:color="auto" w:sz="8" w:space="0"/>
              <w:bottom w:val="outset" w:color="auto" w:sz="8" w:space="0"/>
              <w:right w:val="single" w:color="auto" w:sz="8" w:space="0"/>
            </w:tcBorders>
            <w:noWrap w:val="0"/>
            <w:tcMar>
              <w:top w:w="0" w:type="dxa"/>
              <w:left w:w="57" w:type="dxa"/>
              <w:bottom w:w="0" w:type="dxa"/>
              <w:right w:w="57" w:type="dxa"/>
            </w:tcMar>
            <w:vAlign w:val="center"/>
          </w:tcPr>
          <w:p w14:paraId="36FEB277">
            <w:pPr>
              <w:keepNext w:val="0"/>
              <w:keepLines w:val="0"/>
              <w:pageBreakBefore w:val="0"/>
              <w:kinsoku/>
              <w:wordWrap/>
              <w:overflowPunct/>
              <w:topLinePunct w:val="0"/>
              <w:autoSpaceDE/>
              <w:autoSpaceDN/>
              <w:bidi w:val="0"/>
              <w:adjustRightInd/>
              <w:snapToGrid/>
              <w:spacing w:line="500" w:lineRule="exact"/>
              <w:textAlignment w:val="auto"/>
              <w:rPr>
                <w:rFonts w:hint="eastAsia" w:ascii="宋体"/>
                <w:sz w:val="24"/>
                <w:szCs w:val="24"/>
              </w:rPr>
            </w:pPr>
          </w:p>
        </w:tc>
        <w:tc>
          <w:tcPr>
            <w:tcW w:w="4163" w:type="dxa"/>
            <w:gridSpan w:val="2"/>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A207EC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（七）总计</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58FC4ED">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EFDDF7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32145AE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BA69187">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2E6F7C5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60A79D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A4CA374">
            <w:pPr>
              <w:keepNext w:val="0"/>
              <w:keepLines w:val="0"/>
              <w:pageBreakBefore w:val="0"/>
              <w:kinsoku/>
              <w:wordWrap/>
              <w:overflowPunct/>
              <w:topLinePunct w:val="0"/>
              <w:autoSpaceDE/>
              <w:autoSpaceDN/>
              <w:bidi w:val="0"/>
              <w:adjustRightInd/>
              <w:snapToGrid/>
              <w:spacing w:line="500" w:lineRule="exact"/>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w:t>
            </w:r>
          </w:p>
        </w:tc>
      </w:tr>
      <w:tr w14:paraId="6B9A292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4931" w:type="dxa"/>
            <w:gridSpan w:val="3"/>
            <w:tcBorders>
              <w:top w:val="nil"/>
              <w:left w:val="single" w:color="auto" w:sz="8" w:space="0"/>
              <w:bottom w:val="single" w:color="auto" w:sz="8" w:space="0"/>
              <w:right w:val="single" w:color="auto" w:sz="8" w:space="0"/>
            </w:tcBorders>
            <w:noWrap w:val="0"/>
            <w:tcMar>
              <w:top w:w="0" w:type="dxa"/>
              <w:left w:w="57" w:type="dxa"/>
              <w:bottom w:w="0" w:type="dxa"/>
              <w:right w:w="57" w:type="dxa"/>
            </w:tcMar>
            <w:vAlign w:val="center"/>
          </w:tcPr>
          <w:p w14:paraId="15780E3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left"/>
              <w:textAlignment w:val="auto"/>
            </w:pPr>
            <w:r>
              <w:rPr>
                <w:rFonts w:hint="eastAsia" w:ascii="宋体" w:hAnsi="宋体" w:eastAsia="宋体" w:cs="宋体"/>
                <w:kern w:val="0"/>
                <w:sz w:val="20"/>
                <w:szCs w:val="20"/>
                <w:lang w:val="en-US" w:eastAsia="zh-CN" w:bidi="ar"/>
              </w:rPr>
              <w:t>四、结转下年度继续办理</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463532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7EF16FD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725F7A6">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4C140CA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53FC9345">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688"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07D9E36F">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0</w:t>
            </w:r>
          </w:p>
        </w:tc>
        <w:tc>
          <w:tcPr>
            <w:tcW w:w="689" w:type="dxa"/>
            <w:tcBorders>
              <w:top w:val="nil"/>
              <w:left w:val="nil"/>
              <w:bottom w:val="single" w:color="auto" w:sz="8" w:space="0"/>
              <w:right w:val="single" w:color="auto" w:sz="8" w:space="0"/>
            </w:tcBorders>
            <w:noWrap w:val="0"/>
            <w:tcMar>
              <w:top w:w="0" w:type="dxa"/>
              <w:left w:w="57" w:type="dxa"/>
              <w:bottom w:w="0" w:type="dxa"/>
              <w:right w:w="57" w:type="dxa"/>
            </w:tcMar>
            <w:vAlign w:val="center"/>
          </w:tcPr>
          <w:p w14:paraId="1FC5ED0E">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w:t>
            </w:r>
          </w:p>
        </w:tc>
      </w:tr>
    </w:tbl>
    <w:p w14:paraId="40DC1335">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四、政府信息公开行政复议、行政诉讼情况</w:t>
      </w:r>
    </w:p>
    <w:tbl>
      <w:tblPr>
        <w:tblStyle w:val="7"/>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fixed"/>
        <w:tblCellMar>
          <w:top w:w="0" w:type="dxa"/>
          <w:left w:w="0" w:type="dxa"/>
          <w:bottom w:w="0" w:type="dxa"/>
          <w:right w:w="0" w:type="dxa"/>
        </w:tblCellMar>
      </w:tblPr>
      <w:tblGrid>
        <w:gridCol w:w="649"/>
        <w:gridCol w:w="649"/>
        <w:gridCol w:w="649"/>
        <w:gridCol w:w="649"/>
        <w:gridCol w:w="649"/>
        <w:gridCol w:w="649"/>
        <w:gridCol w:w="649"/>
        <w:gridCol w:w="650"/>
        <w:gridCol w:w="650"/>
        <w:gridCol w:w="650"/>
        <w:gridCol w:w="651"/>
        <w:gridCol w:w="651"/>
        <w:gridCol w:w="651"/>
        <w:gridCol w:w="651"/>
        <w:gridCol w:w="651"/>
      </w:tblGrid>
      <w:tr w14:paraId="590DAA7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324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280772C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行政复议</w:t>
            </w:r>
          </w:p>
        </w:tc>
        <w:tc>
          <w:tcPr>
            <w:tcW w:w="6503" w:type="dxa"/>
            <w:gridSpan w:val="10"/>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E2804A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行政诉讼</w:t>
            </w:r>
          </w:p>
        </w:tc>
      </w:tr>
      <w:tr w14:paraId="2FBA7C3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C7519C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结果维持</w:t>
            </w:r>
          </w:p>
        </w:tc>
        <w:tc>
          <w:tcPr>
            <w:tcW w:w="649" w:type="dxa"/>
            <w:vMerge w:val="restart"/>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115938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37561FF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其他</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结果</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38D608F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49" w:type="dxa"/>
            <w:vMerge w:val="restart"/>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3A228D1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总计</w:t>
            </w:r>
          </w:p>
        </w:tc>
        <w:tc>
          <w:tcPr>
            <w:tcW w:w="3248"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DFC697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未经复议直接起诉</w:t>
            </w:r>
          </w:p>
        </w:tc>
        <w:tc>
          <w:tcPr>
            <w:tcW w:w="3255" w:type="dxa"/>
            <w:gridSpan w:val="5"/>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73D549D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复议后起诉</w:t>
            </w:r>
          </w:p>
        </w:tc>
      </w:tr>
      <w:tr w14:paraId="184D951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jc w:val="center"/>
        </w:trPr>
        <w:tc>
          <w:tcPr>
            <w:tcW w:w="649"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72C2830">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C11C6FE">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7943C734">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7A0FB808">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vMerge w:val="continue"/>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27E57F3C">
            <w:pPr>
              <w:keepNext w:val="0"/>
              <w:keepLines w:val="0"/>
              <w:pageBreakBefore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宋体"/>
                <w:sz w:val="24"/>
                <w:szCs w:val="24"/>
              </w:rPr>
            </w:pP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246D37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维持</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8A01FB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5AFE8E4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其他</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结果</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3860FA4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50"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32A1D26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color w:val="000000"/>
                <w:kern w:val="0"/>
                <w:sz w:val="20"/>
                <w:szCs w:val="20"/>
                <w:lang w:val="en-US" w:eastAsia="zh-CN" w:bidi="ar"/>
              </w:rPr>
              <w:t>总计</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5FCB110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维持</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24927D3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55FE96E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color w:val="000000"/>
                <w:kern w:val="0"/>
                <w:sz w:val="20"/>
                <w:szCs w:val="20"/>
                <w:lang w:val="en-US" w:eastAsia="zh-CN" w:bidi="ar"/>
              </w:rPr>
              <w:t>其他</w:t>
            </w:r>
            <w:r>
              <w:rPr>
                <w:rFonts w:hint="eastAsia" w:ascii="宋体" w:hAnsi="宋体" w:eastAsia="宋体" w:cs="宋体"/>
                <w:color w:val="000000"/>
                <w:kern w:val="0"/>
                <w:sz w:val="20"/>
                <w:szCs w:val="20"/>
                <w:lang w:val="en-US" w:eastAsia="zh-CN" w:bidi="ar"/>
              </w:rPr>
              <w:br w:type="textWrapping"/>
            </w:r>
            <w:r>
              <w:rPr>
                <w:rFonts w:hint="eastAsia" w:ascii="宋体" w:hAnsi="宋体" w:eastAsia="宋体" w:cs="宋体"/>
                <w:color w:val="000000"/>
                <w:kern w:val="0"/>
                <w:sz w:val="20"/>
                <w:szCs w:val="20"/>
                <w:lang w:val="en-US" w:eastAsia="zh-CN" w:bidi="ar"/>
              </w:rPr>
              <w:t>结果</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10179A6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14:paraId="441BA22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pPr>
            <w:r>
              <w:rPr>
                <w:rFonts w:hint="eastAsia" w:ascii="宋体" w:hAnsi="宋体" w:eastAsia="宋体" w:cs="宋体"/>
                <w:color w:val="000000"/>
                <w:kern w:val="0"/>
                <w:sz w:val="20"/>
                <w:szCs w:val="20"/>
                <w:lang w:val="en-US" w:eastAsia="zh-CN" w:bidi="ar"/>
              </w:rPr>
              <w:t>总计</w:t>
            </w:r>
          </w:p>
        </w:tc>
      </w:tr>
      <w:tr w14:paraId="12E8323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672" w:hRule="atLeast"/>
          <w:jc w:val="center"/>
        </w:trPr>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DB723A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004926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3</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3DA69E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D70C10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3187538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3</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B3D11A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49"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47F42FB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12CD030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992B5D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0"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7144A2F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A64B9B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53FB534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68CB81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2241555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0</w:t>
            </w:r>
          </w:p>
        </w:tc>
        <w:tc>
          <w:tcPr>
            <w:tcW w:w="651" w:type="dxa"/>
            <w:tcBorders>
              <w:top w:val="nil"/>
              <w:left w:val="single" w:color="auto" w:sz="8" w:space="0"/>
              <w:bottom w:val="single" w:color="auto" w:sz="8" w:space="0"/>
              <w:right w:val="single" w:color="auto" w:sz="8" w:space="0"/>
            </w:tcBorders>
            <w:shd w:val="clear" w:color="auto" w:fill="auto"/>
            <w:tcMar>
              <w:left w:w="108" w:type="dxa"/>
              <w:right w:w="108" w:type="dxa"/>
            </w:tcMar>
            <w:vAlign w:val="center"/>
          </w:tcPr>
          <w:p w14:paraId="08CFF8F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0"/>
              <w:jc w:val="center"/>
              <w:textAlignment w:val="auto"/>
              <w:outlineLvl w:val="9"/>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w:t>
            </w:r>
          </w:p>
        </w:tc>
      </w:tr>
    </w:tbl>
    <w:p w14:paraId="3795549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right="0" w:firstLine="640" w:firstLineChars="200"/>
        <w:textAlignment w:val="auto"/>
        <w:rPr>
          <w:rFonts w:hint="eastAsia" w:ascii="微软雅黑" w:hAnsi="微软雅黑" w:eastAsia="微软雅黑" w:cs="微软雅黑"/>
          <w:i w:val="0"/>
          <w:iCs w:val="0"/>
          <w:caps w:val="0"/>
          <w:color w:val="auto"/>
          <w:spacing w:val="0"/>
          <w:sz w:val="32"/>
          <w:szCs w:val="32"/>
        </w:rPr>
      </w:pPr>
      <w:r>
        <w:rPr>
          <w:rFonts w:hint="eastAsia" w:ascii="黑体" w:hAnsi="宋体" w:eastAsia="黑体" w:cs="黑体"/>
          <w:i w:val="0"/>
          <w:iCs w:val="0"/>
          <w:caps w:val="0"/>
          <w:color w:val="auto"/>
          <w:spacing w:val="0"/>
          <w:sz w:val="32"/>
          <w:szCs w:val="32"/>
          <w:shd w:val="clear" w:fill="FFFFFF"/>
        </w:rPr>
        <w:t>五、存在的主要问题及改进措施</w:t>
      </w:r>
    </w:p>
    <w:p w14:paraId="0E23011B">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textAlignment w:val="auto"/>
        <w:rPr>
          <w:rFonts w:hint="default" w:ascii="仿宋_GB2312" w:hAnsi="微软雅黑" w:eastAsia="仿宋_GB2312" w:cs="仿宋_GB2312"/>
          <w:i w:val="0"/>
          <w:iCs w:val="0"/>
          <w:caps w:val="0"/>
          <w:color w:val="auto"/>
          <w:spacing w:val="0"/>
          <w:sz w:val="32"/>
          <w:szCs w:val="32"/>
          <w:shd w:val="clear" w:fill="FFFFFF"/>
        </w:rPr>
      </w:pPr>
      <w:r>
        <w:rPr>
          <w:rFonts w:hint="eastAsia" w:ascii="仿宋_GB2312" w:hAnsi="微软雅黑" w:eastAsia="仿宋_GB2312" w:cs="仿宋_GB2312"/>
          <w:i w:val="0"/>
          <w:iCs w:val="0"/>
          <w:caps w:val="0"/>
          <w:color w:val="auto"/>
          <w:spacing w:val="0"/>
          <w:sz w:val="32"/>
          <w:szCs w:val="32"/>
          <w:shd w:val="clear" w:fill="FFFFFF"/>
          <w:lang w:eastAsia="zh-CN"/>
        </w:rPr>
        <w:t>在信息公开方面的不足之处主要表现为：公开形式比较单一，</w:t>
      </w:r>
      <w:r>
        <w:rPr>
          <w:rFonts w:hint="default" w:ascii="仿宋_GB2312" w:hAnsi="微软雅黑" w:eastAsia="仿宋_GB2312" w:cs="仿宋_GB2312"/>
          <w:i w:val="0"/>
          <w:iCs w:val="0"/>
          <w:caps w:val="0"/>
          <w:color w:val="auto"/>
          <w:spacing w:val="0"/>
          <w:sz w:val="32"/>
          <w:szCs w:val="32"/>
          <w:shd w:val="clear" w:fill="FFFFFF"/>
        </w:rPr>
        <w:t>主动公开的意识还不够强、重视程度不够等问题。</w:t>
      </w:r>
    </w:p>
    <w:p w14:paraId="13823D83">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textAlignment w:val="auto"/>
        <w:rPr>
          <w:rFonts w:hint="eastAsia" w:ascii="微软雅黑" w:hAnsi="微软雅黑" w:eastAsia="仿宋_GB2312" w:cs="微软雅黑"/>
          <w:i w:val="0"/>
          <w:iCs w:val="0"/>
          <w:caps w:val="0"/>
          <w:color w:val="auto"/>
          <w:spacing w:val="0"/>
          <w:sz w:val="32"/>
          <w:szCs w:val="32"/>
          <w:lang w:eastAsia="zh-CN"/>
        </w:rPr>
      </w:pPr>
      <w:r>
        <w:rPr>
          <w:rFonts w:hint="eastAsia" w:ascii="仿宋_GB2312" w:hAnsi="微软雅黑" w:eastAsia="仿宋_GB2312" w:cs="仿宋_GB2312"/>
          <w:i w:val="0"/>
          <w:iCs w:val="0"/>
          <w:caps w:val="0"/>
          <w:color w:val="auto"/>
          <w:spacing w:val="0"/>
          <w:sz w:val="32"/>
          <w:szCs w:val="32"/>
          <w:shd w:val="clear" w:fill="FFFFFF"/>
          <w:lang w:eastAsia="zh-CN"/>
        </w:rPr>
        <w:t>下一步，</w:t>
      </w:r>
      <w:r>
        <w:rPr>
          <w:rFonts w:hint="default" w:ascii="仿宋_GB2312" w:hAnsi="微软雅黑" w:eastAsia="仿宋_GB2312" w:cs="仿宋_GB2312"/>
          <w:i w:val="0"/>
          <w:iCs w:val="0"/>
          <w:caps w:val="0"/>
          <w:color w:val="auto"/>
          <w:spacing w:val="0"/>
          <w:sz w:val="32"/>
          <w:szCs w:val="32"/>
          <w:shd w:val="clear" w:fill="FFFFFF"/>
        </w:rPr>
        <w:t>我乡将</w:t>
      </w:r>
      <w:r>
        <w:rPr>
          <w:rFonts w:hint="eastAsia" w:ascii="仿宋_GB2312" w:hAnsi="微软雅黑" w:eastAsia="仿宋_GB2312" w:cs="仿宋_GB2312"/>
          <w:i w:val="0"/>
          <w:iCs w:val="0"/>
          <w:caps w:val="0"/>
          <w:color w:val="auto"/>
          <w:spacing w:val="0"/>
          <w:sz w:val="32"/>
          <w:szCs w:val="32"/>
          <w:shd w:val="clear" w:fill="FFFFFF"/>
          <w:lang w:eastAsia="zh-CN"/>
        </w:rPr>
        <w:t>进一步提高政治站位，深刻领会</w:t>
      </w:r>
      <w:r>
        <w:rPr>
          <w:rFonts w:hint="default" w:ascii="仿宋_GB2312" w:hAnsi="微软雅黑" w:eastAsia="仿宋_GB2312" w:cs="仿宋_GB2312"/>
          <w:i w:val="0"/>
          <w:iCs w:val="0"/>
          <w:caps w:val="0"/>
          <w:color w:val="auto"/>
          <w:spacing w:val="0"/>
          <w:sz w:val="32"/>
          <w:szCs w:val="32"/>
          <w:shd w:val="clear" w:fill="FFFFFF"/>
        </w:rPr>
        <w:t>政府信息公开的重大意义，增强工作的主动性、</w:t>
      </w:r>
      <w:r>
        <w:rPr>
          <w:rFonts w:hint="eastAsia" w:ascii="仿宋_GB2312" w:hAnsi="微软雅黑" w:eastAsia="仿宋_GB2312" w:cs="仿宋_GB2312"/>
          <w:i w:val="0"/>
          <w:iCs w:val="0"/>
          <w:caps w:val="0"/>
          <w:color w:val="auto"/>
          <w:spacing w:val="0"/>
          <w:sz w:val="32"/>
          <w:szCs w:val="32"/>
          <w:shd w:val="clear" w:fill="FFFFFF"/>
          <w:lang w:eastAsia="zh-CN"/>
        </w:rPr>
        <w:t>前瞻性</w:t>
      </w:r>
      <w:r>
        <w:rPr>
          <w:rFonts w:hint="default" w:ascii="仿宋_GB2312" w:hAnsi="微软雅黑" w:eastAsia="仿宋_GB2312" w:cs="仿宋_GB2312"/>
          <w:i w:val="0"/>
          <w:iCs w:val="0"/>
          <w:caps w:val="0"/>
          <w:color w:val="auto"/>
          <w:spacing w:val="0"/>
          <w:sz w:val="32"/>
          <w:szCs w:val="32"/>
          <w:shd w:val="clear" w:fill="FFFFFF"/>
        </w:rPr>
        <w:t>，</w:t>
      </w:r>
      <w:r>
        <w:rPr>
          <w:rFonts w:hint="eastAsia" w:ascii="仿宋_GB2312" w:hAnsi="微软雅黑" w:eastAsia="仿宋_GB2312" w:cs="仿宋_GB2312"/>
          <w:i w:val="0"/>
          <w:iCs w:val="0"/>
          <w:caps w:val="0"/>
          <w:color w:val="auto"/>
          <w:spacing w:val="0"/>
          <w:sz w:val="32"/>
          <w:szCs w:val="32"/>
          <w:shd w:val="clear" w:fill="FFFFFF"/>
          <w:lang w:eastAsia="zh-CN"/>
        </w:rPr>
        <w:t>坚持人民至上理念，</w:t>
      </w:r>
      <w:r>
        <w:rPr>
          <w:rFonts w:hint="default" w:ascii="仿宋_GB2312" w:hAnsi="微软雅黑" w:eastAsia="仿宋_GB2312" w:cs="仿宋_GB2312"/>
          <w:i w:val="0"/>
          <w:iCs w:val="0"/>
          <w:caps w:val="0"/>
          <w:color w:val="auto"/>
          <w:spacing w:val="0"/>
          <w:sz w:val="32"/>
          <w:szCs w:val="32"/>
          <w:shd w:val="clear" w:fill="FFFFFF"/>
        </w:rPr>
        <w:t>满足群众信息公开需求</w:t>
      </w:r>
      <w:r>
        <w:rPr>
          <w:rFonts w:hint="eastAsia" w:ascii="仿宋_GB2312" w:hAnsi="微软雅黑" w:eastAsia="仿宋_GB2312" w:cs="仿宋_GB2312"/>
          <w:i w:val="0"/>
          <w:iCs w:val="0"/>
          <w:caps w:val="0"/>
          <w:color w:val="auto"/>
          <w:spacing w:val="0"/>
          <w:sz w:val="32"/>
          <w:szCs w:val="32"/>
          <w:shd w:val="clear" w:fill="FFFFFF"/>
          <w:lang w:eastAsia="zh-CN"/>
        </w:rPr>
        <w:t>，提高</w:t>
      </w:r>
      <w:r>
        <w:rPr>
          <w:rFonts w:hint="default" w:ascii="仿宋_GB2312" w:hAnsi="微软雅黑" w:eastAsia="仿宋_GB2312" w:cs="仿宋_GB2312"/>
          <w:i w:val="0"/>
          <w:iCs w:val="0"/>
          <w:caps w:val="0"/>
          <w:color w:val="auto"/>
          <w:spacing w:val="0"/>
          <w:sz w:val="32"/>
          <w:szCs w:val="32"/>
          <w:shd w:val="clear" w:fill="FFFFFF"/>
        </w:rPr>
        <w:t>政府信息公开</w:t>
      </w:r>
      <w:r>
        <w:rPr>
          <w:rFonts w:hint="eastAsia" w:ascii="仿宋_GB2312" w:hAnsi="微软雅黑" w:eastAsia="仿宋_GB2312" w:cs="仿宋_GB2312"/>
          <w:i w:val="0"/>
          <w:iCs w:val="0"/>
          <w:caps w:val="0"/>
          <w:color w:val="auto"/>
          <w:spacing w:val="0"/>
          <w:sz w:val="32"/>
          <w:szCs w:val="32"/>
          <w:shd w:val="clear" w:fill="FFFFFF"/>
          <w:lang w:eastAsia="zh-CN"/>
        </w:rPr>
        <w:t>质量，</w:t>
      </w:r>
      <w:r>
        <w:rPr>
          <w:rFonts w:hint="default" w:ascii="仿宋_GB2312" w:hAnsi="微软雅黑" w:eastAsia="仿宋_GB2312" w:cs="仿宋_GB2312"/>
          <w:i w:val="0"/>
          <w:iCs w:val="0"/>
          <w:caps w:val="0"/>
          <w:color w:val="auto"/>
          <w:spacing w:val="0"/>
          <w:sz w:val="32"/>
          <w:szCs w:val="32"/>
          <w:shd w:val="clear" w:fill="FFFFFF"/>
        </w:rPr>
        <w:t>维护</w:t>
      </w:r>
      <w:r>
        <w:rPr>
          <w:rFonts w:hint="eastAsia" w:ascii="仿宋_GB2312" w:hAnsi="微软雅黑" w:eastAsia="仿宋_GB2312" w:cs="仿宋_GB2312"/>
          <w:i w:val="0"/>
          <w:iCs w:val="0"/>
          <w:caps w:val="0"/>
          <w:color w:val="auto"/>
          <w:spacing w:val="0"/>
          <w:sz w:val="32"/>
          <w:szCs w:val="32"/>
          <w:shd w:val="clear" w:fill="FFFFFF"/>
          <w:lang w:eastAsia="zh-CN"/>
        </w:rPr>
        <w:t>好</w:t>
      </w:r>
      <w:r>
        <w:rPr>
          <w:rFonts w:hint="default" w:ascii="仿宋_GB2312" w:hAnsi="微软雅黑" w:eastAsia="仿宋_GB2312" w:cs="仿宋_GB2312"/>
          <w:i w:val="0"/>
          <w:iCs w:val="0"/>
          <w:caps w:val="0"/>
          <w:color w:val="auto"/>
          <w:spacing w:val="0"/>
          <w:sz w:val="32"/>
          <w:szCs w:val="32"/>
          <w:shd w:val="clear" w:fill="FFFFFF"/>
        </w:rPr>
        <w:t>政府的良好形象</w:t>
      </w:r>
      <w:r>
        <w:rPr>
          <w:rFonts w:hint="eastAsia" w:ascii="仿宋_GB2312" w:hAnsi="微软雅黑"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加强业务培训和经验交流，深入开展政策解读，推动全</w:t>
      </w:r>
      <w:r>
        <w:rPr>
          <w:rFonts w:hint="eastAsia" w:ascii="仿宋_GB2312" w:hAnsi="仿宋_GB2312" w:eastAsia="仿宋_GB2312" w:cs="仿宋_GB2312"/>
          <w:i w:val="0"/>
          <w:iCs w:val="0"/>
          <w:caps w:val="0"/>
          <w:color w:val="auto"/>
          <w:spacing w:val="0"/>
          <w:sz w:val="32"/>
          <w:szCs w:val="32"/>
          <w:shd w:val="clear" w:fill="FFFFFF"/>
          <w:lang w:eastAsia="zh-CN"/>
        </w:rPr>
        <w:t>区</w:t>
      </w:r>
      <w:r>
        <w:rPr>
          <w:rFonts w:hint="eastAsia" w:ascii="仿宋_GB2312" w:hAnsi="仿宋_GB2312" w:eastAsia="仿宋_GB2312" w:cs="仿宋_GB2312"/>
          <w:i w:val="0"/>
          <w:iCs w:val="0"/>
          <w:caps w:val="0"/>
          <w:color w:val="auto"/>
          <w:spacing w:val="0"/>
          <w:sz w:val="32"/>
          <w:szCs w:val="32"/>
          <w:shd w:val="clear" w:fill="FFFFFF"/>
        </w:rPr>
        <w:t>政务公开工作提质增效。</w:t>
      </w:r>
    </w:p>
    <w:p w14:paraId="5DEEC5FD">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right="0" w:firstLine="640" w:firstLineChars="200"/>
        <w:jc w:val="both"/>
        <w:textAlignment w:val="auto"/>
        <w:rPr>
          <w:rFonts w:hint="eastAsia" w:ascii="微软雅黑" w:hAnsi="微软雅黑" w:eastAsia="微软雅黑" w:cs="微软雅黑"/>
          <w:i w:val="0"/>
          <w:iCs w:val="0"/>
          <w:caps w:val="0"/>
          <w:color w:val="auto"/>
          <w:spacing w:val="0"/>
          <w:sz w:val="32"/>
          <w:szCs w:val="32"/>
        </w:rPr>
      </w:pPr>
      <w:r>
        <w:rPr>
          <w:rFonts w:hint="eastAsia" w:ascii="黑体" w:hAnsi="宋体" w:eastAsia="黑体" w:cs="黑体"/>
          <w:i w:val="0"/>
          <w:iCs w:val="0"/>
          <w:caps w:val="0"/>
          <w:color w:val="auto"/>
          <w:spacing w:val="0"/>
          <w:sz w:val="32"/>
          <w:szCs w:val="32"/>
          <w:shd w:val="clear" w:fill="FFFFFF"/>
        </w:rPr>
        <w:t>六、其他需要报告的事项</w:t>
      </w:r>
    </w:p>
    <w:p w14:paraId="3C6B9F21">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560" w:lineRule="exact"/>
        <w:ind w:left="0" w:right="0" w:firstLine="640" w:firstLineChars="200"/>
        <w:textAlignment w:val="auto"/>
        <w:rPr>
          <w:rFonts w:hint="eastAsia" w:ascii="仿宋_GB2312" w:hAnsi="微软雅黑" w:eastAsia="仿宋_GB2312" w:cs="仿宋_GB2312"/>
          <w:i w:val="0"/>
          <w:iCs w:val="0"/>
          <w:caps w:val="0"/>
          <w:color w:val="auto"/>
          <w:spacing w:val="0"/>
          <w:sz w:val="32"/>
          <w:szCs w:val="32"/>
          <w:shd w:val="clear" w:fill="FFFFFF"/>
          <w:lang w:eastAsia="zh-CN"/>
        </w:rPr>
      </w:pPr>
      <w:r>
        <w:rPr>
          <w:rFonts w:hint="eastAsia" w:ascii="仿宋_GB2312" w:hAnsi="微软雅黑" w:eastAsia="仿宋_GB2312" w:cs="仿宋_GB2312"/>
          <w:i w:val="0"/>
          <w:iCs w:val="0"/>
          <w:caps w:val="0"/>
          <w:color w:val="auto"/>
          <w:spacing w:val="0"/>
          <w:sz w:val="32"/>
          <w:szCs w:val="32"/>
          <w:shd w:val="clear" w:fill="FFFFFF"/>
          <w:lang w:eastAsia="zh-CN"/>
        </w:rPr>
        <w:t>认真贯彻执行国务院办公厅《政府信息公开信息处理费管理办法》和《关于政府信息公开处理费管理有关事项的通知》。202</w:t>
      </w:r>
      <w:r>
        <w:rPr>
          <w:rFonts w:hint="eastAsia" w:ascii="仿宋_GB2312" w:hAnsi="微软雅黑" w:eastAsia="仿宋_GB2312" w:cs="仿宋_GB2312"/>
          <w:i w:val="0"/>
          <w:iCs w:val="0"/>
          <w:caps w:val="0"/>
          <w:color w:val="auto"/>
          <w:spacing w:val="0"/>
          <w:sz w:val="32"/>
          <w:szCs w:val="32"/>
          <w:shd w:val="clear" w:fill="FFFFFF"/>
          <w:lang w:val="en-US" w:eastAsia="zh-CN"/>
        </w:rPr>
        <w:t>5</w:t>
      </w:r>
      <w:r>
        <w:rPr>
          <w:rFonts w:hint="eastAsia" w:ascii="仿宋_GB2312" w:hAnsi="微软雅黑" w:eastAsia="仿宋_GB2312" w:cs="仿宋_GB2312"/>
          <w:i w:val="0"/>
          <w:iCs w:val="0"/>
          <w:caps w:val="0"/>
          <w:color w:val="auto"/>
          <w:spacing w:val="0"/>
          <w:sz w:val="32"/>
          <w:szCs w:val="32"/>
          <w:shd w:val="clear" w:fill="FFFFFF"/>
          <w:lang w:eastAsia="zh-CN"/>
        </w:rPr>
        <w:t>年未收取信息处理费。</w:t>
      </w:r>
    </w:p>
    <w:bookmarkEnd w:id="0"/>
    <w:p w14:paraId="02080CA1">
      <w:pPr>
        <w:pStyle w:val="6"/>
        <w:keepNext w:val="0"/>
        <w:keepLines w:val="0"/>
        <w:widowControl/>
        <w:suppressLineNumbers w:val="0"/>
        <w:shd w:val="clear" w:fill="FFFFFF"/>
        <w:spacing w:before="0" w:beforeAutospacing="0" w:after="150" w:afterAutospacing="0" w:line="555" w:lineRule="atLeast"/>
        <w:ind w:left="0" w:right="0" w:firstLine="645"/>
        <w:rPr>
          <w:rFonts w:hint="eastAsia" w:ascii="仿宋_GB2312" w:hAnsi="微软雅黑" w:eastAsia="仿宋_GB2312" w:cs="仿宋_GB2312"/>
          <w:i w:val="0"/>
          <w:iCs w:val="0"/>
          <w:caps w:val="0"/>
          <w:color w:val="353535"/>
          <w:spacing w:val="0"/>
          <w:sz w:val="32"/>
          <w:szCs w:val="32"/>
          <w:shd w:val="clear" w:fill="FFFFFF"/>
          <w:lang w:eastAsia="zh-CN"/>
        </w:rPr>
      </w:pPr>
    </w:p>
    <w:p w14:paraId="3E9F38A5">
      <w:pPr>
        <w:keepNext w:val="0"/>
        <w:keepLines w:val="0"/>
        <w:pageBreakBefore w:val="0"/>
        <w:widowControl/>
        <w:shd w:val="clear" w:color="auto" w:fill="FFFFFF"/>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仿宋" w:eastAsia="仿宋_GB2312"/>
          <w:sz w:val="32"/>
          <w:szCs w:val="32"/>
          <w:lang w:eastAsia="zh-CN"/>
        </w:rPr>
      </w:pPr>
    </w:p>
    <w:sectPr>
      <w:footerReference r:id="rId3" w:type="default"/>
      <w:pgSz w:w="11906" w:h="16838"/>
      <w:pgMar w:top="2154" w:right="1474" w:bottom="2041" w:left="1587" w:header="851" w:footer="992" w:gutter="0"/>
      <w:pgNumType w:fmt="numberInDash"/>
      <w:cols w:space="0" w:num="1"/>
      <w:rtlGutter w:val="0"/>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ˎ̥">
    <w:altName w:val="方正公文小标宋"/>
    <w:panose1 w:val="00000000000000000000"/>
    <w:charset w:val="00"/>
    <w:family w:val="roman"/>
    <w:pitch w:val="default"/>
    <w:sig w:usb0="00000000" w:usb1="00000000" w:usb2="00000000" w:usb3="00000000" w:csb0="00040001" w:csb1="00000000"/>
  </w:font>
  <w:font w:name="文泉驿微米黑">
    <w:altName w:val="黑体"/>
    <w:panose1 w:val="020B0606030804020204"/>
    <w:charset w:val="86"/>
    <w:family w:val="auto"/>
    <w:pitch w:val="default"/>
    <w:sig w:usb0="00000000" w:usb1="00000000" w:usb2="00800036" w:usb3="00000000" w:csb0="603E019F" w:csb1="DFD7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公文小标宋">
    <w:panose1 w:val="02000500000000000000"/>
    <w:charset w:val="86"/>
    <w:family w:val="auto"/>
    <w:pitch w:val="default"/>
    <w:sig w:usb0="A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1A1CF">
    <w:pPr>
      <w:pStyle w:val="4"/>
      <w:jc w:val="center"/>
    </w:pPr>
  </w:p>
  <w:p w14:paraId="674C4A9B">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bordersDoNotSurroundHeader w:val="0"/>
  <w:bordersDoNotSurroundFooter w:val="0"/>
  <w:documentProtection w:enforcement="0"/>
  <w:defaultTabStop w:val="420"/>
  <w:drawingGridVerticalSpacing w:val="158"/>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Q5YWUzYjJjNGZhNmQxNGQ3YTdjMTg5MWMxYTdiMDAifQ=="/>
  </w:docVars>
  <w:rsids>
    <w:rsidRoot w:val="003A55F2"/>
    <w:rsid w:val="00025437"/>
    <w:rsid w:val="00081E63"/>
    <w:rsid w:val="00086475"/>
    <w:rsid w:val="000D300B"/>
    <w:rsid w:val="000E0EE3"/>
    <w:rsid w:val="000F179A"/>
    <w:rsid w:val="00116D65"/>
    <w:rsid w:val="00140D28"/>
    <w:rsid w:val="00176DCC"/>
    <w:rsid w:val="0018246E"/>
    <w:rsid w:val="001A3FCD"/>
    <w:rsid w:val="001D10AA"/>
    <w:rsid w:val="001D5685"/>
    <w:rsid w:val="001E2943"/>
    <w:rsid w:val="001F39A1"/>
    <w:rsid w:val="00224FEA"/>
    <w:rsid w:val="0026405B"/>
    <w:rsid w:val="00283BA4"/>
    <w:rsid w:val="00295785"/>
    <w:rsid w:val="002B66F3"/>
    <w:rsid w:val="00325634"/>
    <w:rsid w:val="00330152"/>
    <w:rsid w:val="003372B8"/>
    <w:rsid w:val="00363B32"/>
    <w:rsid w:val="003A55F2"/>
    <w:rsid w:val="003B07EC"/>
    <w:rsid w:val="00424710"/>
    <w:rsid w:val="00442F30"/>
    <w:rsid w:val="00501C27"/>
    <w:rsid w:val="0053414F"/>
    <w:rsid w:val="00536447"/>
    <w:rsid w:val="005935E5"/>
    <w:rsid w:val="005A37EF"/>
    <w:rsid w:val="005F188D"/>
    <w:rsid w:val="0060459C"/>
    <w:rsid w:val="0062555B"/>
    <w:rsid w:val="00677B53"/>
    <w:rsid w:val="00691DE8"/>
    <w:rsid w:val="007B065E"/>
    <w:rsid w:val="007C47F9"/>
    <w:rsid w:val="007D760C"/>
    <w:rsid w:val="007E5B5D"/>
    <w:rsid w:val="008C2A21"/>
    <w:rsid w:val="008C338A"/>
    <w:rsid w:val="009A7142"/>
    <w:rsid w:val="00A171B6"/>
    <w:rsid w:val="00B32267"/>
    <w:rsid w:val="00B3684E"/>
    <w:rsid w:val="00B53120"/>
    <w:rsid w:val="00B570CD"/>
    <w:rsid w:val="00B71028"/>
    <w:rsid w:val="00B91FB9"/>
    <w:rsid w:val="00C369B4"/>
    <w:rsid w:val="00C9408D"/>
    <w:rsid w:val="00CC6D57"/>
    <w:rsid w:val="00CF0E91"/>
    <w:rsid w:val="00CF4718"/>
    <w:rsid w:val="00D23E70"/>
    <w:rsid w:val="00D415E4"/>
    <w:rsid w:val="00D548DF"/>
    <w:rsid w:val="00D87AA9"/>
    <w:rsid w:val="00DC4224"/>
    <w:rsid w:val="00DC5921"/>
    <w:rsid w:val="00DE0CDA"/>
    <w:rsid w:val="00E20764"/>
    <w:rsid w:val="00F24E29"/>
    <w:rsid w:val="00F27D25"/>
    <w:rsid w:val="00FA1AFB"/>
    <w:rsid w:val="00FC1C36"/>
    <w:rsid w:val="01011432"/>
    <w:rsid w:val="02F63896"/>
    <w:rsid w:val="03534DDC"/>
    <w:rsid w:val="040C4499"/>
    <w:rsid w:val="05F94DCD"/>
    <w:rsid w:val="06AC5B9A"/>
    <w:rsid w:val="06E57B23"/>
    <w:rsid w:val="072F0A80"/>
    <w:rsid w:val="08136576"/>
    <w:rsid w:val="085C1103"/>
    <w:rsid w:val="08C70CE2"/>
    <w:rsid w:val="08EC29C7"/>
    <w:rsid w:val="09E73C43"/>
    <w:rsid w:val="0A4074B7"/>
    <w:rsid w:val="0A806B53"/>
    <w:rsid w:val="0BB90B86"/>
    <w:rsid w:val="0C6A75EB"/>
    <w:rsid w:val="0DDC692F"/>
    <w:rsid w:val="0DE10621"/>
    <w:rsid w:val="0DEE408A"/>
    <w:rsid w:val="0EA63619"/>
    <w:rsid w:val="0EC341CA"/>
    <w:rsid w:val="0EDE5647"/>
    <w:rsid w:val="129D315A"/>
    <w:rsid w:val="149A3FCA"/>
    <w:rsid w:val="17B664BD"/>
    <w:rsid w:val="19076AC4"/>
    <w:rsid w:val="1C0248C4"/>
    <w:rsid w:val="1C0328E9"/>
    <w:rsid w:val="1DEE1475"/>
    <w:rsid w:val="219A3A21"/>
    <w:rsid w:val="24A44A1A"/>
    <w:rsid w:val="257D48EC"/>
    <w:rsid w:val="278133BE"/>
    <w:rsid w:val="280451E0"/>
    <w:rsid w:val="286C571E"/>
    <w:rsid w:val="29634D8F"/>
    <w:rsid w:val="29717618"/>
    <w:rsid w:val="2B0025D7"/>
    <w:rsid w:val="2E051C5F"/>
    <w:rsid w:val="2E67648D"/>
    <w:rsid w:val="33997A24"/>
    <w:rsid w:val="34062997"/>
    <w:rsid w:val="34714ABF"/>
    <w:rsid w:val="350F799A"/>
    <w:rsid w:val="353B7F51"/>
    <w:rsid w:val="357DE1BD"/>
    <w:rsid w:val="366235A4"/>
    <w:rsid w:val="36FF79BC"/>
    <w:rsid w:val="3824626D"/>
    <w:rsid w:val="384C6DF9"/>
    <w:rsid w:val="3A893A98"/>
    <w:rsid w:val="3AD64095"/>
    <w:rsid w:val="3AF42D92"/>
    <w:rsid w:val="3B4E05F3"/>
    <w:rsid w:val="3DFF615B"/>
    <w:rsid w:val="3E18561D"/>
    <w:rsid w:val="3E7F6EAD"/>
    <w:rsid w:val="3EBE5422"/>
    <w:rsid w:val="40AB6522"/>
    <w:rsid w:val="40C55B80"/>
    <w:rsid w:val="437B69FF"/>
    <w:rsid w:val="43C70EB5"/>
    <w:rsid w:val="443B4643"/>
    <w:rsid w:val="45857508"/>
    <w:rsid w:val="45C04096"/>
    <w:rsid w:val="47FF4DF1"/>
    <w:rsid w:val="4B204BC7"/>
    <w:rsid w:val="4B8C58E0"/>
    <w:rsid w:val="4CB61310"/>
    <w:rsid w:val="4D8E68A4"/>
    <w:rsid w:val="4DD77DE1"/>
    <w:rsid w:val="4E1A6C50"/>
    <w:rsid w:val="4E467A51"/>
    <w:rsid w:val="4F991951"/>
    <w:rsid w:val="52963A56"/>
    <w:rsid w:val="580619A4"/>
    <w:rsid w:val="58EA7A6A"/>
    <w:rsid w:val="5B4041A6"/>
    <w:rsid w:val="5BC007FF"/>
    <w:rsid w:val="5C03124E"/>
    <w:rsid w:val="5D104BCA"/>
    <w:rsid w:val="5F261904"/>
    <w:rsid w:val="600521FC"/>
    <w:rsid w:val="63A40B93"/>
    <w:rsid w:val="66143365"/>
    <w:rsid w:val="66522CCD"/>
    <w:rsid w:val="68496DA4"/>
    <w:rsid w:val="68F16ADF"/>
    <w:rsid w:val="68FA7DE6"/>
    <w:rsid w:val="695E4ACD"/>
    <w:rsid w:val="697D44BC"/>
    <w:rsid w:val="69937D87"/>
    <w:rsid w:val="6AE12D9C"/>
    <w:rsid w:val="6AFD4CB1"/>
    <w:rsid w:val="6B012DD5"/>
    <w:rsid w:val="6B0B591A"/>
    <w:rsid w:val="6D851EEC"/>
    <w:rsid w:val="6DEF848C"/>
    <w:rsid w:val="6DF22598"/>
    <w:rsid w:val="6F5D7020"/>
    <w:rsid w:val="6F6551A2"/>
    <w:rsid w:val="70751B2B"/>
    <w:rsid w:val="71F7EB68"/>
    <w:rsid w:val="72203F91"/>
    <w:rsid w:val="736E83CF"/>
    <w:rsid w:val="755D1B21"/>
    <w:rsid w:val="75720FA8"/>
    <w:rsid w:val="76E211B1"/>
    <w:rsid w:val="77AB5264"/>
    <w:rsid w:val="79554792"/>
    <w:rsid w:val="7A86329F"/>
    <w:rsid w:val="7AAA1E94"/>
    <w:rsid w:val="7B3C3014"/>
    <w:rsid w:val="7BFF3776"/>
    <w:rsid w:val="7C3A0CC1"/>
    <w:rsid w:val="7E5E9781"/>
    <w:rsid w:val="7EFB4428"/>
    <w:rsid w:val="7F055DC7"/>
    <w:rsid w:val="7F57ABCD"/>
    <w:rsid w:val="7F6C2ACD"/>
    <w:rsid w:val="7FBE2460"/>
    <w:rsid w:val="7FFE87FC"/>
    <w:rsid w:val="9BF7345E"/>
    <w:rsid w:val="9BFED9EB"/>
    <w:rsid w:val="9F7B1364"/>
    <w:rsid w:val="AFFF8094"/>
    <w:rsid w:val="BFBCCD50"/>
    <w:rsid w:val="BFDF9294"/>
    <w:rsid w:val="DC47D8B8"/>
    <w:rsid w:val="DF7579F7"/>
    <w:rsid w:val="E78C57BF"/>
    <w:rsid w:val="EDDEC465"/>
    <w:rsid w:val="EFDF22EC"/>
    <w:rsid w:val="F7FBEA46"/>
    <w:rsid w:val="FBFB7E0E"/>
    <w:rsid w:val="FCFE3A61"/>
    <w:rsid w:val="FEFE45A1"/>
    <w:rsid w:val="FFB9D6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Balloon Text"/>
    <w:basedOn w:val="1"/>
    <w:link w:val="16"/>
    <w:unhideWhenUsed/>
    <w:qFormat/>
    <w:uiPriority w:val="99"/>
    <w:rPr>
      <w:sz w:val="18"/>
      <w:szCs w:val="18"/>
    </w:r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jc w:val="left"/>
    </w:pPr>
    <w:rPr>
      <w:rFonts w:ascii="宋体" w:hAnsi="宋体" w:eastAsia="宋体" w:cs="宋体"/>
      <w:kern w:val="0"/>
      <w:sz w:val="24"/>
      <w:szCs w:val="24"/>
    </w:rPr>
  </w:style>
  <w:style w:type="character" w:styleId="9">
    <w:name w:val="FollowedHyperlink"/>
    <w:basedOn w:val="8"/>
    <w:unhideWhenUsed/>
    <w:qFormat/>
    <w:uiPriority w:val="99"/>
    <w:rPr>
      <w:color w:val="000000"/>
      <w:u w:val="none"/>
    </w:rPr>
  </w:style>
  <w:style w:type="character" w:styleId="10">
    <w:name w:val="Emphasis"/>
    <w:basedOn w:val="8"/>
    <w:qFormat/>
    <w:uiPriority w:val="20"/>
    <w:rPr>
      <w:i/>
    </w:rPr>
  </w:style>
  <w:style w:type="character" w:styleId="11">
    <w:name w:val="Hyperlink"/>
    <w:basedOn w:val="8"/>
    <w:unhideWhenUsed/>
    <w:qFormat/>
    <w:uiPriority w:val="99"/>
    <w:rPr>
      <w:color w:val="0000FF" w:themeColor="hyperlink"/>
      <w:u w:val="single"/>
      <w14:textFill>
        <w14:solidFill>
          <w14:schemeClr w14:val="hlink"/>
        </w14:solidFill>
      </w14:textFill>
    </w:rPr>
  </w:style>
  <w:style w:type="paragraph" w:customStyle="1" w:styleId="12">
    <w:name w:val="p"/>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3">
    <w:name w:val="15"/>
    <w:basedOn w:val="8"/>
    <w:qFormat/>
    <w:uiPriority w:val="0"/>
  </w:style>
  <w:style w:type="character" w:customStyle="1" w:styleId="14">
    <w:name w:val="页眉 Char"/>
    <w:basedOn w:val="8"/>
    <w:link w:val="5"/>
    <w:qFormat/>
    <w:uiPriority w:val="99"/>
    <w:rPr>
      <w:sz w:val="18"/>
      <w:szCs w:val="18"/>
    </w:rPr>
  </w:style>
  <w:style w:type="character" w:customStyle="1" w:styleId="15">
    <w:name w:val="页脚 Char"/>
    <w:basedOn w:val="8"/>
    <w:link w:val="4"/>
    <w:qFormat/>
    <w:uiPriority w:val="99"/>
    <w:rPr>
      <w:sz w:val="18"/>
      <w:szCs w:val="18"/>
    </w:rPr>
  </w:style>
  <w:style w:type="character" w:customStyle="1" w:styleId="16">
    <w:name w:val="批注框文本 Char"/>
    <w:basedOn w:val="8"/>
    <w:link w:val="3"/>
    <w:semiHidden/>
    <w:qFormat/>
    <w:uiPriority w:val="99"/>
    <w:rPr>
      <w:sz w:val="18"/>
      <w:szCs w:val="18"/>
    </w:rPr>
  </w:style>
  <w:style w:type="character" w:customStyle="1" w:styleId="17">
    <w:name w:val="append-icon"/>
    <w:basedOn w:val="8"/>
    <w:qFormat/>
    <w:uiPriority w:val="0"/>
    <w:rPr>
      <w:sz w:val="36"/>
      <w:szCs w:val="36"/>
    </w:rPr>
  </w:style>
  <w:style w:type="character" w:customStyle="1" w:styleId="18">
    <w:name w:val="zwxxgk_bnt6"/>
    <w:basedOn w:val="8"/>
    <w:qFormat/>
    <w:uiPriority w:val="0"/>
  </w:style>
  <w:style w:type="character" w:customStyle="1" w:styleId="19">
    <w:name w:val="zwxxgk_bnt61"/>
    <w:basedOn w:val="8"/>
    <w:qFormat/>
    <w:uiPriority w:val="0"/>
  </w:style>
  <w:style w:type="character" w:customStyle="1" w:styleId="20">
    <w:name w:val="zwxxgk_bnt62"/>
    <w:basedOn w:val="8"/>
    <w:qFormat/>
    <w:uiPriority w:val="0"/>
  </w:style>
  <w:style w:type="character" w:customStyle="1" w:styleId="21">
    <w:name w:val="zwxxgk_bnt63"/>
    <w:basedOn w:val="8"/>
    <w:qFormat/>
    <w:uiPriority w:val="0"/>
  </w:style>
  <w:style w:type="character" w:customStyle="1" w:styleId="22">
    <w:name w:val="zwxxgk_bnt5"/>
    <w:basedOn w:val="8"/>
    <w:qFormat/>
    <w:uiPriority w:val="0"/>
  </w:style>
  <w:style w:type="character" w:customStyle="1" w:styleId="23">
    <w:name w:val="zwxxgk_bnt51"/>
    <w:basedOn w:val="8"/>
    <w:qFormat/>
    <w:uiPriority w:val="0"/>
  </w:style>
  <w:style w:type="character" w:customStyle="1" w:styleId="24">
    <w:name w:val="zwxxgk_bnt52"/>
    <w:basedOn w:val="8"/>
    <w:qFormat/>
    <w:uiPriority w:val="0"/>
  </w:style>
  <w:style w:type="character" w:customStyle="1" w:styleId="25">
    <w:name w:val="zwxxgk_bnt53"/>
    <w:basedOn w:val="8"/>
    <w:qFormat/>
    <w:uiPriority w:val="0"/>
  </w:style>
  <w:style w:type="character" w:customStyle="1" w:styleId="26">
    <w:name w:val="zwxxgk_bnt54"/>
    <w:basedOn w:val="8"/>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96cda9aa-bf16-4552-9c98-34ce710376e1</errorID>
      <errorWord>》</errorWord>
      <group>L1_Word</group>
      <groupName>字词问题</groupName>
      <ability>L2_Typo</ability>
      <abilityName>字词错误</abilityName>
      <candidateList>
        <item>》和</item>
      </candidateList>
      <explain/>
      <paraID>22197617</paraID>
      <start>18</start>
      <end>19</end>
      <status>unmodified</status>
      <modifiedWord/>
      <trackRevisions>false</trackRevisions>
    </reviewItem>
    <reviewItem>
      <errorID>9e1fed8c-4cf2-497d-accf-0c72e674c21e</errorID>
      <errorWord>处理</errorWord>
      <group>L1_Word</group>
      <groupName>字词问题</groupName>
      <ability>L2_Typo</ability>
      <abilityName>字词错误</abilityName>
      <candidateList>
        <item>受理</item>
      </candidateList>
      <explain/>
      <paraID>1ADDACA4</paraID>
      <start>22</start>
      <end>24</end>
      <status>unmodified</status>
      <modifiedWord/>
      <trackRevisions>false</trackRevisions>
    </reviewItem>
    <reviewItem>
      <errorID>a938ed71-8cb9-4133-b1ed-61683f29b14c</errorID>
      <errorWord>处理</errorWord>
      <group>L1_Word</group>
      <groupName>字词问题</groupName>
      <ability>L2_Typo</ability>
      <abilityName>字词错误</abilityName>
      <candidateList>
        <item>受理</item>
      </candidateList>
      <explain/>
      <paraID>1B1CF347</paraID>
      <start>26</start>
      <end>28</end>
      <status>unmodified</status>
      <modifiedWord/>
      <trackRevisions>false</trackRevisions>
    </reviewItem>
  </reviewItems>
  <config/>
</contractReview>
</file>

<file path=customXml/itemProps1.xml><?xml version="1.0" encoding="utf-8"?>
<ds:datastoreItem xmlns:ds="http://schemas.openxmlformats.org/officeDocument/2006/customXml" ds:itemID="{90571f8a-8c75-4ec2-8cd8-fd9e1ab3a94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1293</Words>
  <Characters>1320</Characters>
  <Lines>25</Lines>
  <Paragraphs>7</Paragraphs>
  <TotalTime>0</TotalTime>
  <ScaleCrop>false</ScaleCrop>
  <LinksUpToDate>false</LinksUpToDate>
  <CharactersWithSpaces>1321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2021-01-16T00:56:00Z</dcterms:created>
  <dc:creator>lenovo</dc:creator>
  <cp:lastModifiedBy>独乐自在</cp:lastModifiedBy>
  <cp:lastPrinted>2022-01-26T09:32:00Z</cp:lastPrinted>
  <dcterms:modified xsi:type="dcterms:W3CDTF">2026-01-28T07:49:00Z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B23334FBEACA4209BEFB1E35CE70978C_13</vt:lpwstr>
  </property>
  <property fmtid="{D5CDD505-2E9C-101B-9397-08002B2CF9AE}" pid="4" name="KSOTemplateDocerSaveRecord">
    <vt:lpwstr>eyJoZGlkIjoiMmIzMzMzNTE3Nzg2NWEzMjRkODVhNTg4ZmJmYWZjYzQiLCJ1c2VySWQiOiIzMTIxNTIyMDgifQ==</vt:lpwstr>
  </property>
</Properties>
</file>