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FD8C32">
      <w:pPr>
        <w:spacing w:line="560" w:lineRule="exact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-278765</wp:posOffset>
                </wp:positionV>
                <wp:extent cx="1804670" cy="638175"/>
                <wp:effectExtent l="4445" t="4445" r="19685" b="508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43474E">
                            <w:pPr>
                              <w:spacing w:line="380" w:lineRule="exact"/>
                              <w:rPr>
                                <w:rFonts w:ascii="黑体" w:hAnsi="黑体" w:eastAsia="黑体"/>
                                <w:spacing w:val="28"/>
                                <w:sz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pacing w:val="28"/>
                                <w:sz w:val="28"/>
                              </w:rPr>
                              <w:t>莲池区</w:t>
                            </w:r>
                            <w:r>
                              <w:rPr>
                                <w:rFonts w:hint="eastAsia" w:ascii="黑体" w:hAnsi="黑体" w:eastAsia="黑体"/>
                                <w:spacing w:val="28"/>
                                <w:sz w:val="28"/>
                                <w:lang w:eastAsia="zh-CN"/>
                              </w:rPr>
                              <w:t>三</w:t>
                            </w:r>
                            <w:r>
                              <w:rPr>
                                <w:rFonts w:hint="eastAsia" w:ascii="黑体" w:hAnsi="黑体" w:eastAsia="黑体"/>
                                <w:spacing w:val="28"/>
                                <w:sz w:val="28"/>
                              </w:rPr>
                              <w:t>届人大</w:t>
                            </w:r>
                          </w:p>
                          <w:p w14:paraId="7645E887">
                            <w:pPr>
                              <w:spacing w:line="380" w:lineRule="exact"/>
                              <w:rPr>
                                <w:rFonts w:ascii="楷体_GB2312" w:eastAsia="楷体_GB2312"/>
                                <w:sz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pacing w:val="10"/>
                                <w:sz w:val="28"/>
                                <w:lang w:eastAsia="zh-CN"/>
                              </w:rPr>
                              <w:t>六</w:t>
                            </w:r>
                            <w:r>
                              <w:rPr>
                                <w:rFonts w:hint="eastAsia" w:ascii="黑体" w:hAnsi="黑体" w:eastAsia="黑体"/>
                                <w:spacing w:val="10"/>
                                <w:sz w:val="28"/>
                              </w:rPr>
                              <w:t>次会议文件(</w:t>
                            </w:r>
                            <w:r>
                              <w:rPr>
                                <w:rFonts w:hint="eastAsia" w:ascii="黑体" w:hAnsi="黑体" w:eastAsia="黑体"/>
                                <w:spacing w:val="10"/>
                                <w:sz w:val="28"/>
                                <w:lang w:eastAsia="zh-CN"/>
                              </w:rPr>
                              <w:t>21</w:t>
                            </w:r>
                            <w:r>
                              <w:rPr>
                                <w:rFonts w:hint="eastAsia" w:ascii="黑体" w:hAnsi="黑体" w:eastAsia="黑体"/>
                                <w:spacing w:val="1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75pt;margin-top:-21.95pt;height:50.25pt;width:142.1pt;z-index:251659264;mso-width-relative:page;mso-height-relative:page;" fillcolor="#FFFFFF" filled="t" stroked="t" coordsize="21600,21600" o:gfxdata="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Vgt/X1gAAAAgBAAAPAAAAAAAAAAEAIAAAACIAAABkcnMvZG93bnJldi54&#10;bWxQSwECFAAUAAAACACHTuJASibXwPwBAAApBAAADgAAAAAAAAABACAAAAAlAQAAZHJzL2Uyb0Rv&#10;Yy54bWxQSwUGAAAAAAYABgBZAQAAk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2F43474E">
                      <w:pPr>
                        <w:spacing w:line="380" w:lineRule="exact"/>
                        <w:rPr>
                          <w:rFonts w:ascii="黑体" w:hAnsi="黑体" w:eastAsia="黑体"/>
                          <w:spacing w:val="28"/>
                          <w:sz w:val="28"/>
                        </w:rPr>
                      </w:pPr>
                      <w:r>
                        <w:rPr>
                          <w:rFonts w:hint="eastAsia" w:ascii="黑体" w:hAnsi="黑体" w:eastAsia="黑体"/>
                          <w:spacing w:val="28"/>
                          <w:sz w:val="28"/>
                        </w:rPr>
                        <w:t>莲池区</w:t>
                      </w:r>
                      <w:r>
                        <w:rPr>
                          <w:rFonts w:hint="eastAsia" w:ascii="黑体" w:hAnsi="黑体" w:eastAsia="黑体"/>
                          <w:spacing w:val="28"/>
                          <w:sz w:val="28"/>
                          <w:lang w:eastAsia="zh-CN"/>
                        </w:rPr>
                        <w:t>三</w:t>
                      </w:r>
                      <w:r>
                        <w:rPr>
                          <w:rFonts w:hint="eastAsia" w:ascii="黑体" w:hAnsi="黑体" w:eastAsia="黑体"/>
                          <w:spacing w:val="28"/>
                          <w:sz w:val="28"/>
                        </w:rPr>
                        <w:t>届人大</w:t>
                      </w:r>
                    </w:p>
                    <w:p w14:paraId="7645E887">
                      <w:pPr>
                        <w:spacing w:line="380" w:lineRule="exact"/>
                        <w:rPr>
                          <w:rFonts w:ascii="楷体_GB2312" w:eastAsia="楷体_GB2312"/>
                          <w:sz w:val="28"/>
                        </w:rPr>
                      </w:pPr>
                      <w:r>
                        <w:rPr>
                          <w:rFonts w:hint="eastAsia" w:ascii="黑体" w:hAnsi="黑体" w:eastAsia="黑体"/>
                          <w:spacing w:val="10"/>
                          <w:sz w:val="28"/>
                          <w:lang w:eastAsia="zh-CN"/>
                        </w:rPr>
                        <w:t>六</w:t>
                      </w:r>
                      <w:r>
                        <w:rPr>
                          <w:rFonts w:hint="eastAsia" w:ascii="黑体" w:hAnsi="黑体" w:eastAsia="黑体"/>
                          <w:spacing w:val="10"/>
                          <w:sz w:val="28"/>
                        </w:rPr>
                        <w:t>次会议文件(</w:t>
                      </w:r>
                      <w:r>
                        <w:rPr>
                          <w:rFonts w:hint="eastAsia" w:ascii="黑体" w:hAnsi="黑体" w:eastAsia="黑体"/>
                          <w:spacing w:val="10"/>
                          <w:sz w:val="28"/>
                          <w:lang w:eastAsia="zh-CN"/>
                        </w:rPr>
                        <w:t>21</w:t>
                      </w:r>
                      <w:r>
                        <w:rPr>
                          <w:rFonts w:hint="eastAsia" w:ascii="黑体" w:hAnsi="黑体" w:eastAsia="黑体"/>
                          <w:spacing w:val="10"/>
                          <w:sz w:val="2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2868896B">
      <w:pPr>
        <w:spacing w:line="560" w:lineRule="exact"/>
        <w:rPr>
          <w:rFonts w:ascii="方正小标宋_GBK" w:hAnsi="方正小标宋_GBK" w:eastAsia="方正小标宋_GBK" w:cs="方正小标宋_GBK"/>
          <w:sz w:val="44"/>
          <w:szCs w:val="44"/>
        </w:rPr>
      </w:pPr>
    </w:p>
    <w:p w14:paraId="77030325">
      <w:pPr>
        <w:spacing w:line="560" w:lineRule="exact"/>
        <w:jc w:val="center"/>
        <w:rPr>
          <w:rFonts w:ascii="方正小标宋_GBK" w:hAnsi="方正小标宋_GBK" w:eastAsia="方正小标宋_GBK"/>
          <w:sz w:val="44"/>
          <w:szCs w:val="44"/>
        </w:rPr>
      </w:pPr>
      <w:r>
        <w:rPr>
          <w:rFonts w:hint="eastAsia" w:ascii="方正小标宋_GBK" w:hAnsi="方正小标宋_GBK" w:eastAsia="方正小标宋_GBK"/>
          <w:sz w:val="44"/>
          <w:szCs w:val="44"/>
        </w:rPr>
        <w:t>莲 池 区 人 民 政 府</w:t>
      </w:r>
    </w:p>
    <w:p w14:paraId="05C6FFB6">
      <w:pPr>
        <w:spacing w:line="560" w:lineRule="exact"/>
        <w:jc w:val="center"/>
        <w:rPr>
          <w:rFonts w:ascii="方正小标宋_GBK" w:hAnsi="方正小标宋_GBK" w:eastAsia="方正小标宋_GBK"/>
          <w:sz w:val="44"/>
          <w:szCs w:val="44"/>
        </w:rPr>
      </w:pPr>
      <w:r>
        <w:rPr>
          <w:rFonts w:hint="eastAsia" w:ascii="方正小标宋_GBK" w:hAnsi="方正小标宋_GBK" w:eastAsia="方正小标宋_GBK"/>
          <w:sz w:val="44"/>
          <w:szCs w:val="44"/>
        </w:rPr>
        <w:t>关于2025年预算执行情况和2026年</w:t>
      </w:r>
    </w:p>
    <w:p w14:paraId="745138E0">
      <w:pPr>
        <w:spacing w:line="560" w:lineRule="exact"/>
        <w:jc w:val="center"/>
        <w:rPr>
          <w:rFonts w:ascii="方正小标宋_GBK" w:hAnsi="方正小标宋_GBK" w:eastAsia="方正小标宋_GBK"/>
          <w:sz w:val="44"/>
          <w:szCs w:val="44"/>
        </w:rPr>
      </w:pPr>
      <w:r>
        <w:rPr>
          <w:rFonts w:hint="eastAsia" w:ascii="方正小标宋_GBK" w:hAnsi="方正小标宋_GBK" w:eastAsia="方正小标宋_GBK"/>
          <w:sz w:val="44"/>
          <w:szCs w:val="44"/>
        </w:rPr>
        <w:t>预算(草案)的报告</w:t>
      </w:r>
      <w:r>
        <w:rPr>
          <w:rFonts w:hint="eastAsia" w:ascii="方正小标宋_GBK" w:hAnsi="方正小标宋_GBK" w:eastAsia="方正小标宋_GBK"/>
          <w:sz w:val="44"/>
          <w:szCs w:val="44"/>
          <w:lang w:eastAsia="zh-CN"/>
        </w:rPr>
        <w:t>（</w:t>
      </w:r>
      <w:r>
        <w:rPr>
          <w:rFonts w:hint="eastAsia" w:ascii="方正小标宋_GBK" w:hAnsi="方正小标宋_GBK" w:eastAsia="方正小标宋_GBK"/>
          <w:sz w:val="44"/>
          <w:szCs w:val="44"/>
        </w:rPr>
        <w:t>书面）</w:t>
      </w:r>
    </w:p>
    <w:p w14:paraId="024F72E8">
      <w:pPr>
        <w:spacing w:before="156" w:beforeLines="50" w:after="156" w:afterLines="50" w:line="560" w:lineRule="exact"/>
        <w:jc w:val="center"/>
        <w:rPr>
          <w:rFonts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——</w:t>
      </w:r>
      <w:r>
        <w:rPr>
          <w:rFonts w:hint="eastAsia" w:ascii="楷体_GB2312" w:hAnsi="楷体_GB2312" w:eastAsia="楷体_GB2312" w:cs="楷体_GB2312"/>
          <w:bCs/>
          <w:sz w:val="28"/>
          <w:szCs w:val="28"/>
        </w:rPr>
        <w:t>2026年1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月2</w:t>
      </w:r>
      <w:r>
        <w:rPr>
          <w:rFonts w:ascii="楷体_GB2312" w:hAnsi="楷体_GB2312" w:eastAsia="楷体_GB2312" w:cs="楷体_GB2312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楷体_GB2312" w:hAnsi="楷体_GB2312" w:eastAsia="楷体_GB2312" w:cs="楷体_GB2312"/>
          <w:bCs/>
          <w:sz w:val="28"/>
          <w:szCs w:val="28"/>
        </w:rPr>
        <w:t>在莲池区第三届人民代表大会第六次会议上</w:t>
      </w:r>
    </w:p>
    <w:p w14:paraId="6591743B">
      <w:pPr>
        <w:spacing w:before="156" w:beforeLines="50" w:after="156" w:afterLines="50" w:line="560" w:lineRule="exact"/>
        <w:jc w:val="center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</w:rPr>
        <w:t>莲池区财政局局长  杨洪欣</w:t>
      </w:r>
    </w:p>
    <w:p w14:paraId="44F55F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textAlignment w:val="auto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各位代表：</w:t>
      </w:r>
    </w:p>
    <w:p w14:paraId="426175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5"/>
        <w:textAlignment w:val="auto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受区政府委托，我向大会提交2025年财政预算执行情况和2026年财政预算（草案）的报告，请予审议，并请各位政协委员和列席会议的同志提出意见和建议。</w:t>
      </w:r>
    </w:p>
    <w:p w14:paraId="66C4AC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5"/>
        <w:textAlignment w:val="auto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一、2025年财政预算执行情况</w:t>
      </w:r>
    </w:p>
    <w:p w14:paraId="35E9F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ascii="仿宋_GB2312" w:hAnsi="宋体" w:eastAsia="仿宋_GB2312" w:cs="仿宋_GB2312"/>
          <w:spacing w:val="-8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sz w:val="32"/>
          <w:szCs w:val="32"/>
        </w:rPr>
        <w:t>2025年，在区委的坚强领导下，在区人大及其常委会的监督支持下，</w:t>
      </w:r>
      <w:r>
        <w:rPr>
          <w:rFonts w:hint="eastAsia" w:ascii="仿宋_GB2312" w:hAnsi="宋体" w:eastAsia="仿宋_GB2312" w:cs="仿宋_GB2312"/>
          <w:spacing w:val="-8"/>
          <w:sz w:val="32"/>
          <w:szCs w:val="32"/>
          <w:shd w:val="clear" w:color="auto" w:fill="FFFFFF"/>
        </w:rPr>
        <w:t>财政部门</w:t>
      </w:r>
      <w:r>
        <w:rPr>
          <w:rFonts w:ascii="仿宋_GB2312" w:hAnsi="宋体" w:eastAsia="仿宋_GB2312" w:cs="仿宋_GB2312"/>
          <w:spacing w:val="-8"/>
          <w:sz w:val="32"/>
          <w:szCs w:val="32"/>
          <w:shd w:val="clear" w:color="auto" w:fill="FFFFFF"/>
        </w:rPr>
        <w:t>以习近平新时代中国特色社会主义思想为指导，</w:t>
      </w:r>
      <w:r>
        <w:rPr>
          <w:rFonts w:hint="eastAsia" w:ascii="仿宋_GB2312" w:hAnsi="宋体" w:eastAsia="仿宋_GB2312" w:cs="仿宋_GB2312"/>
          <w:spacing w:val="-8"/>
          <w:sz w:val="32"/>
          <w:szCs w:val="32"/>
          <w:shd w:val="clear" w:color="auto" w:fill="FFFFFF"/>
        </w:rPr>
        <w:t>深入贯彻落实中央、省、市决策部署，以“稳”为基、以“实”作答，紧紧围绕“稳增长、惠民生、防风险”工作要求，深化零基预算改革，聚焦增收、节支核心任务，创新举措、精准发力，顶住压力，兜牢兜实“三保”支出底线，全年财政运行质效稳步提升，为区域高质量发展注入强劲动能。</w:t>
      </w:r>
    </w:p>
    <w:p w14:paraId="56E6D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3" w:firstLineChars="200"/>
        <w:textAlignment w:val="auto"/>
        <w:rPr>
          <w:rFonts w:ascii="楷体_GB2312" w:hAnsi="楷体" w:eastAsia="楷体_GB2312" w:cs="楷体"/>
          <w:b/>
          <w:sz w:val="32"/>
          <w:szCs w:val="32"/>
        </w:rPr>
      </w:pPr>
      <w:r>
        <w:rPr>
          <w:rFonts w:hint="eastAsia" w:ascii="楷体_GB2312" w:hAnsi="楷体" w:eastAsia="楷体_GB2312" w:cs="楷体"/>
          <w:b/>
          <w:sz w:val="32"/>
          <w:szCs w:val="32"/>
        </w:rPr>
        <w:t>（一）全区财政收支情况</w:t>
      </w:r>
    </w:p>
    <w:p w14:paraId="62E82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3" w:firstLineChars="200"/>
        <w:textAlignment w:val="auto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1.一般公共预算</w:t>
      </w:r>
    </w:p>
    <w:p w14:paraId="5A9FA7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总收入</w:t>
      </w:r>
      <w:r>
        <w:rPr>
          <w:rFonts w:hint="eastAsia" w:ascii="仿宋_GB2312" w:eastAsia="仿宋_GB2312"/>
          <w:b/>
          <w:sz w:val="32"/>
          <w:szCs w:val="32"/>
        </w:rPr>
        <w:t>700289万元</w:t>
      </w:r>
      <w:r>
        <w:rPr>
          <w:rFonts w:hint="eastAsia" w:ascii="仿宋_GB2312" w:eastAsia="仿宋_GB2312"/>
          <w:sz w:val="32"/>
          <w:szCs w:val="32"/>
        </w:rPr>
        <w:t>,其构成是：①一般公共预算收入</w:t>
      </w:r>
      <w:r>
        <w:rPr>
          <w:rFonts w:hint="eastAsia" w:ascii="仿宋_GB2312" w:eastAsia="仿宋_GB2312"/>
          <w:b/>
          <w:sz w:val="32"/>
          <w:szCs w:val="32"/>
        </w:rPr>
        <w:t>371231万元</w:t>
      </w:r>
      <w:r>
        <w:rPr>
          <w:rFonts w:hint="eastAsia" w:ascii="仿宋_GB2312" w:eastAsia="仿宋_GB2312"/>
          <w:sz w:val="32"/>
          <w:szCs w:val="32"/>
        </w:rPr>
        <w:t>，完成调整预算的</w:t>
      </w:r>
      <w:r>
        <w:rPr>
          <w:rFonts w:hint="eastAsia" w:ascii="仿宋_GB2312" w:eastAsia="仿宋_GB2312"/>
          <w:b/>
          <w:sz w:val="32"/>
          <w:szCs w:val="32"/>
        </w:rPr>
        <w:t>100%</w:t>
      </w:r>
      <w:r>
        <w:rPr>
          <w:rFonts w:hint="eastAsia" w:ascii="仿宋_GB2312" w:eastAsia="仿宋_GB2312"/>
          <w:sz w:val="32"/>
          <w:szCs w:val="32"/>
        </w:rPr>
        <w:t>;②上级补助收入</w:t>
      </w:r>
      <w:r>
        <w:rPr>
          <w:rFonts w:hint="eastAsia" w:ascii="仿宋_GB2312" w:eastAsia="仿宋_GB2312"/>
          <w:b/>
          <w:sz w:val="32"/>
          <w:szCs w:val="32"/>
        </w:rPr>
        <w:t>299027万元</w:t>
      </w:r>
      <w:r>
        <w:rPr>
          <w:rFonts w:hint="eastAsia" w:ascii="仿宋_GB2312" w:eastAsia="仿宋_GB2312"/>
          <w:sz w:val="32"/>
          <w:szCs w:val="32"/>
        </w:rPr>
        <w:t>；③上年结转收入</w:t>
      </w:r>
      <w:r>
        <w:rPr>
          <w:rFonts w:hint="eastAsia" w:ascii="仿宋_GB2312" w:eastAsia="仿宋_GB2312"/>
          <w:b/>
          <w:sz w:val="32"/>
          <w:szCs w:val="32"/>
        </w:rPr>
        <w:t>10331万元</w:t>
      </w:r>
      <w:r>
        <w:rPr>
          <w:rFonts w:hint="eastAsia" w:ascii="仿宋_GB2312" w:eastAsia="仿宋_GB2312"/>
          <w:sz w:val="32"/>
          <w:szCs w:val="32"/>
        </w:rPr>
        <w:t>；④新增地方政府债券收入</w:t>
      </w:r>
      <w:r>
        <w:rPr>
          <w:rFonts w:hint="eastAsia" w:ascii="仿宋_GB2312" w:eastAsia="仿宋_GB2312"/>
          <w:b/>
          <w:sz w:val="32"/>
          <w:szCs w:val="32"/>
        </w:rPr>
        <w:t>19700</w:t>
      </w:r>
      <w:r>
        <w:rPr>
          <w:rFonts w:hint="eastAsia" w:ascii="仿宋_GB2312" w:eastAsia="仿宋_GB2312"/>
          <w:b/>
          <w:bCs/>
          <w:sz w:val="32"/>
          <w:szCs w:val="32"/>
        </w:rPr>
        <w:t>万</w:t>
      </w:r>
      <w:r>
        <w:rPr>
          <w:rFonts w:hint="eastAsia" w:ascii="仿宋_GB2312" w:eastAsia="仿宋_GB2312"/>
          <w:b/>
          <w:sz w:val="32"/>
          <w:szCs w:val="32"/>
        </w:rPr>
        <w:t>元</w:t>
      </w:r>
      <w:r>
        <w:rPr>
          <w:rFonts w:hint="eastAsia" w:ascii="仿宋_GB2312" w:eastAsia="仿宋_GB2312" w:hAnsiTheme="minorEastAsia"/>
          <w:sz w:val="32"/>
          <w:szCs w:val="32"/>
        </w:rPr>
        <w:t>。</w:t>
      </w:r>
    </w:p>
    <w:p w14:paraId="7B173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7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总支出</w:t>
      </w:r>
      <w:r>
        <w:rPr>
          <w:rFonts w:hint="eastAsia" w:ascii="仿宋_GB2312" w:eastAsia="仿宋_GB2312"/>
          <w:b/>
          <w:sz w:val="32"/>
          <w:szCs w:val="32"/>
        </w:rPr>
        <w:t>700289万元</w:t>
      </w:r>
      <w:r>
        <w:rPr>
          <w:rFonts w:hint="eastAsia" w:ascii="仿宋_GB2312" w:eastAsia="仿宋_GB2312"/>
          <w:sz w:val="32"/>
          <w:szCs w:val="32"/>
        </w:rPr>
        <w:t>，其构成是：①一般公共预算支出</w:t>
      </w:r>
      <w:r>
        <w:rPr>
          <w:rFonts w:hint="eastAsia" w:ascii="仿宋_GB2312" w:eastAsia="仿宋_GB2312"/>
          <w:b/>
          <w:sz w:val="32"/>
          <w:szCs w:val="32"/>
        </w:rPr>
        <w:t>323465万元</w:t>
      </w:r>
      <w:r>
        <w:rPr>
          <w:rFonts w:hint="eastAsia" w:ascii="仿宋_GB2312" w:eastAsia="仿宋_GB2312"/>
          <w:sz w:val="32"/>
          <w:szCs w:val="32"/>
        </w:rPr>
        <w:t>，完成调整预算的</w:t>
      </w:r>
      <w:r>
        <w:rPr>
          <w:rFonts w:hint="eastAsia" w:ascii="仿宋_GB2312" w:eastAsia="仿宋_GB2312"/>
          <w:b/>
          <w:sz w:val="32"/>
          <w:szCs w:val="32"/>
        </w:rPr>
        <w:t>99.5%</w:t>
      </w:r>
      <w:r>
        <w:rPr>
          <w:rFonts w:hint="eastAsia" w:ascii="仿宋_GB2312" w:eastAsia="仿宋_GB2312"/>
          <w:sz w:val="32"/>
          <w:szCs w:val="32"/>
        </w:rPr>
        <w:t>；②上解上级支出</w:t>
      </w:r>
      <w:r>
        <w:rPr>
          <w:rFonts w:hint="eastAsia" w:ascii="仿宋_GB2312" w:eastAsia="仿宋_GB2312"/>
          <w:b/>
          <w:sz w:val="32"/>
          <w:szCs w:val="32"/>
        </w:rPr>
        <w:t>286631万元</w:t>
      </w:r>
      <w:r>
        <w:rPr>
          <w:rFonts w:hint="eastAsia" w:ascii="仿宋_GB2312" w:eastAsia="仿宋_GB2312"/>
          <w:sz w:val="32"/>
          <w:szCs w:val="32"/>
        </w:rPr>
        <w:t>;③结转下年支出</w:t>
      </w:r>
      <w:r>
        <w:rPr>
          <w:rFonts w:ascii="仿宋_GB2312" w:eastAsia="仿宋_GB2312"/>
          <w:b/>
          <w:sz w:val="32"/>
          <w:szCs w:val="32"/>
        </w:rPr>
        <w:t>40421</w:t>
      </w:r>
      <w:r>
        <w:rPr>
          <w:rFonts w:hint="eastAsia" w:ascii="仿宋_GB2312" w:eastAsia="仿宋_GB2312" w:hAnsiTheme="minorEastAsia"/>
          <w:b/>
          <w:sz w:val="32"/>
          <w:szCs w:val="32"/>
        </w:rPr>
        <w:t>万元</w:t>
      </w:r>
      <w:r>
        <w:rPr>
          <w:rFonts w:hint="eastAsia" w:ascii="仿宋_GB2312" w:eastAsia="仿宋_GB2312"/>
          <w:sz w:val="32"/>
          <w:szCs w:val="32"/>
        </w:rPr>
        <w:t>；④调出资金</w:t>
      </w:r>
      <w:r>
        <w:rPr>
          <w:rFonts w:hint="eastAsia" w:ascii="仿宋_GB2312" w:eastAsia="仿宋_GB2312"/>
          <w:b/>
          <w:sz w:val="32"/>
          <w:szCs w:val="32"/>
        </w:rPr>
        <w:t>49072</w:t>
      </w:r>
      <w:r>
        <w:rPr>
          <w:rFonts w:hint="eastAsia" w:ascii="仿宋_GB2312" w:hAnsi="宋体" w:eastAsia="仿宋_GB2312" w:cs="宋体"/>
          <w:b/>
          <w:sz w:val="32"/>
          <w:szCs w:val="32"/>
        </w:rPr>
        <w:t>万元</w:t>
      </w:r>
      <w:r>
        <w:rPr>
          <w:rFonts w:hint="eastAsia" w:ascii="仿宋_GB2312" w:eastAsia="仿宋_GB2312"/>
          <w:sz w:val="32"/>
          <w:szCs w:val="32"/>
        </w:rPr>
        <w:t>；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= 5 \* GB3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</w:rPr>
        <w:t>⑤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债务还本支出</w:t>
      </w:r>
      <w:r>
        <w:rPr>
          <w:rFonts w:hint="eastAsia" w:ascii="仿宋_GB2312" w:eastAsia="仿宋_GB2312"/>
          <w:b/>
          <w:sz w:val="32"/>
          <w:szCs w:val="32"/>
        </w:rPr>
        <w:t>700万元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280303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70" w:lineRule="exact"/>
        <w:ind w:firstLine="643" w:firstLineChars="200"/>
        <w:textAlignment w:val="auto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2.政府性基金预算 </w:t>
      </w:r>
    </w:p>
    <w:p w14:paraId="1F84BFB9">
      <w:pPr>
        <w:keepNext w:val="0"/>
        <w:keepLines w:val="0"/>
        <w:pageBreakBefore w:val="0"/>
        <w:widowControl w:val="0"/>
        <w:tabs>
          <w:tab w:val="left" w:pos="5580"/>
        </w:tabs>
        <w:kinsoku/>
        <w:wordWrap/>
        <w:overflowPunct/>
        <w:topLinePunct w:val="0"/>
        <w:autoSpaceDE/>
        <w:autoSpaceDN/>
        <w:bidi w:val="0"/>
        <w:spacing w:line="57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总收入</w:t>
      </w:r>
      <w:r>
        <w:rPr>
          <w:rFonts w:hint="eastAsia" w:ascii="仿宋_GB2312" w:eastAsia="仿宋_GB2312"/>
          <w:b/>
          <w:sz w:val="32"/>
          <w:szCs w:val="32"/>
        </w:rPr>
        <w:t>344772万元</w:t>
      </w:r>
      <w:r>
        <w:rPr>
          <w:rFonts w:hint="eastAsia" w:ascii="仿宋_GB2312" w:eastAsia="仿宋_GB2312"/>
          <w:sz w:val="32"/>
          <w:szCs w:val="32"/>
        </w:rPr>
        <w:t>，其构成是：①政府性基金预算收入</w:t>
      </w:r>
      <w:r>
        <w:rPr>
          <w:rFonts w:hint="eastAsia" w:ascii="仿宋_GB2312" w:eastAsia="仿宋_GB2312"/>
          <w:b/>
          <w:sz w:val="32"/>
          <w:szCs w:val="32"/>
        </w:rPr>
        <w:t>23356万元</w:t>
      </w:r>
      <w:r>
        <w:rPr>
          <w:rFonts w:hint="eastAsia" w:ascii="仿宋_GB2312" w:eastAsia="仿宋_GB2312"/>
          <w:sz w:val="32"/>
          <w:szCs w:val="32"/>
        </w:rPr>
        <w:t>,完成调整预算的</w:t>
      </w:r>
      <w:r>
        <w:rPr>
          <w:rFonts w:hint="eastAsia" w:ascii="仿宋_GB2312" w:eastAsia="仿宋_GB2312"/>
          <w:b/>
          <w:sz w:val="32"/>
          <w:szCs w:val="32"/>
        </w:rPr>
        <w:t>100%</w:t>
      </w:r>
      <w:r>
        <w:rPr>
          <w:rFonts w:hint="eastAsia" w:ascii="仿宋_GB2312" w:eastAsia="仿宋_GB2312"/>
          <w:sz w:val="32"/>
          <w:szCs w:val="32"/>
        </w:rPr>
        <w:t>;②上级补助收入</w:t>
      </w:r>
      <w:r>
        <w:rPr>
          <w:rFonts w:hint="eastAsia" w:ascii="仿宋_GB2312" w:eastAsia="仿宋_GB2312"/>
          <w:b/>
          <w:sz w:val="32"/>
          <w:szCs w:val="32"/>
        </w:rPr>
        <w:t>33631万元</w:t>
      </w:r>
      <w:r>
        <w:rPr>
          <w:rFonts w:hint="eastAsia" w:ascii="仿宋_GB2312" w:eastAsia="仿宋_GB2312"/>
          <w:sz w:val="32"/>
          <w:szCs w:val="32"/>
        </w:rPr>
        <w:t>；③上年结转收入</w:t>
      </w:r>
      <w:r>
        <w:rPr>
          <w:rFonts w:hint="eastAsia" w:ascii="仿宋_GB2312" w:eastAsia="仿宋_GB2312"/>
          <w:b/>
          <w:sz w:val="32"/>
          <w:szCs w:val="32"/>
        </w:rPr>
        <w:t>2913万元</w:t>
      </w:r>
      <w:r>
        <w:rPr>
          <w:rFonts w:hint="eastAsia" w:ascii="仿宋_GB2312" w:eastAsia="仿宋_GB2312"/>
          <w:sz w:val="32"/>
          <w:szCs w:val="32"/>
        </w:rPr>
        <w:t>；④新增地方政府债券收入</w:t>
      </w:r>
      <w:r>
        <w:rPr>
          <w:rFonts w:hint="eastAsia" w:ascii="仿宋_GB2312" w:eastAsia="仿宋_GB2312"/>
          <w:b/>
          <w:sz w:val="32"/>
          <w:szCs w:val="32"/>
        </w:rPr>
        <w:t>115900万元</w:t>
      </w:r>
      <w:r>
        <w:rPr>
          <w:rFonts w:hint="eastAsia" w:ascii="仿宋_GB2312" w:eastAsia="仿宋_GB2312"/>
          <w:sz w:val="32"/>
          <w:szCs w:val="32"/>
        </w:rPr>
        <w:t>，发行再融资专债</w:t>
      </w:r>
      <w:r>
        <w:rPr>
          <w:rFonts w:hint="eastAsia" w:ascii="仿宋_GB2312" w:eastAsia="仿宋_GB2312"/>
          <w:b/>
          <w:sz w:val="32"/>
          <w:szCs w:val="32"/>
        </w:rPr>
        <w:t>25900万元</w:t>
      </w:r>
      <w:r>
        <w:rPr>
          <w:rFonts w:hint="eastAsia" w:ascii="仿宋_GB2312" w:eastAsia="仿宋_GB2312"/>
          <w:sz w:val="32"/>
          <w:szCs w:val="32"/>
        </w:rPr>
        <w:t>；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= 5 \* GB3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</w:rPr>
        <w:t>⑤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一般调入基金</w:t>
      </w:r>
      <w:r>
        <w:rPr>
          <w:rFonts w:hint="eastAsia" w:ascii="仿宋_GB2312" w:eastAsia="仿宋_GB2312"/>
          <w:b/>
          <w:sz w:val="32"/>
          <w:szCs w:val="32"/>
        </w:rPr>
        <w:t>49072</w:t>
      </w:r>
      <w:r>
        <w:rPr>
          <w:rFonts w:hint="eastAsia" w:ascii="仿宋_GB2312" w:hAnsi="宋体" w:eastAsia="仿宋_GB2312" w:cs="宋体"/>
          <w:b/>
          <w:sz w:val="32"/>
          <w:szCs w:val="32"/>
        </w:rPr>
        <w:t>万元</w:t>
      </w:r>
      <w:r>
        <w:rPr>
          <w:rFonts w:hint="eastAsia" w:ascii="仿宋_GB2312" w:hAnsi="宋体" w:eastAsia="仿宋_GB2312" w:cs="宋体"/>
          <w:sz w:val="32"/>
          <w:szCs w:val="32"/>
        </w:rPr>
        <w:t>；</w:t>
      </w:r>
      <w:r>
        <w:rPr>
          <w:rFonts w:hint="eastAsia" w:ascii="仿宋_GB2312" w:hAnsi="宋体" w:eastAsia="仿宋_GB2312" w:cs="宋体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sz w:val="32"/>
          <w:szCs w:val="32"/>
        </w:rPr>
        <w:instrText xml:space="preserve"> = 6 \* GB3 </w:instrText>
      </w:r>
      <w:r>
        <w:rPr>
          <w:rFonts w:hint="eastAsia" w:ascii="仿宋_GB2312" w:hAnsi="宋体" w:eastAsia="仿宋_GB2312" w:cs="宋体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sz w:val="32"/>
          <w:szCs w:val="32"/>
        </w:rPr>
        <w:t>⑥</w:t>
      </w:r>
      <w:r>
        <w:rPr>
          <w:rFonts w:hint="eastAsia" w:ascii="仿宋_GB2312" w:hAnsi="宋体" w:eastAsia="仿宋_GB2312" w:cs="宋体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sz w:val="32"/>
          <w:szCs w:val="32"/>
        </w:rPr>
        <w:t>其他</w:t>
      </w:r>
      <w:r>
        <w:rPr>
          <w:rFonts w:hint="eastAsia" w:ascii="仿宋_GB2312" w:eastAsia="仿宋_GB2312"/>
          <w:sz w:val="32"/>
          <w:szCs w:val="32"/>
        </w:rPr>
        <w:t>调入资金</w:t>
      </w:r>
      <w:r>
        <w:rPr>
          <w:rFonts w:hint="eastAsia" w:ascii="仿宋_GB2312" w:eastAsia="仿宋_GB2312"/>
          <w:b/>
          <w:sz w:val="32"/>
          <w:szCs w:val="32"/>
        </w:rPr>
        <w:t>94000万元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54988556">
      <w:pPr>
        <w:keepNext w:val="0"/>
        <w:keepLines w:val="0"/>
        <w:pageBreakBefore w:val="0"/>
        <w:widowControl w:val="0"/>
        <w:tabs>
          <w:tab w:val="left" w:pos="5580"/>
        </w:tabs>
        <w:kinsoku/>
        <w:wordWrap/>
        <w:overflowPunct/>
        <w:topLinePunct w:val="0"/>
        <w:autoSpaceDE/>
        <w:autoSpaceDN/>
        <w:bidi w:val="0"/>
        <w:spacing w:line="57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总支出</w:t>
      </w:r>
      <w:r>
        <w:rPr>
          <w:rFonts w:hint="eastAsia" w:ascii="仿宋_GB2312" w:eastAsia="仿宋_GB2312"/>
          <w:b/>
          <w:sz w:val="32"/>
          <w:szCs w:val="32"/>
        </w:rPr>
        <w:t>344772万元</w:t>
      </w:r>
      <w:r>
        <w:rPr>
          <w:rFonts w:hint="eastAsia" w:ascii="仿宋_GB2312" w:eastAsia="仿宋_GB2312"/>
          <w:sz w:val="32"/>
          <w:szCs w:val="32"/>
        </w:rPr>
        <w:t>，其构成是：①政府性基金预算支出</w:t>
      </w:r>
      <w:r>
        <w:rPr>
          <w:rFonts w:hint="eastAsia" w:ascii="仿宋_GB2312" w:eastAsia="仿宋_GB2312"/>
          <w:b/>
          <w:sz w:val="32"/>
          <w:szCs w:val="32"/>
        </w:rPr>
        <w:t>123823万元</w:t>
      </w:r>
      <w:r>
        <w:rPr>
          <w:rFonts w:hint="eastAsia" w:ascii="仿宋_GB2312" w:eastAsia="仿宋_GB2312"/>
          <w:sz w:val="32"/>
          <w:szCs w:val="32"/>
        </w:rPr>
        <w:t>，完成调整预算的</w:t>
      </w:r>
      <w:r>
        <w:rPr>
          <w:rFonts w:hint="eastAsia" w:ascii="仿宋_GB2312" w:eastAsia="仿宋_GB2312"/>
          <w:b/>
          <w:sz w:val="32"/>
          <w:szCs w:val="32"/>
        </w:rPr>
        <w:t>100%</w:t>
      </w:r>
      <w:r>
        <w:rPr>
          <w:rFonts w:hint="eastAsia" w:ascii="仿宋_GB2312" w:eastAsia="仿宋_GB2312"/>
          <w:sz w:val="32"/>
          <w:szCs w:val="32"/>
        </w:rPr>
        <w:t>；②地方政府专项债务还本支出</w:t>
      </w:r>
      <w:r>
        <w:rPr>
          <w:rFonts w:hint="eastAsia" w:ascii="仿宋_GB2312" w:eastAsia="仿宋_GB2312"/>
          <w:b/>
          <w:sz w:val="32"/>
          <w:szCs w:val="32"/>
        </w:rPr>
        <w:t>31000万元</w:t>
      </w:r>
      <w:r>
        <w:rPr>
          <w:rFonts w:hint="eastAsia" w:ascii="仿宋_GB2312" w:eastAsia="仿宋_GB2312"/>
          <w:sz w:val="32"/>
          <w:szCs w:val="32"/>
        </w:rPr>
        <w:t>；③结转下年支出</w:t>
      </w:r>
      <w:r>
        <w:rPr>
          <w:rFonts w:hint="eastAsia" w:ascii="仿宋_GB2312" w:eastAsia="仿宋_GB2312"/>
          <w:b/>
          <w:sz w:val="32"/>
          <w:szCs w:val="32"/>
        </w:rPr>
        <w:t>189949万元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4CBE4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70" w:lineRule="exact"/>
        <w:ind w:firstLine="643" w:firstLineChars="200"/>
        <w:textAlignment w:val="auto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3.国有资本经营预算</w:t>
      </w:r>
    </w:p>
    <w:p w14:paraId="00A89AD8">
      <w:pPr>
        <w:keepNext w:val="0"/>
        <w:keepLines w:val="0"/>
        <w:pageBreakBefore w:val="0"/>
        <w:widowControl w:val="0"/>
        <w:tabs>
          <w:tab w:val="left" w:pos="5580"/>
        </w:tabs>
        <w:kinsoku/>
        <w:wordWrap/>
        <w:overflowPunct/>
        <w:topLinePunct w:val="0"/>
        <w:autoSpaceDE/>
        <w:autoSpaceDN/>
        <w:bidi w:val="0"/>
        <w:spacing w:line="570" w:lineRule="exact"/>
        <w:ind w:firstLine="640"/>
        <w:textAlignment w:val="auto"/>
        <w:rPr>
          <w:rFonts w:ascii="仿宋_GB2312" w:eastAsia="仿宋_GB2312"/>
          <w:color w:val="00B05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收入</w:t>
      </w:r>
      <w:r>
        <w:rPr>
          <w:rFonts w:hint="eastAsia" w:ascii="仿宋_GB2312" w:eastAsia="仿宋_GB2312"/>
          <w:b/>
          <w:sz w:val="32"/>
          <w:szCs w:val="32"/>
        </w:rPr>
        <w:t>303万元</w:t>
      </w:r>
      <w:r>
        <w:rPr>
          <w:rFonts w:hint="eastAsia" w:ascii="仿宋_GB2312" w:eastAsia="仿宋_GB2312"/>
          <w:sz w:val="32"/>
          <w:szCs w:val="32"/>
        </w:rPr>
        <w:t>，其构成是：①上级补助收入</w:t>
      </w:r>
      <w:r>
        <w:rPr>
          <w:rFonts w:hint="eastAsia" w:ascii="仿宋_GB2312" w:eastAsia="仿宋_GB2312"/>
          <w:b/>
          <w:sz w:val="32"/>
          <w:szCs w:val="32"/>
        </w:rPr>
        <w:t>135万元</w:t>
      </w:r>
      <w:r>
        <w:rPr>
          <w:rFonts w:hint="eastAsia" w:ascii="仿宋_GB2312" w:eastAsia="仿宋_GB2312"/>
          <w:sz w:val="32"/>
          <w:szCs w:val="32"/>
        </w:rPr>
        <w:t>;②上年结转收入</w:t>
      </w:r>
      <w:r>
        <w:rPr>
          <w:rFonts w:hint="eastAsia" w:ascii="仿宋_GB2312" w:eastAsia="仿宋_GB2312"/>
          <w:b/>
          <w:sz w:val="32"/>
          <w:szCs w:val="32"/>
        </w:rPr>
        <w:t>168万元</w:t>
      </w:r>
      <w:r>
        <w:rPr>
          <w:rFonts w:hint="eastAsia" w:ascii="仿宋_GB2312" w:eastAsia="仿宋_GB2312"/>
          <w:sz w:val="32"/>
          <w:szCs w:val="32"/>
        </w:rPr>
        <w:t>。支出</w:t>
      </w:r>
      <w:r>
        <w:rPr>
          <w:rFonts w:hint="eastAsia" w:ascii="仿宋_GB2312" w:eastAsia="仿宋_GB2312"/>
          <w:b/>
          <w:sz w:val="32"/>
          <w:szCs w:val="32"/>
        </w:rPr>
        <w:t>303万元</w:t>
      </w:r>
      <w:r>
        <w:rPr>
          <w:rFonts w:hint="eastAsia" w:ascii="仿宋_GB2312" w:eastAsia="仿宋_GB2312"/>
          <w:sz w:val="32"/>
          <w:szCs w:val="32"/>
        </w:rPr>
        <w:t>，其构成是：①解决历史遗留问题及改革成本支出</w:t>
      </w:r>
      <w:r>
        <w:rPr>
          <w:rFonts w:hint="eastAsia" w:ascii="仿宋_GB2312" w:eastAsia="仿宋_GB2312"/>
          <w:b/>
          <w:sz w:val="32"/>
          <w:szCs w:val="32"/>
        </w:rPr>
        <w:t>90万元</w:t>
      </w:r>
      <w:r>
        <w:rPr>
          <w:rFonts w:hint="eastAsia" w:ascii="仿宋_GB2312" w:eastAsia="仿宋_GB2312"/>
          <w:sz w:val="32"/>
          <w:szCs w:val="32"/>
        </w:rPr>
        <w:t>；②结转下年支出</w:t>
      </w:r>
      <w:r>
        <w:rPr>
          <w:rFonts w:hint="eastAsia" w:ascii="仿宋_GB2312" w:eastAsia="仿宋_GB2312"/>
          <w:b/>
          <w:sz w:val="32"/>
          <w:szCs w:val="32"/>
        </w:rPr>
        <w:t>213万元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57A0C2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70" w:lineRule="exact"/>
        <w:ind w:firstLine="643" w:firstLineChars="200"/>
        <w:textAlignment w:val="auto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4.社会保险基金预算</w:t>
      </w:r>
    </w:p>
    <w:p w14:paraId="4DC50A9C">
      <w:pPr>
        <w:keepNext w:val="0"/>
        <w:keepLines w:val="0"/>
        <w:pageBreakBefore w:val="0"/>
        <w:kinsoku/>
        <w:wordWrap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收入</w:t>
      </w:r>
      <w:r>
        <w:rPr>
          <w:rFonts w:hint="eastAsia" w:ascii="仿宋_GB2312" w:eastAsia="仿宋_GB2312"/>
          <w:b/>
          <w:sz w:val="32"/>
          <w:szCs w:val="32"/>
        </w:rPr>
        <w:t>48913万元</w:t>
      </w:r>
      <w:r>
        <w:rPr>
          <w:rFonts w:hint="eastAsia" w:ascii="仿宋_GB2312" w:eastAsia="仿宋_GB2312"/>
          <w:sz w:val="32"/>
          <w:szCs w:val="32"/>
        </w:rPr>
        <w:t>，其构成是：①机关事业单位养老保险基金收入</w:t>
      </w:r>
      <w:r>
        <w:rPr>
          <w:rFonts w:hint="eastAsia" w:ascii="仿宋_GB2312" w:eastAsia="仿宋_GB2312"/>
          <w:b/>
          <w:sz w:val="32"/>
          <w:szCs w:val="32"/>
        </w:rPr>
        <w:t>33814万元</w:t>
      </w:r>
      <w:r>
        <w:rPr>
          <w:rFonts w:hint="eastAsia" w:ascii="仿宋_GB2312" w:eastAsia="仿宋_GB2312"/>
          <w:sz w:val="32"/>
          <w:szCs w:val="32"/>
        </w:rPr>
        <w:t>；②城乡居民基本养老保险基金收入</w:t>
      </w:r>
      <w:r>
        <w:rPr>
          <w:rFonts w:hint="eastAsia" w:ascii="仿宋_GB2312" w:eastAsia="仿宋_GB2312"/>
          <w:b/>
          <w:sz w:val="32"/>
          <w:szCs w:val="32"/>
        </w:rPr>
        <w:t>15099万元</w:t>
      </w:r>
      <w:r>
        <w:rPr>
          <w:rFonts w:hint="eastAsia" w:ascii="仿宋_GB2312" w:eastAsia="仿宋_GB2312"/>
          <w:sz w:val="32"/>
          <w:szCs w:val="32"/>
        </w:rPr>
        <w:t>。支出</w:t>
      </w:r>
      <w:r>
        <w:rPr>
          <w:rFonts w:hint="eastAsia" w:ascii="仿宋_GB2312" w:eastAsia="仿宋_GB2312"/>
          <w:b/>
          <w:sz w:val="32"/>
          <w:szCs w:val="32"/>
        </w:rPr>
        <w:t>46230万元</w:t>
      </w:r>
      <w:r>
        <w:rPr>
          <w:rFonts w:hint="eastAsia" w:ascii="仿宋_GB2312" w:eastAsia="仿宋_GB2312"/>
          <w:sz w:val="32"/>
          <w:szCs w:val="32"/>
        </w:rPr>
        <w:t>，其构成是：①机关事业单位养老保险基金支出</w:t>
      </w:r>
      <w:r>
        <w:rPr>
          <w:rFonts w:hint="eastAsia" w:ascii="仿宋_GB2312" w:eastAsia="仿宋_GB2312"/>
          <w:b/>
          <w:sz w:val="32"/>
          <w:szCs w:val="32"/>
        </w:rPr>
        <w:t>35562万元</w:t>
      </w:r>
      <w:r>
        <w:rPr>
          <w:rFonts w:hint="eastAsia" w:ascii="仿宋_GB2312" w:eastAsia="仿宋_GB2312"/>
          <w:sz w:val="32"/>
          <w:szCs w:val="32"/>
        </w:rPr>
        <w:t>;②城乡居民基本养老保险基金支出</w:t>
      </w:r>
      <w:r>
        <w:rPr>
          <w:rFonts w:hint="eastAsia" w:ascii="仿宋_GB2312" w:eastAsia="仿宋_GB2312"/>
          <w:b/>
          <w:sz w:val="32"/>
          <w:szCs w:val="32"/>
        </w:rPr>
        <w:t>10668万元</w:t>
      </w:r>
      <w:r>
        <w:rPr>
          <w:rFonts w:hint="eastAsia" w:ascii="仿宋_GB2312" w:eastAsia="仿宋_GB2312"/>
          <w:sz w:val="32"/>
          <w:szCs w:val="32"/>
        </w:rPr>
        <w:t>。收支相抵，当期结余</w:t>
      </w:r>
      <w:r>
        <w:rPr>
          <w:rFonts w:hint="eastAsia" w:ascii="仿宋_GB2312" w:eastAsia="仿宋_GB2312"/>
          <w:b/>
          <w:sz w:val="32"/>
          <w:szCs w:val="32"/>
        </w:rPr>
        <w:t>2683万元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5B11F7CA">
      <w:pPr>
        <w:keepNext w:val="0"/>
        <w:keepLines w:val="0"/>
        <w:pageBreakBefore w:val="0"/>
        <w:tabs>
          <w:tab w:val="left" w:pos="5580"/>
        </w:tabs>
        <w:kinsoku/>
        <w:wordWrap/>
        <w:autoSpaceDE/>
        <w:autoSpaceDN/>
        <w:bidi w:val="0"/>
        <w:adjustRightInd/>
        <w:snapToGrid/>
        <w:spacing w:line="570" w:lineRule="exact"/>
        <w:ind w:firstLine="643"/>
        <w:textAlignment w:val="auto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5.政府债务情况</w:t>
      </w:r>
    </w:p>
    <w:p w14:paraId="03B1D484">
      <w:pPr>
        <w:keepNext w:val="0"/>
        <w:keepLines w:val="0"/>
        <w:pageBreakBefore w:val="0"/>
        <w:kinsoku/>
        <w:wordWrap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全区2025年新增债务限额</w:t>
      </w:r>
      <w:r>
        <w:rPr>
          <w:rFonts w:ascii="仿宋_GB2312" w:eastAsia="仿宋_GB2312"/>
          <w:b/>
          <w:sz w:val="32"/>
          <w:szCs w:val="32"/>
        </w:rPr>
        <w:t>135600</w:t>
      </w:r>
      <w:r>
        <w:rPr>
          <w:rFonts w:hint="eastAsia" w:ascii="仿宋_GB2312" w:eastAsia="仿宋_GB2312"/>
          <w:b/>
          <w:sz w:val="32"/>
          <w:szCs w:val="32"/>
        </w:rPr>
        <w:t>万元</w:t>
      </w:r>
      <w:r>
        <w:rPr>
          <w:rFonts w:hint="eastAsia" w:ascii="仿宋_GB2312" w:eastAsia="仿宋_GB2312"/>
          <w:sz w:val="32"/>
          <w:szCs w:val="32"/>
        </w:rPr>
        <w:t>，其中：一般债券</w:t>
      </w:r>
      <w:r>
        <w:rPr>
          <w:rFonts w:hint="eastAsia" w:ascii="仿宋_GB2312" w:eastAsia="仿宋_GB2312"/>
          <w:b/>
          <w:sz w:val="32"/>
          <w:szCs w:val="32"/>
        </w:rPr>
        <w:t>19700万元</w:t>
      </w:r>
      <w:r>
        <w:rPr>
          <w:rFonts w:hint="eastAsia" w:ascii="仿宋_GB2312" w:eastAsia="仿宋_GB2312"/>
          <w:sz w:val="32"/>
          <w:szCs w:val="32"/>
        </w:rPr>
        <w:t>；专项债券</w:t>
      </w:r>
      <w:r>
        <w:rPr>
          <w:rFonts w:hint="eastAsia" w:ascii="仿宋_GB2312" w:eastAsia="仿宋_GB2312"/>
          <w:b/>
          <w:sz w:val="32"/>
          <w:szCs w:val="32"/>
        </w:rPr>
        <w:t>115900万元</w:t>
      </w:r>
      <w:r>
        <w:rPr>
          <w:rFonts w:hint="eastAsia" w:ascii="仿宋_GB2312" w:eastAsia="仿宋_GB2312"/>
          <w:sz w:val="32"/>
          <w:szCs w:val="32"/>
        </w:rPr>
        <w:t>。发行再融资专项债券</w:t>
      </w:r>
      <w:r>
        <w:rPr>
          <w:rFonts w:hint="eastAsia" w:ascii="仿宋_GB2312" w:eastAsia="仿宋_GB2312"/>
          <w:b/>
          <w:sz w:val="32"/>
          <w:szCs w:val="32"/>
        </w:rPr>
        <w:t>25900万元</w:t>
      </w:r>
      <w:r>
        <w:rPr>
          <w:rFonts w:hint="eastAsia" w:ascii="仿宋_GB2312" w:eastAsia="仿宋_GB2312"/>
          <w:sz w:val="32"/>
          <w:szCs w:val="32"/>
        </w:rPr>
        <w:t>。2</w:t>
      </w:r>
      <w:r>
        <w:rPr>
          <w:rFonts w:ascii="仿宋_GB2312" w:eastAsia="仿宋_GB2312"/>
          <w:sz w:val="32"/>
          <w:szCs w:val="32"/>
        </w:rPr>
        <w:t>025</w:t>
      </w:r>
      <w:r>
        <w:rPr>
          <w:rFonts w:hint="eastAsia" w:ascii="仿宋_GB2312" w:eastAsia="仿宋_GB2312"/>
          <w:sz w:val="32"/>
          <w:szCs w:val="32"/>
        </w:rPr>
        <w:t>年底累计余额</w:t>
      </w:r>
      <w:r>
        <w:rPr>
          <w:rFonts w:ascii="仿宋_GB2312" w:eastAsia="仿宋_GB2312"/>
          <w:b/>
          <w:sz w:val="32"/>
          <w:szCs w:val="32"/>
        </w:rPr>
        <w:t>1128374</w:t>
      </w:r>
      <w:r>
        <w:rPr>
          <w:rFonts w:hint="eastAsia" w:ascii="仿宋_GB2312" w:eastAsia="仿宋_GB2312"/>
          <w:b/>
          <w:sz w:val="32"/>
          <w:szCs w:val="32"/>
        </w:rPr>
        <w:t>万元</w:t>
      </w:r>
      <w:r>
        <w:rPr>
          <w:rFonts w:hint="eastAsia" w:ascii="仿宋_GB2312" w:eastAsia="仿宋_GB2312"/>
          <w:sz w:val="32"/>
          <w:szCs w:val="32"/>
        </w:rPr>
        <w:t>，其中，一般债券</w:t>
      </w:r>
      <w:r>
        <w:rPr>
          <w:rFonts w:ascii="仿宋_GB2312" w:eastAsia="仿宋_GB2312"/>
          <w:b/>
          <w:sz w:val="32"/>
          <w:szCs w:val="32"/>
        </w:rPr>
        <w:t>69500</w:t>
      </w:r>
      <w:r>
        <w:rPr>
          <w:rFonts w:hint="eastAsia" w:ascii="仿宋_GB2312" w:eastAsia="仿宋_GB2312"/>
          <w:b/>
          <w:sz w:val="32"/>
          <w:szCs w:val="32"/>
        </w:rPr>
        <w:t>万元</w:t>
      </w:r>
      <w:r>
        <w:rPr>
          <w:rFonts w:hint="eastAsia" w:ascii="仿宋_GB2312" w:eastAsia="仿宋_GB2312"/>
          <w:sz w:val="32"/>
          <w:szCs w:val="32"/>
        </w:rPr>
        <w:t>，专项债券</w:t>
      </w:r>
      <w:r>
        <w:rPr>
          <w:rFonts w:ascii="仿宋_GB2312" w:eastAsia="仿宋_GB2312"/>
          <w:b/>
          <w:sz w:val="32"/>
          <w:szCs w:val="32"/>
        </w:rPr>
        <w:t>1058874</w:t>
      </w:r>
      <w:r>
        <w:rPr>
          <w:rFonts w:hint="eastAsia" w:ascii="仿宋_GB2312" w:eastAsia="仿宋_GB2312"/>
          <w:b/>
          <w:sz w:val="32"/>
          <w:szCs w:val="32"/>
        </w:rPr>
        <w:t>万元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5F687479">
      <w:pPr>
        <w:keepNext w:val="0"/>
        <w:keepLines w:val="0"/>
        <w:pageBreakBefore w:val="0"/>
        <w:widowControl/>
        <w:kinsoku/>
        <w:wordWrap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ascii="楷体_GB2312" w:hAnsi="楷体" w:eastAsia="楷体_GB2312"/>
          <w:b/>
          <w:sz w:val="32"/>
          <w:szCs w:val="32"/>
        </w:rPr>
      </w:pPr>
      <w:r>
        <w:rPr>
          <w:rFonts w:hint="eastAsia" w:ascii="楷体_GB2312" w:hAnsi="楷体" w:eastAsia="楷体_GB2312"/>
          <w:b/>
          <w:sz w:val="32"/>
          <w:szCs w:val="32"/>
        </w:rPr>
        <w:t>（二）财政预算执行效果</w:t>
      </w:r>
    </w:p>
    <w:p w14:paraId="5473681B">
      <w:pPr>
        <w:keepNext w:val="0"/>
        <w:keepLines w:val="0"/>
        <w:pageBreakBefore w:val="0"/>
        <w:kinsoku/>
        <w:wordWrap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楷体_GB2312" w:eastAsia="楷体_GB2312"/>
          <w:b/>
          <w:bCs/>
          <w:sz w:val="32"/>
          <w:szCs w:val="32"/>
        </w:rPr>
        <w:t>1.</w:t>
      </w:r>
      <w:r>
        <w:rPr>
          <w:rFonts w:hint="eastAsia" w:ascii="仿宋_GB2312" w:eastAsia="仿宋_GB2312"/>
          <w:b/>
          <w:bCs/>
          <w:sz w:val="32"/>
          <w:szCs w:val="32"/>
        </w:rPr>
        <w:t>坚</w:t>
      </w:r>
      <w:r>
        <w:rPr>
          <w:rFonts w:hint="eastAsia" w:ascii="仿宋_GB2312" w:hAnsi="楷体" w:eastAsia="仿宋_GB2312" w:cs="微软雅黑"/>
          <w:b/>
          <w:bCs/>
          <w:sz w:val="32"/>
          <w:szCs w:val="32"/>
        </w:rPr>
        <w:t>持</w:t>
      </w:r>
      <w:r>
        <w:rPr>
          <w:rFonts w:hint="eastAsia" w:ascii="仿宋_GB2312" w:eastAsia="仿宋_GB2312"/>
          <w:b/>
          <w:bCs/>
          <w:sz w:val="32"/>
          <w:szCs w:val="32"/>
        </w:rPr>
        <w:t>拓源增收强根基</w:t>
      </w:r>
    </w:p>
    <w:p w14:paraId="7A71CDB3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eastAsia="PMingLiU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持续</w:t>
      </w:r>
      <w:r>
        <w:rPr>
          <w:rFonts w:hint="eastAsia" w:ascii="仿宋_GB2312" w:eastAsia="仿宋_GB2312" w:hAnsiTheme="minorEastAsia"/>
          <w:bCs/>
          <w:sz w:val="32"/>
          <w:szCs w:val="32"/>
        </w:rPr>
        <w:t>发挥财政稳经济、促发展的核心职能，释放积极财政政策的引导和撬动效应，</w:t>
      </w:r>
      <w:r>
        <w:rPr>
          <w:rFonts w:hint="eastAsia" w:ascii="仿宋_GB2312" w:eastAsia="仿宋_GB2312"/>
          <w:sz w:val="32"/>
          <w:szCs w:val="32"/>
        </w:rPr>
        <w:t>以强化财源建设为根本，</w:t>
      </w:r>
      <w:r>
        <w:rPr>
          <w:rFonts w:hint="eastAsia" w:ascii="仿宋_GB2312" w:eastAsia="仿宋_GB2312" w:hAnsiTheme="minorEastAsia"/>
          <w:bCs/>
          <w:sz w:val="32"/>
          <w:szCs w:val="32"/>
        </w:rPr>
        <w:t>构建形成</w:t>
      </w:r>
      <w:r>
        <w:rPr>
          <w:rFonts w:hint="eastAsia" w:ascii="仿宋_GB2312" w:eastAsia="仿宋_GB2312" w:hAnsiTheme="minorEastAsia"/>
          <w:b/>
          <w:sz w:val="32"/>
          <w:szCs w:val="32"/>
        </w:rPr>
        <w:t>“税收为主、多源补充”</w:t>
      </w:r>
      <w:r>
        <w:rPr>
          <w:rFonts w:hint="eastAsia" w:ascii="仿宋_GB2312" w:eastAsia="仿宋_GB2312"/>
          <w:sz w:val="32"/>
          <w:szCs w:val="32"/>
        </w:rPr>
        <w:t>的收入增长体系。充分发挥财源专班统筹协调作用，坚持涵养税源和做大财政“蛋糕”相结合，</w:t>
      </w:r>
      <w:r>
        <w:rPr>
          <w:rFonts w:hint="eastAsia" w:ascii="仿宋_GB2312" w:hAnsi="等线" w:eastAsia="仿宋_GB2312"/>
          <w:sz w:val="32"/>
          <w:szCs w:val="32"/>
        </w:rPr>
        <w:t>多渠道增厚财政“家底”，统筹好既期收入和长远发展，推动全区可用</w:t>
      </w:r>
      <w:r>
        <w:rPr>
          <w:rFonts w:hint="eastAsia" w:ascii="仿宋_GB2312" w:eastAsia="仿宋_GB2312"/>
          <w:sz w:val="32"/>
          <w:szCs w:val="32"/>
        </w:rPr>
        <w:t>财力稳步攀升，为全区各项事业高质量发展提供坚实财政保障。</w:t>
      </w:r>
    </w:p>
    <w:p w14:paraId="295E2C5B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楷体" w:eastAsia="仿宋_GB2312" w:cs="楷体"/>
          <w:bCs/>
          <w:sz w:val="32"/>
          <w:szCs w:val="32"/>
        </w:rPr>
        <w:t>2025年</w:t>
      </w:r>
      <w:r>
        <w:rPr>
          <w:rFonts w:hint="eastAsia" w:ascii="仿宋_GB2312" w:eastAsia="仿宋_GB2312" w:cs="楷体" w:hAnsiTheme="minorEastAsia"/>
          <w:bCs/>
          <w:sz w:val="32"/>
          <w:szCs w:val="32"/>
        </w:rPr>
        <w:t>，</w:t>
      </w:r>
      <w:r>
        <w:rPr>
          <w:rFonts w:hint="eastAsia" w:ascii="仿宋_GB2312" w:hAnsi="仿宋" w:eastAsia="仿宋_GB2312"/>
          <w:sz w:val="32"/>
          <w:szCs w:val="32"/>
        </w:rPr>
        <w:t>全区一般公共预算收入完成</w:t>
      </w:r>
      <w:r>
        <w:rPr>
          <w:rFonts w:hint="eastAsia" w:ascii="仿宋_GB2312" w:hAnsi="仿宋" w:eastAsia="仿宋_GB2312"/>
          <w:b/>
          <w:sz w:val="32"/>
          <w:szCs w:val="32"/>
        </w:rPr>
        <w:t>3</w:t>
      </w:r>
      <w:r>
        <w:rPr>
          <w:rFonts w:ascii="仿宋_GB2312" w:hAnsi="仿宋" w:eastAsia="PMingLiU"/>
          <w:b/>
          <w:sz w:val="32"/>
          <w:szCs w:val="32"/>
        </w:rPr>
        <w:t>71231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，同比增长</w:t>
      </w:r>
      <w:r>
        <w:rPr>
          <w:rFonts w:hint="eastAsia" w:ascii="仿宋_GB2312" w:hAnsi="仿宋" w:eastAsia="仿宋_GB2312"/>
          <w:b/>
          <w:sz w:val="32"/>
          <w:szCs w:val="32"/>
        </w:rPr>
        <w:t>1</w:t>
      </w:r>
      <w:r>
        <w:rPr>
          <w:rFonts w:ascii="仿宋_GB2312" w:hAnsi="仿宋" w:eastAsia="PMingLiU"/>
          <w:b/>
          <w:sz w:val="32"/>
          <w:szCs w:val="32"/>
        </w:rPr>
        <w:t>3.2</w:t>
      </w:r>
      <w:r>
        <w:rPr>
          <w:rFonts w:hint="eastAsia" w:ascii="仿宋_GB2312" w:hAnsi="仿宋" w:eastAsia="仿宋_GB2312"/>
          <w:b/>
          <w:sz w:val="32"/>
          <w:szCs w:val="32"/>
        </w:rPr>
        <w:t>%</w:t>
      </w:r>
      <w:r>
        <w:rPr>
          <w:rFonts w:hint="eastAsia" w:ascii="仿宋_GB2312" w:hAnsi="仿宋" w:eastAsia="仿宋_GB2312"/>
          <w:sz w:val="32"/>
          <w:szCs w:val="32"/>
        </w:rPr>
        <w:t>，高于全市平均增幅</w:t>
      </w:r>
      <w:r>
        <w:rPr>
          <w:rFonts w:hint="eastAsia" w:ascii="仿宋_GB2312" w:hAnsi="仿宋" w:eastAsia="仿宋_GB2312"/>
          <w:b/>
          <w:sz w:val="32"/>
          <w:szCs w:val="32"/>
        </w:rPr>
        <w:t>1</w:t>
      </w:r>
      <w:r>
        <w:rPr>
          <w:rFonts w:ascii="仿宋_GB2312" w:hAnsi="仿宋" w:eastAsia="PMingLiU"/>
          <w:b/>
          <w:sz w:val="32"/>
          <w:szCs w:val="32"/>
        </w:rPr>
        <w:t>1.4</w:t>
      </w:r>
      <w:r>
        <w:rPr>
          <w:rFonts w:hint="eastAsia" w:ascii="宋体" w:hAnsi="宋体" w:cs="宋体"/>
          <w:sz w:val="32"/>
          <w:szCs w:val="32"/>
        </w:rPr>
        <w:t>个</w:t>
      </w:r>
      <w:r>
        <w:rPr>
          <w:rFonts w:hint="eastAsia" w:ascii="仿宋_GB2312" w:hAnsi="宋体" w:eastAsia="仿宋_GB2312" w:cs="宋体"/>
          <w:sz w:val="32"/>
          <w:szCs w:val="32"/>
        </w:rPr>
        <w:t>百分点</w:t>
      </w:r>
      <w:r>
        <w:rPr>
          <w:rFonts w:hint="eastAsia" w:ascii="宋体" w:hAnsi="宋体" w:cs="宋体"/>
          <w:sz w:val="32"/>
          <w:szCs w:val="32"/>
        </w:rPr>
        <w:t>，</w:t>
      </w:r>
      <w:r>
        <w:rPr>
          <w:rFonts w:hint="eastAsia" w:ascii="仿宋_GB2312" w:hAnsi="仿宋" w:eastAsia="仿宋_GB2312"/>
          <w:sz w:val="32"/>
          <w:szCs w:val="32"/>
        </w:rPr>
        <w:t>同比增收</w:t>
      </w:r>
      <w:r>
        <w:rPr>
          <w:rFonts w:hint="eastAsia" w:ascii="仿宋_GB2312" w:hAnsi="仿宋" w:eastAsia="仿宋_GB2312"/>
          <w:b/>
          <w:sz w:val="32"/>
          <w:szCs w:val="32"/>
        </w:rPr>
        <w:t>4</w:t>
      </w:r>
      <w:r>
        <w:rPr>
          <w:rFonts w:ascii="仿宋_GB2312" w:hAnsi="仿宋" w:eastAsia="PMingLiU"/>
          <w:b/>
          <w:sz w:val="32"/>
          <w:szCs w:val="32"/>
        </w:rPr>
        <w:t>3204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，总量全市排名第一，</w:t>
      </w:r>
      <w:r>
        <w:rPr>
          <w:rFonts w:hint="eastAsia" w:ascii="仿宋_GB2312" w:hAnsi="方正仿宋简体" w:eastAsia="仿宋_GB2312" w:cs="方正仿宋简体"/>
          <w:sz w:val="32"/>
          <w:szCs w:val="32"/>
          <w:shd w:val="clear" w:color="auto" w:fill="FFFFFF"/>
        </w:rPr>
        <w:t>税收占比高达</w:t>
      </w:r>
      <w:r>
        <w:rPr>
          <w:rFonts w:hint="eastAsia" w:ascii="仿宋_GB2312" w:hAnsi="方正仿宋简体" w:eastAsia="仿宋_GB2312" w:cs="方正仿宋简体"/>
          <w:b/>
          <w:sz w:val="32"/>
          <w:szCs w:val="32"/>
          <w:shd w:val="clear" w:color="auto" w:fill="FFFFFF"/>
        </w:rPr>
        <w:t>9</w:t>
      </w:r>
      <w:r>
        <w:rPr>
          <w:rFonts w:ascii="仿宋_GB2312" w:hAnsi="方正仿宋简体" w:eastAsia="PMingLiU" w:cs="方正仿宋简体"/>
          <w:b/>
          <w:sz w:val="32"/>
          <w:szCs w:val="32"/>
          <w:shd w:val="clear" w:color="auto" w:fill="FFFFFF"/>
        </w:rPr>
        <w:t>7</w:t>
      </w:r>
      <w:r>
        <w:rPr>
          <w:rFonts w:hint="eastAsia" w:ascii="仿宋_GB2312" w:hAnsi="方正仿宋简体" w:eastAsia="仿宋_GB2312" w:cs="方正仿宋简体"/>
          <w:b/>
          <w:sz w:val="32"/>
          <w:szCs w:val="32"/>
          <w:shd w:val="clear" w:color="auto" w:fill="FFFFFF"/>
        </w:rPr>
        <w:t>%</w:t>
      </w:r>
      <w:r>
        <w:rPr>
          <w:rFonts w:hint="eastAsia" w:ascii="仿宋_GB2312" w:hAnsi="方正仿宋简体" w:eastAsia="仿宋_GB2312" w:cs="方正仿宋简体"/>
          <w:sz w:val="32"/>
          <w:szCs w:val="32"/>
          <w:shd w:val="clear" w:color="auto" w:fill="FFFFFF"/>
        </w:rPr>
        <w:t>，优化了收入结构，提高了收入质量。同时，</w:t>
      </w:r>
      <w:r>
        <w:rPr>
          <w:rFonts w:hint="eastAsia" w:ascii="仿宋_GB2312" w:eastAsia="仿宋_GB2312" w:hAnsiTheme="minorEastAsia"/>
          <w:bCs/>
          <w:sz w:val="32"/>
          <w:szCs w:val="32"/>
        </w:rPr>
        <w:t>不折不扣落实国家减税缓税各项政策举措，持续释放纾困惠企红利，</w:t>
      </w:r>
      <w:r>
        <w:rPr>
          <w:rFonts w:hint="eastAsia" w:ascii="仿宋_GB2312" w:hAnsi="仿宋" w:eastAsia="仿宋_GB2312"/>
          <w:sz w:val="32"/>
          <w:szCs w:val="32"/>
        </w:rPr>
        <w:t>全年累计为企业落实减税降费及退</w:t>
      </w:r>
      <w:r>
        <w:rPr>
          <w:rFonts w:hint="eastAsia" w:ascii="仿宋_GB2312" w:eastAsia="仿宋_GB2312" w:hAnsiTheme="minorEastAsia"/>
          <w:bCs/>
          <w:sz w:val="32"/>
          <w:szCs w:val="32"/>
        </w:rPr>
        <w:t>税缓费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6</w:t>
      </w:r>
      <w:r>
        <w:rPr>
          <w:rFonts w:ascii="仿宋_GB2312" w:eastAsia="PMingLiU" w:hAnsiTheme="minorEastAsia"/>
          <w:b/>
          <w:bCs/>
          <w:sz w:val="32"/>
          <w:szCs w:val="32"/>
        </w:rPr>
        <w:t>44600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万元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，用财政收入的减法，换来企业效益的加法。</w:t>
      </w:r>
    </w:p>
    <w:p w14:paraId="5082C59B">
      <w:pPr>
        <w:keepNext w:val="0"/>
        <w:keepLines w:val="0"/>
        <w:pageBreakBefore w:val="0"/>
        <w:kinsoku/>
        <w:wordWrap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</w:t>
      </w:r>
      <w:r>
        <w:rPr>
          <w:rFonts w:ascii="仿宋_GB2312" w:eastAsia="仿宋_GB2312"/>
          <w:b/>
          <w:bCs/>
          <w:sz w:val="32"/>
          <w:szCs w:val="32"/>
        </w:rPr>
        <w:t>.</w:t>
      </w:r>
      <w:r>
        <w:rPr>
          <w:rFonts w:hint="eastAsia" w:ascii="仿宋_GB2312" w:eastAsia="仿宋_GB2312"/>
          <w:b/>
          <w:bCs/>
          <w:sz w:val="32"/>
          <w:szCs w:val="32"/>
        </w:rPr>
        <w:t>坚持资源统筹兜民生</w:t>
      </w:r>
    </w:p>
    <w:p w14:paraId="79D673B9">
      <w:pPr>
        <w:keepNext w:val="0"/>
        <w:keepLines w:val="0"/>
        <w:pageBreakBefore w:val="0"/>
        <w:kinsoku/>
        <w:wordWrap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楷体_GB2312" w:hAnsi="楷体" w:eastAsia="PMingLiU"/>
          <w:b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紧盯上级政策导向与资金投向，强化增量与存量资源统筹，集中财力办大事，确保重大决策部署落地见效。加大向上对接力度。截至2</w:t>
      </w:r>
      <w:r>
        <w:rPr>
          <w:rFonts w:ascii="仿宋_GB2312" w:hAnsi="等线" w:eastAsia="仿宋_GB2312"/>
          <w:sz w:val="32"/>
          <w:szCs w:val="32"/>
        </w:rPr>
        <w:t>025</w:t>
      </w:r>
      <w:r>
        <w:rPr>
          <w:rFonts w:hint="eastAsia" w:ascii="仿宋_GB2312" w:hAnsi="等线" w:eastAsia="仿宋_GB2312"/>
          <w:sz w:val="32"/>
          <w:szCs w:val="32"/>
        </w:rPr>
        <w:t>年底</w:t>
      </w:r>
      <w:r>
        <w:rPr>
          <w:rFonts w:hint="eastAsia" w:ascii="宋体" w:hAnsi="宋体" w:cs="宋体"/>
          <w:sz w:val="32"/>
          <w:szCs w:val="32"/>
        </w:rPr>
        <w:t>，</w:t>
      </w:r>
      <w:r>
        <w:rPr>
          <w:rFonts w:hint="eastAsia" w:ascii="仿宋_GB2312" w:hAnsi="等线" w:eastAsia="仿宋_GB2312"/>
          <w:sz w:val="32"/>
          <w:szCs w:val="32"/>
        </w:rPr>
        <w:t>我区累计争取</w:t>
      </w:r>
      <w:r>
        <w:rPr>
          <w:rFonts w:hint="eastAsia" w:ascii="仿宋_GB2312" w:hAnsi="等线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新增债券限额</w:t>
      </w:r>
      <w:r>
        <w:rPr>
          <w:rFonts w:ascii="仿宋_GB2312" w:hAnsi="等线" w:eastAsia="PMingLiU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135600</w:t>
      </w:r>
      <w:r>
        <w:rPr>
          <w:rFonts w:hint="eastAsia" w:ascii="仿宋_GB2312" w:hAnsi="等线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万元</w:t>
      </w:r>
      <w:r>
        <w:rPr>
          <w:rFonts w:hint="eastAsia" w:ascii="仿宋_GB2312" w:hAnsi="等线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、省级以上财力补助资金</w:t>
      </w:r>
      <w:r>
        <w:rPr>
          <w:rFonts w:hint="eastAsia" w:ascii="仿宋_GB2312" w:hAnsi="等线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33500万元</w:t>
      </w:r>
      <w:r>
        <w:rPr>
          <w:rFonts w:hint="eastAsia" w:ascii="仿宋_GB2312" w:hAnsi="等线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，补助资金同比增幅高达</w:t>
      </w:r>
      <w:r>
        <w:rPr>
          <w:rFonts w:hint="eastAsia" w:ascii="仿宋_GB2312" w:hAnsi="等线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ascii="仿宋_GB2312" w:hAnsi="等线" w:eastAsia="PMingLiU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等线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1%</w:t>
      </w:r>
      <w:r>
        <w:rPr>
          <w:rFonts w:hint="eastAsia" w:ascii="仿宋_GB2312" w:hAnsi="等线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等线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上级财政支持力度实现跨越式增长，为全区重点项目落地实施、财政收</w:t>
      </w:r>
      <w:r>
        <w:rPr>
          <w:rFonts w:hint="eastAsia" w:ascii="仿宋_GB2312" w:hAnsi="等线" w:eastAsia="仿宋_GB2312"/>
          <w:sz w:val="32"/>
          <w:szCs w:val="32"/>
        </w:rPr>
        <w:t>支平稳运行注入强劲动能。</w:t>
      </w:r>
    </w:p>
    <w:p w14:paraId="789459CB">
      <w:pPr>
        <w:keepNext w:val="0"/>
        <w:keepLines w:val="0"/>
        <w:pageBreakBefore w:val="0"/>
        <w:kinsoku/>
        <w:wordWrap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仿宋_GB2312" w:hAnsiTheme="minorEastAsia"/>
          <w:bCs/>
          <w:sz w:val="32"/>
          <w:szCs w:val="32"/>
        </w:rPr>
      </w:pPr>
      <w:bookmarkStart w:id="0" w:name="OLE_LINK1"/>
      <w:bookmarkStart w:id="1" w:name="OLE_LINK2"/>
      <w:r>
        <w:rPr>
          <w:rFonts w:hint="eastAsia" w:ascii="仿宋_GB2312" w:eastAsia="仿宋_GB2312"/>
          <w:sz w:val="32"/>
          <w:szCs w:val="32"/>
        </w:rPr>
        <w:t>始终坚守“资金跟着民生走”，全年民生领域支出占一般公共预算支出比重达</w:t>
      </w:r>
      <w:r>
        <w:rPr>
          <w:rFonts w:ascii="仿宋_GB2312" w:eastAsia="PMingLiU"/>
          <w:b/>
          <w:sz w:val="32"/>
          <w:szCs w:val="32"/>
        </w:rPr>
        <w:t>84</w:t>
      </w:r>
      <w:r>
        <w:rPr>
          <w:rFonts w:hint="eastAsia" w:ascii="仿宋_GB2312" w:eastAsia="仿宋_GB2312"/>
          <w:b/>
          <w:sz w:val="32"/>
          <w:szCs w:val="32"/>
        </w:rPr>
        <w:t>%</w:t>
      </w:r>
      <w:r>
        <w:rPr>
          <w:rFonts w:hint="eastAsia" w:ascii="仿宋_GB2312" w:eastAsia="仿宋_GB2312"/>
          <w:sz w:val="32"/>
          <w:szCs w:val="32"/>
        </w:rPr>
        <w:t>，用</w:t>
      </w:r>
      <w:r>
        <w:rPr>
          <w:rFonts w:hint="eastAsia" w:ascii="仿宋_GB2312" w:eastAsia="仿宋_GB2312"/>
          <w:b/>
          <w:bCs/>
          <w:sz w:val="32"/>
          <w:szCs w:val="32"/>
        </w:rPr>
        <w:t>“真金白银”</w:t>
      </w:r>
      <w:r>
        <w:rPr>
          <w:rFonts w:hint="eastAsia" w:ascii="仿宋_GB2312" w:eastAsia="仿宋_GB2312"/>
          <w:sz w:val="32"/>
          <w:szCs w:val="32"/>
        </w:rPr>
        <w:t>回应群众期盼。建立“三保”支出优先保障机制，将“保工资、保运转、保民生”</w:t>
      </w:r>
      <w:r>
        <w:rPr>
          <w:rFonts w:hint="eastAsia" w:ascii="仿宋_GB2312" w:eastAsia="仿宋_GB2312" w:hAnsiTheme="minorEastAsia"/>
          <w:bCs/>
          <w:sz w:val="32"/>
          <w:szCs w:val="32"/>
        </w:rPr>
        <w:t>资金足额纳入预算并优先拨付，全年“三保”支出占一般公共预算支出比重达</w:t>
      </w:r>
      <w:r>
        <w:rPr>
          <w:rFonts w:ascii="仿宋_GB2312" w:eastAsia="PMingLiU" w:hAnsiTheme="minorEastAsia"/>
          <w:bCs/>
          <w:sz w:val="32"/>
          <w:szCs w:val="32"/>
        </w:rPr>
        <w:t>7</w:t>
      </w:r>
      <w:r>
        <w:rPr>
          <w:rFonts w:ascii="仿宋_GB2312" w:eastAsia="仿宋_GB2312" w:hAnsiTheme="minorEastAsia"/>
          <w:bCs/>
          <w:sz w:val="32"/>
          <w:szCs w:val="32"/>
        </w:rPr>
        <w:t>0</w:t>
      </w:r>
      <w:r>
        <w:rPr>
          <w:rFonts w:hint="eastAsia" w:ascii="仿宋_GB2312" w:eastAsia="仿宋_GB2312" w:hAnsiTheme="minorEastAsia"/>
          <w:bCs/>
          <w:sz w:val="32"/>
          <w:szCs w:val="32"/>
        </w:rPr>
        <w:t>%。</w:t>
      </w:r>
    </w:p>
    <w:p w14:paraId="29F44412">
      <w:pPr>
        <w:keepNext w:val="0"/>
        <w:keepLines w:val="0"/>
        <w:pageBreakBefore w:val="0"/>
        <w:kinsoku/>
        <w:wordWrap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</w:pPr>
      <w:r>
        <w:rPr>
          <w:rFonts w:hint="eastAsia" w:ascii="仿宋_GB2312" w:eastAsia="仿宋_GB2312" w:hAnsiTheme="minorEastAsia"/>
          <w:b/>
          <w:sz w:val="32"/>
          <w:szCs w:val="32"/>
        </w:rPr>
        <w:t>一是强教筑基显“高度”。</w:t>
      </w:r>
      <w:r>
        <w:rPr>
          <w:rFonts w:hint="eastAsia" w:ascii="仿宋_GB2312" w:eastAsia="仿宋_GB2312" w:hAnsiTheme="minorEastAsia"/>
          <w:bCs/>
          <w:sz w:val="32"/>
          <w:szCs w:val="32"/>
        </w:rPr>
        <w:t>全面落实教育投入“两个只增不减”要求，统筹资金</w:t>
      </w:r>
      <w:r>
        <w:rPr>
          <w:rFonts w:ascii="仿宋_GB2312" w:eastAsia="PMingLiU" w:hAnsiTheme="minorEastAsia"/>
          <w:b/>
          <w:bCs/>
          <w:sz w:val="32"/>
          <w:szCs w:val="32"/>
        </w:rPr>
        <w:t>9100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万元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，落实义务教育阶段学校生均公用经费，全力做好学生资助全覆盖；统筹资金</w:t>
      </w:r>
      <w:r>
        <w:rPr>
          <w:rFonts w:ascii="仿宋_GB2312" w:eastAsia="仿宋_GB2312" w:hAnsiTheme="minorEastAsia"/>
          <w:b/>
          <w:bCs/>
          <w:sz w:val="32"/>
          <w:szCs w:val="32"/>
        </w:rPr>
        <w:t>7402万元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，用于</w:t>
      </w:r>
      <w:r>
        <w:rPr>
          <w:rFonts w:ascii="仿宋_GB2312" w:eastAsia="仿宋_GB2312" w:hAnsiTheme="minorEastAsia"/>
          <w:bCs/>
          <w:sz w:val="32"/>
          <w:szCs w:val="32"/>
        </w:rPr>
        <w:t>大阳中小学</w:t>
      </w:r>
      <w:r>
        <w:rPr>
          <w:rFonts w:hint="eastAsia" w:ascii="仿宋_GB2312" w:hAnsi="仿宋_GB2312" w:eastAsia="仿宋_GB2312" w:cs="仿宋_GB2312"/>
          <w:sz w:val="32"/>
          <w:szCs w:val="32"/>
        </w:rPr>
        <w:t>建设</w:t>
      </w:r>
      <w:r>
        <w:rPr>
          <w:rFonts w:ascii="仿宋_GB2312" w:hAnsi="仿宋_GB2312" w:eastAsia="仿宋_GB2312" w:cs="仿宋_GB2312"/>
          <w:sz w:val="32"/>
          <w:szCs w:val="32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统筹资金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1400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万元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推进校园标准化建设，</w:t>
      </w:r>
      <w:r>
        <w:rPr>
          <w:rFonts w:hint="eastAsia" w:ascii="仿宋_GB2312" w:hAnsi="仿宋_GB2312" w:eastAsia="仿宋_GB2312" w:cs="仿宋_GB2312"/>
          <w:sz w:val="32"/>
          <w:szCs w:val="32"/>
        </w:rPr>
        <w:t>用于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教学条件提档升级及教学设施设备更新；强化师资队伍建设，实施骨干教师培养、教师</w:t>
      </w:r>
      <w:r>
        <w:rPr>
          <w:rFonts w:hint="eastAsia" w:ascii="仿宋_GB2312" w:hAnsi="仿宋_GB2312" w:eastAsia="仿宋_GB2312" w:cs="仿宋_GB2312"/>
          <w:sz w:val="32"/>
          <w:szCs w:val="32"/>
        </w:rPr>
        <w:t>全员培训计划，着力夯实教育高质量发展根基。</w:t>
      </w:r>
    </w:p>
    <w:p w14:paraId="7094BE6B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eastAsia="仿宋_GB2312" w:hAnsiTheme="minorEastAsia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二是护民健康彰“力度”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统筹资金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8</w:t>
      </w:r>
      <w:r>
        <w:rPr>
          <w:rFonts w:ascii="仿宋_GB2312" w:eastAsia="仿宋_GB2312" w:hAnsiTheme="minorEastAsia"/>
          <w:b/>
          <w:bCs/>
          <w:sz w:val="32"/>
          <w:szCs w:val="32"/>
        </w:rPr>
        <w:t>364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万元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，落实基本公共卫生人均补助标准由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9</w:t>
      </w:r>
      <w:r>
        <w:rPr>
          <w:rFonts w:ascii="仿宋_GB2312" w:eastAsia="仿宋_GB2312" w:hAnsiTheme="minorEastAsia"/>
          <w:b/>
          <w:bCs/>
          <w:sz w:val="32"/>
          <w:szCs w:val="32"/>
        </w:rPr>
        <w:t>4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提高至</w:t>
      </w:r>
      <w:r>
        <w:rPr>
          <w:rFonts w:ascii="仿宋_GB2312" w:eastAsia="仿宋_GB2312" w:hAnsiTheme="minorEastAsia"/>
          <w:b/>
          <w:bCs/>
          <w:sz w:val="32"/>
          <w:szCs w:val="32"/>
        </w:rPr>
        <w:t>99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；统筹资金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2</w:t>
      </w:r>
      <w:r>
        <w:rPr>
          <w:rFonts w:ascii="仿宋_GB2312" w:eastAsia="仿宋_GB2312" w:hAnsiTheme="minorEastAsia"/>
          <w:b/>
          <w:bCs/>
          <w:sz w:val="32"/>
          <w:szCs w:val="32"/>
        </w:rPr>
        <w:t>676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万元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，全力推动国家公立医院改革与高质量发展示范项目建设，持续提升区域医疗服务能力；统筹资金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6</w:t>
      </w:r>
      <w:r>
        <w:rPr>
          <w:rFonts w:ascii="仿宋_GB2312" w:eastAsia="仿宋_GB2312" w:hAnsiTheme="minorEastAsia"/>
          <w:b/>
          <w:bCs/>
          <w:sz w:val="32"/>
          <w:szCs w:val="32"/>
        </w:rPr>
        <w:t>073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万元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，落实育儿补贴、计划生育奖扶特扶、国家基本药物制度，常态化开展孕妇产前基因和耳聋基因免费筛查等惠民政策服务，织密织牢民生健康保障网，有效守护全区人民生命健康。</w:t>
      </w:r>
    </w:p>
    <w:p w14:paraId="0151E2DF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eastAsia="仿宋_GB2312" w:hAnsiTheme="minorEastAsia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三是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社保惠民传“暖度”。</w:t>
      </w:r>
      <w:r>
        <w:rPr>
          <w:rFonts w:hint="eastAsia" w:ascii="仿宋_GB2312" w:eastAsia="仿宋_GB2312" w:hAnsiTheme="minorEastAsia"/>
          <w:bCs/>
          <w:sz w:val="32"/>
          <w:szCs w:val="32"/>
        </w:rPr>
        <w:t>统筹资金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5</w:t>
      </w:r>
      <w:r>
        <w:rPr>
          <w:rFonts w:ascii="仿宋_GB2312" w:eastAsia="仿宋_GB2312" w:hAnsiTheme="minorEastAsia"/>
          <w:b/>
          <w:bCs/>
          <w:sz w:val="32"/>
          <w:szCs w:val="32"/>
        </w:rPr>
        <w:t>4586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万元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，加大城乡居民参保力度，参保完成率达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100.4%</w:t>
      </w:r>
      <w:r>
        <w:rPr>
          <w:rFonts w:hint="eastAsia" w:ascii="仿宋_GB2312" w:eastAsia="仿宋_GB2312" w:hAnsiTheme="minorEastAsia"/>
          <w:bCs/>
          <w:sz w:val="32"/>
          <w:szCs w:val="32"/>
        </w:rPr>
        <w:t>。落实社保待遇提标政策，城乡居民养老金标准由每人每月</w:t>
      </w:r>
      <w:r>
        <w:rPr>
          <w:rFonts w:ascii="仿宋_GB2312" w:eastAsia="仿宋_GB2312" w:hAnsiTheme="minorEastAsia"/>
          <w:b/>
          <w:bCs/>
          <w:sz w:val="32"/>
          <w:szCs w:val="32"/>
        </w:rPr>
        <w:t>208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提高至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2</w:t>
      </w:r>
      <w:r>
        <w:rPr>
          <w:rFonts w:ascii="仿宋_GB2312" w:eastAsia="仿宋_GB2312" w:hAnsiTheme="minorEastAsia"/>
          <w:b/>
          <w:bCs/>
          <w:sz w:val="32"/>
          <w:szCs w:val="32"/>
        </w:rPr>
        <w:t>2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8元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；城乡居民医保财政补助标准由每人每月</w:t>
      </w:r>
      <w:r>
        <w:rPr>
          <w:rFonts w:ascii="仿宋_GB2312" w:eastAsia="仿宋_GB2312" w:hAnsiTheme="minorEastAsia"/>
          <w:b/>
          <w:bCs/>
          <w:sz w:val="32"/>
          <w:szCs w:val="32"/>
        </w:rPr>
        <w:t>670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提高至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70</w:t>
      </w:r>
      <w:r>
        <w:rPr>
          <w:rFonts w:ascii="仿宋_GB2312" w:eastAsia="仿宋_GB2312" w:hAnsiTheme="minorEastAsia"/>
          <w:b/>
          <w:bCs/>
          <w:sz w:val="32"/>
          <w:szCs w:val="32"/>
        </w:rPr>
        <w:t>0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；城乡低保和“两残”补贴标准进一步提高，确保城乡居民最低生活保障、城乡特困供养、临时救济、孤儿救助、优抚对象补贴、义务兵优待金、老年人福利等各项民生政策落实，兜牢兜实民生底线。</w:t>
      </w:r>
    </w:p>
    <w:p w14:paraId="7E553B70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四是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乡村振兴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强“厚度”。</w:t>
      </w:r>
      <w:r>
        <w:rPr>
          <w:rFonts w:hint="eastAsia" w:ascii="仿宋_GB2312" w:hAnsi="仿宋_GB2312" w:eastAsia="仿宋_GB2312" w:cs="仿宋_GB2312"/>
          <w:sz w:val="32"/>
          <w:szCs w:val="32"/>
        </w:rPr>
        <w:t>统筹资金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2111</w:t>
      </w:r>
      <w:r>
        <w:rPr>
          <w:rFonts w:hint="eastAsia" w:ascii="仿宋_GB2312" w:eastAsia="仿宋_GB2312"/>
          <w:b/>
          <w:sz w:val="32"/>
          <w:szCs w:val="32"/>
        </w:rPr>
        <w:t>万元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hAnsi="仿宋" w:eastAsia="仿宋_GB2312"/>
          <w:sz w:val="32"/>
          <w:szCs w:val="32"/>
        </w:rPr>
        <w:t>助推宜居宜业和美乡村建设，做到</w:t>
      </w:r>
      <w:r>
        <w:rPr>
          <w:rFonts w:hint="eastAsia" w:ascii="仿宋_GB2312" w:hAnsi="仿宋_GB2312" w:eastAsia="仿宋_GB2312" w:cs="仿宋_GB2312"/>
          <w:sz w:val="32"/>
          <w:szCs w:val="32"/>
        </w:rPr>
        <w:t>财政资金精准滴灌</w:t>
      </w:r>
      <w:r>
        <w:rPr>
          <w:rFonts w:hint="eastAsia" w:ascii="仿宋_GB2312" w:hAnsi="仿宋" w:eastAsia="仿宋_GB2312"/>
          <w:sz w:val="32"/>
          <w:szCs w:val="32"/>
        </w:rPr>
        <w:t>。投入资金</w:t>
      </w:r>
      <w:r>
        <w:rPr>
          <w:rFonts w:ascii="仿宋_GB2312" w:hAnsi="仿宋" w:eastAsia="仿宋_GB2312"/>
          <w:b/>
          <w:sz w:val="32"/>
          <w:szCs w:val="32"/>
        </w:rPr>
        <w:t>1412万元</w:t>
      </w:r>
      <w:r>
        <w:rPr>
          <w:rFonts w:ascii="仿宋_GB2312" w:hAnsi="仿宋" w:eastAsia="仿宋_GB2312"/>
          <w:sz w:val="32"/>
          <w:szCs w:val="32"/>
        </w:rPr>
        <w:t>，新建（改造）高标准农田</w:t>
      </w:r>
      <w:r>
        <w:rPr>
          <w:rFonts w:ascii="仿宋_GB2312" w:hAnsi="仿宋" w:eastAsia="PMingLiU"/>
          <w:b/>
          <w:sz w:val="32"/>
          <w:szCs w:val="32"/>
        </w:rPr>
        <w:t>4</w:t>
      </w:r>
      <w:r>
        <w:rPr>
          <w:rFonts w:ascii="仿宋_GB2312" w:hAnsi="仿宋" w:eastAsia="仿宋_GB2312"/>
          <w:b/>
          <w:sz w:val="32"/>
          <w:szCs w:val="32"/>
        </w:rPr>
        <w:t>500亩</w:t>
      </w:r>
      <w:r>
        <w:rPr>
          <w:rFonts w:ascii="仿宋_GB2312" w:hAnsi="仿宋" w:eastAsia="仿宋_GB2312"/>
          <w:sz w:val="32"/>
          <w:szCs w:val="32"/>
        </w:rPr>
        <w:t>，稳步提升粮食综合生产能力；</w:t>
      </w:r>
      <w:r>
        <w:rPr>
          <w:rFonts w:hint="eastAsia" w:ascii="仿宋_GB2312" w:hAnsi="仿宋_GB2312" w:eastAsia="仿宋_GB2312" w:cs="仿宋_GB2312"/>
          <w:sz w:val="32"/>
          <w:szCs w:val="32"/>
        </w:rPr>
        <w:t>统筹资金</w:t>
      </w:r>
      <w:r>
        <w:rPr>
          <w:rFonts w:ascii="仿宋_GB2312" w:eastAsia="仿宋_GB2312"/>
          <w:b/>
          <w:sz w:val="32"/>
          <w:szCs w:val="32"/>
        </w:rPr>
        <w:t>523</w:t>
      </w:r>
      <w:r>
        <w:rPr>
          <w:rFonts w:hint="eastAsia" w:ascii="仿宋_GB2312" w:eastAsia="仿宋_GB2312"/>
          <w:b/>
          <w:sz w:val="32"/>
          <w:szCs w:val="32"/>
        </w:rPr>
        <w:t>万元</w:t>
      </w:r>
      <w:r>
        <w:rPr>
          <w:rFonts w:hint="eastAsia" w:ascii="仿宋_GB2312" w:eastAsia="仿宋_GB2312"/>
          <w:sz w:val="32"/>
          <w:szCs w:val="32"/>
        </w:rPr>
        <w:t>，落实耕地地力保护、农业保险补贴政策，提高抵御自然灾害和市场风险的能力；统筹资金</w:t>
      </w:r>
      <w:r>
        <w:rPr>
          <w:rFonts w:ascii="仿宋_GB2312" w:eastAsia="仿宋_GB2312"/>
          <w:b/>
          <w:sz w:val="32"/>
          <w:szCs w:val="32"/>
        </w:rPr>
        <w:t>225</w:t>
      </w:r>
      <w:r>
        <w:rPr>
          <w:rFonts w:hint="eastAsia" w:ascii="仿宋_GB2312" w:eastAsia="仿宋_GB2312"/>
          <w:b/>
          <w:sz w:val="32"/>
          <w:szCs w:val="32"/>
        </w:rPr>
        <w:t>万元</w:t>
      </w:r>
      <w:r>
        <w:rPr>
          <w:rFonts w:hint="eastAsia" w:ascii="仿宋_GB2312" w:eastAsia="仿宋_GB2312"/>
          <w:sz w:val="32"/>
          <w:szCs w:val="32"/>
        </w:rPr>
        <w:t>，支持防止返贫监测对象、脱贫人口就业增收，推进财政衔接资金同乡村振兴有效衔接。</w:t>
      </w:r>
    </w:p>
    <w:p w14:paraId="32D27669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bCs/>
          <w:sz w:val="32"/>
          <w:szCs w:val="32"/>
          <w:highlight w:val="gree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五是生态守护增“韧度”。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统筹资金</w:t>
      </w:r>
      <w:r>
        <w:rPr>
          <w:rFonts w:ascii="仿宋_GB2312" w:eastAsia="仿宋_GB2312" w:hAnsiTheme="minorEastAsia"/>
          <w:b/>
          <w:bCs/>
          <w:sz w:val="32"/>
          <w:szCs w:val="32"/>
        </w:rPr>
        <w:t>1094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万元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，持之以恒治污，</w:t>
      </w:r>
      <w:r>
        <w:rPr>
          <w:rFonts w:hint="eastAsia" w:ascii="仿宋_GB2312" w:hAnsi="仿宋_GB2312" w:eastAsia="仿宋_GB2312" w:cs="仿宋_GB2312"/>
          <w:sz w:val="32"/>
          <w:szCs w:val="32"/>
        </w:rPr>
        <w:t>深入打好蓝天碧水净土保卫战，坚持绿色发展理念，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加大环保领域投入，全方位筑牢生态安全屏障，持续推动全区空气质量稳定向好，让辖区群众尽享蓝天白云、绿水青山。</w:t>
      </w:r>
    </w:p>
    <w:p w14:paraId="2056AC03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3.坚持政策赋能提品质</w:t>
      </w:r>
    </w:p>
    <w:p w14:paraId="00E13180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统筹资金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2</w:t>
      </w:r>
      <w:r>
        <w:rPr>
          <w:rFonts w:ascii="仿宋_GB2312" w:eastAsia="仿宋_GB2312" w:hAnsiTheme="minorEastAsia"/>
          <w:b/>
          <w:bCs/>
          <w:sz w:val="32"/>
          <w:szCs w:val="32"/>
        </w:rPr>
        <w:t>3160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万元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，提升辖区风貌，绽放城市“新颜值”。统筹资金</w:t>
      </w:r>
      <w:r>
        <w:rPr>
          <w:rFonts w:ascii="仿宋_GB2312" w:eastAsia="仿宋_GB2312" w:hAnsiTheme="minorEastAsia"/>
          <w:b/>
          <w:bCs/>
          <w:sz w:val="32"/>
          <w:szCs w:val="32"/>
        </w:rPr>
        <w:t>4245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万元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，用于防洪排涝建设、雨污泵站改造，提升</w:t>
      </w:r>
      <w:r>
        <w:rPr>
          <w:rFonts w:ascii="仿宋_GB2312" w:eastAsia="仿宋_GB2312" w:hAnsiTheme="minorEastAsia"/>
          <w:bCs/>
          <w:sz w:val="32"/>
          <w:szCs w:val="32"/>
        </w:rPr>
        <w:t>城市抗险能力</w:t>
      </w:r>
      <w:r>
        <w:rPr>
          <w:rFonts w:hint="eastAsia" w:ascii="仿宋_GB2312" w:eastAsia="仿宋_GB2312" w:hAnsiTheme="minorEastAsia"/>
          <w:bCs/>
          <w:sz w:val="32"/>
          <w:szCs w:val="32"/>
        </w:rPr>
        <w:t>。</w:t>
      </w:r>
      <w:bookmarkEnd w:id="0"/>
      <w:bookmarkEnd w:id="1"/>
      <w:r>
        <w:rPr>
          <w:rFonts w:hint="eastAsia" w:ascii="仿宋_GB2312" w:eastAsia="仿宋_GB2312" w:hAnsiTheme="minorEastAsia"/>
          <w:bCs/>
          <w:sz w:val="32"/>
          <w:szCs w:val="32"/>
        </w:rPr>
        <w:t>争取专项债券资金</w:t>
      </w:r>
      <w:r>
        <w:rPr>
          <w:rFonts w:ascii="仿宋_GB2312" w:eastAsia="仿宋_GB2312" w:hAnsiTheme="minorEastAsia"/>
          <w:b/>
          <w:bCs/>
          <w:sz w:val="32"/>
          <w:szCs w:val="32"/>
        </w:rPr>
        <w:t>115900</w:t>
      </w:r>
      <w:r>
        <w:rPr>
          <w:rFonts w:hint="eastAsia" w:ascii="仿宋_GB2312" w:eastAsia="仿宋_GB2312" w:hAnsiTheme="minorEastAsia"/>
          <w:b/>
          <w:bCs/>
          <w:sz w:val="32"/>
          <w:szCs w:val="32"/>
        </w:rPr>
        <w:t>万元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，重点支持产业园区、数据服务产业园、莲创教育发展产业园、西三环南延、新建小学等一批重点民生和产业项目；统筹资金</w:t>
      </w:r>
      <w:r>
        <w:rPr>
          <w:rFonts w:hint="eastAsia" w:ascii="仿宋_GB2312" w:eastAsia="仿宋_GB2312" w:hAnsiTheme="minorEastAsia"/>
          <w:b/>
          <w:sz w:val="32"/>
          <w:szCs w:val="32"/>
        </w:rPr>
        <w:t>3</w:t>
      </w:r>
      <w:r>
        <w:rPr>
          <w:rFonts w:ascii="仿宋_GB2312" w:eastAsia="仿宋_GB2312" w:hAnsiTheme="minorEastAsia"/>
          <w:b/>
          <w:sz w:val="32"/>
          <w:szCs w:val="32"/>
        </w:rPr>
        <w:t>60</w:t>
      </w:r>
      <w:r>
        <w:rPr>
          <w:rFonts w:hint="eastAsia" w:ascii="仿宋_GB2312" w:eastAsia="仿宋_GB2312" w:hAnsiTheme="minorEastAsia"/>
          <w:b/>
          <w:sz w:val="32"/>
          <w:szCs w:val="32"/>
        </w:rPr>
        <w:t>万元</w:t>
      </w:r>
      <w:r>
        <w:rPr>
          <w:rFonts w:hint="eastAsia" w:ascii="仿宋_GB2312" w:eastAsia="仿宋_GB2312" w:hAnsiTheme="minorEastAsia"/>
          <w:bCs/>
          <w:sz w:val="32"/>
          <w:szCs w:val="32"/>
        </w:rPr>
        <w:t>，支持特色音乐节举办、全民阅读、惠民演出及各项体育活动赛事，持续擦亮“音乐之城”“体育之城”两大城市名片，全面彰显</w:t>
      </w:r>
      <w:r>
        <w:rPr>
          <w:rFonts w:hint="eastAsia" w:ascii="仿宋_GB2312" w:hAnsi="仿宋_GB2312" w:eastAsia="仿宋_GB2312" w:cs="仿宋_GB2312"/>
          <w:sz w:val="32"/>
          <w:szCs w:val="32"/>
        </w:rPr>
        <w:t>我区独特魅力与发展活力。</w:t>
      </w:r>
    </w:p>
    <w:p w14:paraId="24ABA199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4.坚持精细管理增动能</w:t>
      </w:r>
    </w:p>
    <w:p w14:paraId="78CBF953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切实当好财政资金“守门人”。</w:t>
      </w:r>
      <w:r>
        <w:rPr>
          <w:rFonts w:hint="eastAsia" w:ascii="仿宋_GB2312" w:hAnsi="仿宋_GB2312" w:eastAsia="仿宋_GB2312" w:cs="仿宋_GB2312"/>
          <w:sz w:val="32"/>
          <w:szCs w:val="32"/>
        </w:rPr>
        <w:t>深化预算管理改革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，全方位全过程规范财政管理。有效解决支出固化顽疾，大力整合“小专项”，压减支出</w:t>
      </w: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0891</w:t>
      </w: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</w:t>
      </w:r>
      <w:r>
        <w:rPr>
          <w:rFonts w:hint="eastAsia" w:ascii="仿宋_GB2312" w:eastAsia="仿宋_GB2312"/>
          <w:b/>
          <w:sz w:val="32"/>
          <w:szCs w:val="32"/>
        </w:rPr>
        <w:t>元</w:t>
      </w:r>
      <w:r>
        <w:rPr>
          <w:rFonts w:hint="eastAsia" w:ascii="仿宋_GB2312" w:eastAsia="仿宋_GB2312"/>
          <w:sz w:val="32"/>
          <w:szCs w:val="32"/>
        </w:rPr>
        <w:t>。创新预算管理方式，构建财政管理与预算安排挂钩机制，切实发挥“管好、用好”财政资金的导向作用。强化预决算公开体系建设，预算公开覆盖率达到</w:t>
      </w:r>
      <w:r>
        <w:rPr>
          <w:rFonts w:hint="eastAsia" w:ascii="仿宋_GB2312" w:eastAsia="仿宋_GB2312"/>
          <w:b/>
          <w:sz w:val="32"/>
          <w:szCs w:val="32"/>
        </w:rPr>
        <w:t>100%</w:t>
      </w:r>
      <w:r>
        <w:rPr>
          <w:rFonts w:hint="eastAsia" w:ascii="仿宋_GB2312" w:eastAsia="仿宋_GB2312"/>
          <w:sz w:val="32"/>
          <w:szCs w:val="32"/>
        </w:rPr>
        <w:t>。深化预算绩效管理改革，强化绩效评价结果应用，严把事前评估、事中监控和事后评价三道关口，构建评价、反馈、整改、提升全链条工作机制。加强财政投资评审管理，拓宽投资评审领域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，规范投资评审程序，累计开展财政投资评审、预算绩效评价项目</w:t>
      </w: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108</w:t>
      </w: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个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，为政府节约资金</w:t>
      </w: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5178</w:t>
      </w: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万元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74E13329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持续打造“最少、最快、最优”的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“政府采购环境”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推进电子备案制度落地，严守“无预算不采购”刚性要求；加大中小微企业采购预留份额。深入开展政府采购领域系统整治，全面清理隐性门槛、不合理限制壁垒及保证金收退不规范等问题，推动采购竞争环境愈发公平透明。</w:t>
      </w:r>
    </w:p>
    <w:p w14:paraId="7CD55E0D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cs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坚持守牢底线保平稳</w:t>
      </w:r>
    </w:p>
    <w:p w14:paraId="6A0E1C7C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PMingLiU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一是筑牢债务安全线。</w:t>
      </w:r>
      <w:r>
        <w:rPr>
          <w:rFonts w:hint="eastAsia" w:ascii="仿宋_GB2312" w:eastAsia="仿宋_GB2312"/>
          <w:sz w:val="32"/>
          <w:szCs w:val="32"/>
        </w:rPr>
        <w:t>统筹资金</w:t>
      </w:r>
      <w:r>
        <w:rPr>
          <w:rFonts w:ascii="仿宋_GB2312" w:eastAsia="PMingLiU"/>
          <w:b/>
          <w:sz w:val="32"/>
          <w:szCs w:val="32"/>
        </w:rPr>
        <w:t>3694</w:t>
      </w:r>
      <w:r>
        <w:rPr>
          <w:rFonts w:hint="eastAsia" w:ascii="仿宋_GB2312" w:eastAsia="仿宋_GB2312"/>
          <w:b/>
          <w:sz w:val="32"/>
          <w:szCs w:val="32"/>
        </w:rPr>
        <w:t>万元</w:t>
      </w:r>
      <w:r>
        <w:rPr>
          <w:rFonts w:hint="eastAsia" w:ascii="仿宋_GB2312" w:eastAsia="仿宋_GB2312"/>
          <w:sz w:val="32"/>
          <w:szCs w:val="32"/>
        </w:rPr>
        <w:t>，用于清偿政府拖欠企业账款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坚决压实行业主管单位偿债的主体责任，按时偿还到期债务，实现全年债务零逾期的良好成效。严守新增政府隐性债务红线，建立常态化排查整治机制，做到风险早发现、早报告、早处置，牢牢守住不发生系统性风险的底线。</w:t>
      </w:r>
    </w:p>
    <w:p w14:paraId="08D6E01A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二是强化预算硬约束。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全面推行零基预算，压减非刚性、非重点支出，严控“三公”两费，严禁超预算、无预算支出，不折不扣落实党政机关过“紧日子”要求，坚持“量入为出、量财办事</w:t>
      </w:r>
      <w:r>
        <w:rPr>
          <w:rFonts w:ascii="仿宋_GB2312" w:hAnsi="仿宋_GB2312" w:eastAsia="仿宋_GB2312" w:cs="仿宋_GB2312"/>
          <w:bCs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，区分轻重缓急，优先顺序，把有限的资金用在稳定关键处、发展紧要处、民生急需处。</w:t>
      </w:r>
    </w:p>
    <w:p w14:paraId="54CAEDC0">
      <w:pPr>
        <w:keepNext w:val="0"/>
        <w:keepLines w:val="0"/>
        <w:pageBreakBefore w:val="0"/>
        <w:kinsoku/>
        <w:wordWrap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6.坚持国企改革提质效</w:t>
      </w:r>
    </w:p>
    <w:p w14:paraId="2E5634C2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eastAsia="PMingLiU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聚力推动平台公司转型发展，壮大平台公司资产规模，持续提升市场化运营质效。聚焦平台公司“造血”能力提升，引导其开拓稳定现金流、盈利能力强的市场化业务；整合辖区分散优质资产与项目，通过合并、新设等方式组建资产规模更大、业务聚焦的集团公司，全力打造一家信用等级达到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AA+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区属平台公司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增强平台公司融资能力，培育能盈利能扛事的国有企业。</w:t>
      </w:r>
    </w:p>
    <w:p w14:paraId="76A7B1AE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1" w:firstLineChars="200"/>
        <w:contextualSpacing/>
        <w:textAlignment w:val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PMingLiU" w:cs="仿宋_GB2312"/>
          <w:b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坚持提质争先创佳绩</w:t>
      </w:r>
    </w:p>
    <w:p w14:paraId="2BA632EA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hAnsi="仿宋_GB2312" w:eastAsia="PMingLiU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锚定“优收支、防风险、惠民生”核心目标，纵深推进财政改革创新，抓实抓细各项财政重点工作，多项工作成果获国家级、省级荣誉，充分彰显莲池财政履职担当硬实力。</w:t>
      </w:r>
    </w:p>
    <w:p w14:paraId="74C95B54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" w:eastAsia="PMingLiU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一是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区财政局被河北省人社厅、河北省财政厅评为2021年-2025年“五年一评”的河北省财政和会计工作省级先进集体；</w:t>
      </w:r>
    </w:p>
    <w:p w14:paraId="3A107004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" w:eastAsia="PMingLiU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二是</w:t>
      </w:r>
      <w:r>
        <w:rPr>
          <w:rFonts w:hint="eastAsia" w:ascii="仿宋_GB2312" w:hAnsi="仿宋" w:eastAsia="仿宋_GB2312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积极跑办争创试点。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我区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被财政部评为国家级可持续披露准则模拟披露试点单位，此试点全省仅2家，全国40家，是保定市唯一入选的单位；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被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河北省财政厅评为2025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代理记账基础规范施行省级试点示范单位;</w:t>
      </w:r>
    </w:p>
    <w:p w14:paraId="14611EF5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PMingLiU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我区主导选拍的专题宣传片《美在财政所》被《中国财政》杂志刊发，并同步在“中国财政”视频号、抖音、快手等新媒体平台全网展播；</w:t>
      </w:r>
    </w:p>
    <w:p w14:paraId="604AC708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eastAsia="PMingLiU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四是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《关于基层财会监督管理应用的思考与探索》荣获河北省会计科技课题成果二等奖。</w:t>
      </w:r>
    </w:p>
    <w:p w14:paraId="090C9712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hAnsi="仿宋_GB2312" w:eastAsia="PMingLiU" w:cs="仿宋_GB2312"/>
          <w:sz w:val="32"/>
          <w:szCs w:val="32"/>
        </w:rPr>
      </w:pP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仿宋_GB2312" w:hAnsi="仿宋_GB2312" w:eastAsia="仿宋_GB2312" w:cs="仿宋_GB2312"/>
          <w:sz w:val="32"/>
          <w:szCs w:val="32"/>
        </w:rPr>
        <w:t>年，我区财政工作取得了一定成效，全区财政运行平稳有序，各项财政工作扎实推进。这些成绩的取得，离不开区委的坚强领导，离不开区人大、区政协及各位代表、委员的依法监督和大力支持。</w:t>
      </w:r>
    </w:p>
    <w:p w14:paraId="301D3CF9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同时，我们也清醒地认识到，当前财政工作仍面临不少困难与挑战: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一是</w:t>
      </w:r>
      <w:r>
        <w:rPr>
          <w:rFonts w:hint="eastAsia" w:ascii="仿宋_GB2312" w:hAnsi="仿宋_GB2312" w:eastAsia="仿宋_GB2312" w:cs="仿宋_GB2312"/>
          <w:sz w:val="32"/>
          <w:szCs w:val="32"/>
        </w:rPr>
        <w:t>受国际国内复杂经济形势影响，财政收入恢复高速性增长难度不断加大;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二是</w:t>
      </w:r>
      <w:r>
        <w:rPr>
          <w:rFonts w:hint="eastAsia" w:ascii="仿宋_GB2312" w:hAnsi="仿宋_GB2312" w:eastAsia="仿宋_GB2312" w:cs="仿宋_GB2312"/>
          <w:sz w:val="32"/>
          <w:szCs w:val="32"/>
        </w:rPr>
        <w:t>民生保障等刚性支出需求持续攀升，可用财力有限，财政收支矛盾日益凸显，收支平衡压力不断加大。对此，我们将进一步强化责任担当，锐意开拓进取，切实采取有效措施，努力加以解决。</w:t>
      </w:r>
    </w:p>
    <w:p w14:paraId="316B363C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二、2026年预算（草案）安排情况</w:t>
      </w:r>
    </w:p>
    <w:p w14:paraId="4E4BAAA8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2026年是全面实施“十五五”规划的开局之年，也是贯彻落实中央、省、市及区委经济工作会议精神的关键之年。省市聚焦“稳增长、扩内需、育新质、防风险”作出系统部署，财政工作肩负多重使命，责任重大。我们锚定“十五五”开局目标，对标上级政策要求，科学统筹收支、精准谋划安排，全力筑牢财政保障根基。</w:t>
      </w:r>
    </w:p>
    <w:p w14:paraId="2B902A8C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楷体_GB2312" w:hAnsi="楷体" w:eastAsia="楷体_GB2312"/>
          <w:b/>
          <w:sz w:val="32"/>
          <w:szCs w:val="32"/>
        </w:rPr>
      </w:pPr>
      <w:r>
        <w:rPr>
          <w:rFonts w:hint="eastAsia" w:ascii="楷体_GB2312" w:hAnsi="楷体" w:eastAsia="楷体_GB2312"/>
          <w:b/>
          <w:sz w:val="32"/>
          <w:szCs w:val="32"/>
        </w:rPr>
        <w:t>（一）预算编制总体思路</w:t>
      </w:r>
    </w:p>
    <w:p w14:paraId="59E0D0D2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黑体" w:hAnsi="黑体" w:eastAsia="黑体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2026年财政工作以习近平新时代中国特色社会主义思想为</w:t>
      </w:r>
      <w:r>
        <w:rPr>
          <w:rFonts w:hint="eastAsia" w:ascii="黑体" w:hAnsi="黑体" w:eastAsia="黑体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指导，全面贯彻落实党的二十大和二十届历次全会精神，落实中央及省、市财政工作要求，坚持稳中求进总基调，践行新发展理念，服务新发展格局，推动高质量发展。</w:t>
      </w:r>
    </w:p>
    <w:p w14:paraId="0E09C67A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实施更加积极有为的财政政策，聚焦“加力提效</w:t>
      </w:r>
      <w:r>
        <w:rPr>
          <w:rFonts w:ascii="黑体" w:hAnsi="黑体" w:eastAsia="黑体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黑体" w:hAnsi="黑体" w:eastAsia="黑体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深化零基预算改革，统筹财政资源，坚持党政机关过“紧日子”；优化收支结构，兜牢“三保”底线；强化资金管理，防范重点领域风险；保障民生福祉、支撑重大战略、服务发展大局，为完成“十五五”开局各项任务提供坚实财政保障。</w:t>
      </w:r>
    </w:p>
    <w:p w14:paraId="7DE8BAB6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（二）全区预算草案</w:t>
      </w:r>
    </w:p>
    <w:p w14:paraId="37855343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1.一般公共预算安排</w:t>
      </w:r>
    </w:p>
    <w:p w14:paraId="0C1990B9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总收入</w:t>
      </w:r>
      <w:r>
        <w:rPr>
          <w:rFonts w:ascii="仿宋_GB2312" w:hAnsi="仿宋" w:eastAsia="仿宋_GB2312"/>
          <w:b/>
          <w:sz w:val="32"/>
          <w:szCs w:val="32"/>
        </w:rPr>
        <w:t>646940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，其构成是：①一般公共预算收入</w:t>
      </w:r>
      <w:r>
        <w:rPr>
          <w:rFonts w:ascii="仿宋_GB2312" w:hAnsi="仿宋" w:eastAsia="仿宋_GB2312"/>
          <w:b/>
          <w:sz w:val="32"/>
          <w:szCs w:val="32"/>
        </w:rPr>
        <w:t>385000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；②上级补助收入</w:t>
      </w:r>
      <w:r>
        <w:rPr>
          <w:rFonts w:ascii="仿宋_GB2312" w:hAnsi="仿宋" w:eastAsia="仿宋_GB2312"/>
          <w:b/>
          <w:sz w:val="32"/>
          <w:szCs w:val="32"/>
        </w:rPr>
        <w:t>142295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；③调入资金</w:t>
      </w:r>
      <w:r>
        <w:rPr>
          <w:rFonts w:ascii="仿宋_GB2312" w:hAnsi="仿宋" w:eastAsia="仿宋_GB2312"/>
          <w:b/>
          <w:sz w:val="32"/>
          <w:szCs w:val="32"/>
        </w:rPr>
        <w:t>79224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; ④上年结转</w:t>
      </w:r>
      <w:r>
        <w:rPr>
          <w:rFonts w:ascii="仿宋_GB2312" w:hAnsi="仿宋" w:eastAsia="仿宋_GB2312"/>
          <w:b/>
          <w:sz w:val="32"/>
          <w:szCs w:val="32"/>
        </w:rPr>
        <w:t>40421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。总支出</w:t>
      </w:r>
      <w:r>
        <w:rPr>
          <w:rFonts w:ascii="仿宋_GB2312" w:hAnsi="仿宋" w:eastAsia="仿宋_GB2312"/>
          <w:b/>
          <w:sz w:val="32"/>
          <w:szCs w:val="32"/>
        </w:rPr>
        <w:t>646940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，其构成是：①一般公共预算支出</w:t>
      </w:r>
      <w:r>
        <w:rPr>
          <w:rFonts w:ascii="仿宋_GB2312" w:hAnsi="仿宋" w:eastAsia="仿宋_GB2312"/>
          <w:b/>
          <w:sz w:val="32"/>
          <w:szCs w:val="32"/>
        </w:rPr>
        <w:t>360309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bCs/>
          <w:sz w:val="32"/>
          <w:szCs w:val="32"/>
        </w:rPr>
        <w:t>（区本级安排2</w:t>
      </w:r>
      <w:r>
        <w:rPr>
          <w:rFonts w:ascii="仿宋_GB2312" w:hAnsi="仿宋" w:eastAsia="仿宋_GB2312"/>
          <w:bCs/>
          <w:sz w:val="32"/>
          <w:szCs w:val="32"/>
        </w:rPr>
        <w:t>72700</w:t>
      </w:r>
      <w:r>
        <w:rPr>
          <w:rFonts w:hint="eastAsia" w:ascii="仿宋_GB2312" w:hAnsi="仿宋" w:eastAsia="仿宋_GB2312"/>
          <w:bCs/>
          <w:sz w:val="32"/>
          <w:szCs w:val="32"/>
        </w:rPr>
        <w:t>万元）；</w:t>
      </w:r>
      <w:r>
        <w:rPr>
          <w:rFonts w:hint="eastAsia" w:ascii="仿宋_GB2312" w:hAnsi="仿宋" w:eastAsia="仿宋_GB2312"/>
          <w:sz w:val="32"/>
          <w:szCs w:val="32"/>
        </w:rPr>
        <w:t>②上解上级支出</w:t>
      </w:r>
      <w:r>
        <w:rPr>
          <w:rFonts w:hint="eastAsia" w:ascii="仿宋_GB2312" w:hAnsi="仿宋" w:eastAsia="仿宋_GB2312"/>
          <w:b/>
          <w:sz w:val="32"/>
          <w:szCs w:val="32"/>
        </w:rPr>
        <w:t>2</w:t>
      </w:r>
      <w:r>
        <w:rPr>
          <w:rFonts w:ascii="仿宋_GB2312" w:hAnsi="仿宋" w:eastAsia="仿宋_GB2312"/>
          <w:b/>
          <w:sz w:val="32"/>
          <w:szCs w:val="32"/>
        </w:rPr>
        <w:t>86631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 w14:paraId="76820F58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2.政府性基金预算安排</w:t>
      </w:r>
    </w:p>
    <w:p w14:paraId="78CECBBF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总收入</w:t>
      </w:r>
      <w:r>
        <w:rPr>
          <w:rFonts w:ascii="仿宋_GB2312" w:hAnsi="仿宋" w:eastAsia="仿宋_GB2312"/>
          <w:b/>
          <w:sz w:val="32"/>
          <w:szCs w:val="32"/>
        </w:rPr>
        <w:t>33</w:t>
      </w:r>
      <w:r>
        <w:rPr>
          <w:rFonts w:ascii="仿宋_GB2312" w:hAnsi="仿宋" w:eastAsia="PMingLiU"/>
          <w:b/>
          <w:sz w:val="32"/>
          <w:szCs w:val="32"/>
        </w:rPr>
        <w:t>1010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，其构成是：①政府性基金预算收入</w:t>
      </w:r>
      <w:r>
        <w:rPr>
          <w:rFonts w:hint="eastAsia" w:ascii="仿宋_GB2312" w:hAnsi="仿宋" w:eastAsia="仿宋_GB2312"/>
          <w:b/>
          <w:sz w:val="32"/>
          <w:szCs w:val="32"/>
        </w:rPr>
        <w:t>10</w:t>
      </w:r>
      <w:r>
        <w:rPr>
          <w:rFonts w:ascii="仿宋_GB2312" w:hAnsi="仿宋" w:eastAsia="仿宋_GB2312"/>
          <w:b/>
          <w:sz w:val="32"/>
          <w:szCs w:val="32"/>
        </w:rPr>
        <w:t>0</w:t>
      </w:r>
      <w:r>
        <w:rPr>
          <w:rFonts w:hint="eastAsia" w:ascii="仿宋_GB2312" w:hAnsi="仿宋" w:eastAsia="仿宋_GB2312"/>
          <w:b/>
          <w:sz w:val="32"/>
          <w:szCs w:val="32"/>
        </w:rPr>
        <w:t>000万元</w:t>
      </w:r>
      <w:r>
        <w:rPr>
          <w:rFonts w:hint="eastAsia" w:ascii="仿宋_GB2312" w:hAnsi="仿宋" w:eastAsia="仿宋_GB2312"/>
          <w:sz w:val="32"/>
          <w:szCs w:val="32"/>
        </w:rPr>
        <w:t>；②提前下达政府性基金专款</w:t>
      </w:r>
      <w:r>
        <w:rPr>
          <w:rFonts w:ascii="仿宋_GB2312" w:hAnsi="仿宋" w:eastAsia="仿宋_GB2312"/>
          <w:b/>
          <w:sz w:val="32"/>
          <w:szCs w:val="32"/>
        </w:rPr>
        <w:t>307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；③上年结转</w:t>
      </w:r>
      <w:r>
        <w:rPr>
          <w:rFonts w:ascii="仿宋_GB2312" w:hAnsi="仿宋" w:eastAsia="仿宋_GB2312"/>
          <w:b/>
          <w:sz w:val="32"/>
          <w:szCs w:val="32"/>
        </w:rPr>
        <w:t>189949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; ④其他</w:t>
      </w:r>
      <w:r>
        <w:rPr>
          <w:rFonts w:ascii="仿宋_GB2312" w:hAnsi="仿宋" w:eastAsia="仿宋_GB2312"/>
          <w:sz w:val="32"/>
          <w:szCs w:val="32"/>
        </w:rPr>
        <w:t>调入</w:t>
      </w:r>
      <w:r>
        <w:rPr>
          <w:rFonts w:hint="eastAsia" w:ascii="仿宋_GB2312" w:hAnsi="仿宋" w:eastAsia="仿宋_GB2312"/>
          <w:b/>
          <w:sz w:val="32"/>
          <w:szCs w:val="32"/>
        </w:rPr>
        <w:t>40754万元</w:t>
      </w:r>
      <w:r>
        <w:rPr>
          <w:rFonts w:hint="eastAsia" w:ascii="仿宋_GB2312" w:hAnsi="仿宋"/>
          <w:b/>
          <w:sz w:val="32"/>
          <w:szCs w:val="32"/>
        </w:rPr>
        <w:t>。</w:t>
      </w:r>
      <w:r>
        <w:rPr>
          <w:rFonts w:hint="eastAsia" w:ascii="仿宋_GB2312" w:hAnsi="仿宋" w:eastAsia="仿宋_GB2312"/>
          <w:sz w:val="32"/>
          <w:szCs w:val="32"/>
        </w:rPr>
        <w:t>总支出</w:t>
      </w:r>
      <w:r>
        <w:rPr>
          <w:rFonts w:ascii="仿宋_GB2312" w:hAnsi="仿宋" w:eastAsia="仿宋_GB2312"/>
          <w:b/>
          <w:sz w:val="32"/>
          <w:szCs w:val="32"/>
        </w:rPr>
        <w:t>33</w:t>
      </w:r>
      <w:r>
        <w:rPr>
          <w:rFonts w:ascii="仿宋_GB2312" w:hAnsi="仿宋" w:eastAsia="PMingLiU"/>
          <w:b/>
          <w:sz w:val="32"/>
          <w:szCs w:val="32"/>
        </w:rPr>
        <w:t>1010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，其构成是：①政府性基金预算支出</w:t>
      </w:r>
      <w:r>
        <w:rPr>
          <w:rFonts w:ascii="仿宋_GB2312" w:hAnsi="仿宋" w:eastAsia="仿宋_GB2312"/>
          <w:b/>
          <w:sz w:val="32"/>
          <w:szCs w:val="32"/>
        </w:rPr>
        <w:t>251</w:t>
      </w:r>
      <w:r>
        <w:rPr>
          <w:rFonts w:ascii="仿宋_GB2312" w:hAnsi="仿宋" w:eastAsia="PMingLiU"/>
          <w:b/>
          <w:sz w:val="32"/>
          <w:szCs w:val="32"/>
        </w:rPr>
        <w:t>786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;②调出资金</w:t>
      </w:r>
      <w:r>
        <w:rPr>
          <w:rFonts w:ascii="仿宋_GB2312" w:hAnsi="仿宋" w:eastAsia="仿宋_GB2312"/>
          <w:b/>
          <w:sz w:val="32"/>
          <w:szCs w:val="32"/>
        </w:rPr>
        <w:t>79224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 w14:paraId="0858B79B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3.国有资本经营预算安排</w:t>
      </w:r>
    </w:p>
    <w:p w14:paraId="4A88574D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收入预算</w:t>
      </w:r>
      <w:r>
        <w:rPr>
          <w:rFonts w:ascii="仿宋_GB2312" w:hAnsi="仿宋" w:eastAsia="仿宋_GB2312"/>
          <w:b/>
          <w:sz w:val="32"/>
          <w:szCs w:val="32"/>
        </w:rPr>
        <w:t>348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，上级补助收入</w:t>
      </w:r>
      <w:r>
        <w:rPr>
          <w:rFonts w:hint="eastAsia" w:ascii="仿宋_GB2312" w:hAnsi="仿宋" w:eastAsia="仿宋_GB2312"/>
          <w:b/>
          <w:sz w:val="32"/>
          <w:szCs w:val="32"/>
        </w:rPr>
        <w:t>1</w:t>
      </w:r>
      <w:r>
        <w:rPr>
          <w:rFonts w:ascii="仿宋_GB2312" w:hAnsi="仿宋" w:eastAsia="仿宋_GB2312"/>
          <w:b/>
          <w:sz w:val="32"/>
          <w:szCs w:val="32"/>
        </w:rPr>
        <w:t>3</w:t>
      </w:r>
      <w:r>
        <w:rPr>
          <w:rFonts w:hint="eastAsia" w:ascii="仿宋_GB2312" w:hAnsi="仿宋" w:eastAsia="仿宋_GB2312"/>
          <w:b/>
          <w:sz w:val="32"/>
          <w:szCs w:val="32"/>
        </w:rPr>
        <w:t>5万元</w:t>
      </w:r>
      <w:r>
        <w:rPr>
          <w:rFonts w:hint="eastAsia" w:ascii="仿宋_GB2312" w:hAnsi="仿宋" w:eastAsia="仿宋_GB2312"/>
          <w:sz w:val="32"/>
          <w:szCs w:val="32"/>
        </w:rPr>
        <w:t>和上年结转收入</w:t>
      </w:r>
      <w:r>
        <w:rPr>
          <w:rFonts w:ascii="仿宋_GB2312" w:hAnsi="仿宋" w:eastAsia="仿宋_GB2312"/>
          <w:b/>
          <w:sz w:val="32"/>
          <w:szCs w:val="32"/>
        </w:rPr>
        <w:t>213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；支出预算</w:t>
      </w:r>
      <w:r>
        <w:rPr>
          <w:rFonts w:ascii="仿宋_GB2312" w:hAnsi="仿宋" w:eastAsia="仿宋_GB2312"/>
          <w:b/>
          <w:sz w:val="32"/>
          <w:szCs w:val="32"/>
        </w:rPr>
        <w:t>348</w:t>
      </w:r>
      <w:r>
        <w:rPr>
          <w:rFonts w:hint="eastAsia" w:ascii="仿宋_GB2312" w:hAnsi="仿宋" w:eastAsia="仿宋_GB2312"/>
          <w:b/>
          <w:sz w:val="32"/>
          <w:szCs w:val="32"/>
        </w:rPr>
        <w:t>万元</w:t>
      </w:r>
      <w:r>
        <w:rPr>
          <w:rFonts w:hint="eastAsia" w:ascii="仿宋_GB2312" w:hAnsi="仿宋" w:eastAsia="仿宋_GB2312"/>
          <w:sz w:val="32"/>
          <w:szCs w:val="32"/>
        </w:rPr>
        <w:t>，用于解决历史遗留问题及改革成本支出。</w:t>
      </w:r>
    </w:p>
    <w:p w14:paraId="6419BED7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4.社会保险基金预算安排</w:t>
      </w:r>
    </w:p>
    <w:p w14:paraId="13618A0F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预计收入</w:t>
      </w:r>
      <w:r>
        <w:rPr>
          <w:rFonts w:hint="eastAsia" w:ascii="仿宋_GB2312" w:hAnsi="仿宋" w:eastAsia="仿宋_GB2312"/>
          <w:b/>
          <w:sz w:val="32"/>
          <w:szCs w:val="32"/>
        </w:rPr>
        <w:t>53447万元</w:t>
      </w:r>
      <w:r>
        <w:rPr>
          <w:rFonts w:hint="eastAsia" w:ascii="仿宋_GB2312" w:hAnsi="仿宋" w:eastAsia="仿宋_GB2312"/>
          <w:sz w:val="32"/>
          <w:szCs w:val="32"/>
        </w:rPr>
        <w:t>，其构成是：①机关事业单位养老保险基金收入</w:t>
      </w:r>
      <w:r>
        <w:rPr>
          <w:rFonts w:hint="eastAsia" w:ascii="仿宋_GB2312" w:hAnsi="仿宋" w:eastAsia="仿宋_GB2312"/>
          <w:b/>
          <w:sz w:val="32"/>
          <w:szCs w:val="32"/>
        </w:rPr>
        <w:t>37050万元</w:t>
      </w:r>
      <w:r>
        <w:rPr>
          <w:rFonts w:hint="eastAsia" w:ascii="仿宋_GB2312" w:hAnsi="仿宋" w:eastAsia="仿宋_GB2312"/>
          <w:sz w:val="32"/>
          <w:szCs w:val="32"/>
        </w:rPr>
        <w:t>;②城乡居民基本养老保险基金收入</w:t>
      </w:r>
      <w:r>
        <w:rPr>
          <w:rFonts w:hint="eastAsia" w:ascii="仿宋_GB2312" w:hAnsi="仿宋" w:eastAsia="仿宋_GB2312"/>
          <w:b/>
          <w:sz w:val="32"/>
          <w:szCs w:val="32"/>
        </w:rPr>
        <w:t>16397万元</w:t>
      </w:r>
      <w:r>
        <w:rPr>
          <w:rFonts w:hint="eastAsia" w:ascii="仿宋_GB2312" w:hAnsi="仿宋" w:eastAsia="仿宋_GB2312"/>
          <w:sz w:val="32"/>
          <w:szCs w:val="32"/>
        </w:rPr>
        <w:t>。预计支出</w:t>
      </w:r>
      <w:r>
        <w:rPr>
          <w:rFonts w:hint="eastAsia" w:ascii="仿宋_GB2312" w:hAnsi="仿宋" w:eastAsia="仿宋_GB2312"/>
          <w:b/>
          <w:sz w:val="32"/>
          <w:szCs w:val="32"/>
        </w:rPr>
        <w:t>50374万元</w:t>
      </w:r>
      <w:r>
        <w:rPr>
          <w:rFonts w:hint="eastAsia" w:ascii="仿宋_GB2312" w:hAnsi="仿宋" w:eastAsia="仿宋_GB2312"/>
          <w:sz w:val="32"/>
          <w:szCs w:val="32"/>
        </w:rPr>
        <w:t>，其构成是：①机关事业单位养老保险基金支出</w:t>
      </w:r>
      <w:r>
        <w:rPr>
          <w:rFonts w:hint="eastAsia" w:ascii="仿宋_GB2312" w:hAnsi="仿宋" w:eastAsia="仿宋_GB2312"/>
          <w:b/>
          <w:sz w:val="32"/>
          <w:szCs w:val="32"/>
        </w:rPr>
        <w:t>38749万元</w:t>
      </w:r>
      <w:r>
        <w:rPr>
          <w:rFonts w:hint="eastAsia" w:ascii="仿宋_GB2312" w:hAnsi="仿宋" w:eastAsia="仿宋_GB2312"/>
          <w:sz w:val="32"/>
          <w:szCs w:val="32"/>
        </w:rPr>
        <w:t>;②城乡居民基本养老保险基金支出</w:t>
      </w:r>
      <w:r>
        <w:rPr>
          <w:rFonts w:hint="eastAsia" w:ascii="仿宋_GB2312" w:hAnsi="仿宋" w:eastAsia="仿宋_GB2312"/>
          <w:b/>
          <w:sz w:val="32"/>
          <w:szCs w:val="32"/>
        </w:rPr>
        <w:t>11625万元</w:t>
      </w:r>
      <w:r>
        <w:rPr>
          <w:rFonts w:hint="eastAsia" w:ascii="仿宋_GB2312" w:hAnsi="仿宋" w:eastAsia="仿宋_GB2312"/>
          <w:sz w:val="32"/>
          <w:szCs w:val="32"/>
        </w:rPr>
        <w:t>。收支相抵，当期预计结余</w:t>
      </w:r>
      <w:r>
        <w:rPr>
          <w:rFonts w:hint="eastAsia" w:ascii="仿宋_GB2312" w:hAnsi="仿宋" w:eastAsia="仿宋_GB2312"/>
          <w:b/>
          <w:sz w:val="32"/>
          <w:szCs w:val="32"/>
        </w:rPr>
        <w:t>3073万元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 w14:paraId="1C2CCB2F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楷体_GB2312" w:hAnsi="楷体" w:eastAsia="楷体_GB2312"/>
          <w:b/>
          <w:sz w:val="32"/>
          <w:szCs w:val="32"/>
        </w:rPr>
      </w:pPr>
      <w:r>
        <w:rPr>
          <w:rFonts w:hint="eastAsia" w:ascii="楷体_GB2312" w:hAnsi="楷体" w:eastAsia="楷体_GB2312"/>
          <w:b/>
          <w:sz w:val="32"/>
          <w:szCs w:val="32"/>
          <w:lang w:eastAsia="zh-CN"/>
        </w:rPr>
        <w:t>（</w:t>
      </w:r>
      <w:r>
        <w:rPr>
          <w:rFonts w:hint="eastAsia" w:ascii="楷体_GB2312" w:hAnsi="楷体" w:eastAsia="楷体_GB2312"/>
          <w:b/>
          <w:sz w:val="32"/>
          <w:szCs w:val="32"/>
        </w:rPr>
        <w:t>三</w:t>
      </w:r>
      <w:r>
        <w:rPr>
          <w:rFonts w:hint="eastAsia" w:ascii="楷体_GB2312" w:hAnsi="楷体" w:eastAsia="楷体_GB2312"/>
          <w:b/>
          <w:sz w:val="32"/>
          <w:szCs w:val="32"/>
          <w:lang w:eastAsia="zh-CN"/>
        </w:rPr>
        <w:t>）</w:t>
      </w:r>
      <w:r>
        <w:rPr>
          <w:rFonts w:hint="eastAsia" w:ascii="楷体_GB2312" w:hAnsi="楷体" w:eastAsia="楷体_GB2312"/>
          <w:b/>
          <w:sz w:val="32"/>
          <w:szCs w:val="32"/>
        </w:rPr>
        <w:t>重点支出预算安排</w:t>
      </w:r>
    </w:p>
    <w:p w14:paraId="026CCE2A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333333"/>
          <w:sz w:val="32"/>
          <w:szCs w:val="32"/>
          <w:shd w:val="clear" w:color="auto" w:fill="FFFFFF"/>
        </w:rPr>
        <w:t>一是更加注重财源统筹，提升财政保障支撑力。</w:t>
      </w:r>
      <w:r>
        <w:rPr>
          <w:rFonts w:hint="eastAsia" w:ascii="仿宋_GB2312" w:hAnsi="仿宋_GB2312" w:eastAsia="仿宋_GB2312" w:cs="仿宋_GB2312"/>
          <w:sz w:val="32"/>
          <w:szCs w:val="32"/>
        </w:rPr>
        <w:t>多渠道拓宽财力来源，全力争取超长期特别国债、专项债券及上级转移支付资金，全面梳理盘活存量及闲置资产，做大财政“蛋糕”。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坚决落实过“紧日子”要求</w:t>
      </w:r>
      <w:r>
        <w:rPr>
          <w:rFonts w:hint="eastAsia" w:ascii="仿宋_GB2312" w:hAnsi="仿宋_GB2312" w:eastAsia="仿宋_GB2312" w:cs="仿宋_GB2312"/>
          <w:sz w:val="32"/>
          <w:szCs w:val="32"/>
        </w:rPr>
        <w:t>。从严从紧编制预算，大力压减非刚性、非重点支出，严控一般性行政开支，从严管控“三公”两费、新增资产配置，持续降低行政运行成本，把节约资金优先用于“补短板、惠民生、保重点”。坚守“三保”支出优先顺序，将基层“三保”作为财政工作的底线任务，足额保障工资发放、机关正常运转和基本民生支出。</w:t>
      </w:r>
    </w:p>
    <w:p w14:paraId="6DF0B81B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333333"/>
          <w:sz w:val="32"/>
          <w:szCs w:val="32"/>
          <w:shd w:val="clear" w:color="auto" w:fill="FFFFFF"/>
        </w:rPr>
        <w:t>二是更加聚焦为民理财，提升群众幸福感。</w:t>
      </w:r>
      <w:r>
        <w:rPr>
          <w:rFonts w:hint="eastAsia" w:ascii="仿宋_GB2312" w:hAnsi="仿宋_GB2312" w:eastAsia="仿宋_GB2312" w:cs="仿宋_GB2312"/>
          <w:sz w:val="32"/>
          <w:szCs w:val="32"/>
        </w:rPr>
        <w:t>锚定民生导向，持续加大民生领域投入。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教育领域，</w:t>
      </w:r>
      <w:r>
        <w:rPr>
          <w:rFonts w:hint="eastAsia" w:ascii="仿宋_GB2312" w:hAnsi="仿宋_GB2312" w:eastAsia="仿宋_GB2312" w:cs="仿宋_GB2312"/>
          <w:sz w:val="32"/>
          <w:szCs w:val="32"/>
        </w:rPr>
        <w:t>依托区域教育资源优势，强化经费保障，不折不扣落实教育经费“两个只增不减”要求，支持学前教育普及普惠、义务教育优质均衡发展，推动教育大区向教育强区转型升级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。卫生健康领域，</w:t>
      </w:r>
      <w:r>
        <w:rPr>
          <w:rFonts w:hint="eastAsia" w:ascii="仿宋_GB2312" w:hAnsi="仿宋_GB2312" w:eastAsia="仿宋_GB2312" w:cs="仿宋_GB2312"/>
          <w:sz w:val="32"/>
          <w:szCs w:val="32"/>
        </w:rPr>
        <w:t>健全医疗保障体系，提升公共卫生服务能力，优化基层医疗卫生资源配置，落实医保补助政策，为群众提供优质、便捷、高效的医疗健康服务。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社保就业领域，</w:t>
      </w:r>
      <w:r>
        <w:rPr>
          <w:rFonts w:hint="eastAsia" w:ascii="仿宋_GB2312" w:hAnsi="仿宋_GB2312" w:eastAsia="仿宋_GB2312" w:cs="仿宋_GB2312"/>
          <w:sz w:val="32"/>
          <w:szCs w:val="32"/>
        </w:rPr>
        <w:t>落实各项社保待遇政策，确保城乡居民最低生活保障、特困供养、优抚对象、两残补贴、义务兵优待金、老年人福利等各项民生政策，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兜牢困难群众基本生活底线，做到应保尽保、应助尽助，让发展成果更多惠及全体人民。全面落实就业优先战略，加大职业技能培训和创业扶持力度。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乡村振兴领域，</w:t>
      </w:r>
      <w:r>
        <w:rPr>
          <w:rFonts w:hint="eastAsia" w:ascii="仿宋_GB2312" w:hAnsi="仿宋_GB2312" w:eastAsia="仿宋_GB2312" w:cs="仿宋_GB2312"/>
          <w:sz w:val="32"/>
          <w:szCs w:val="32"/>
        </w:rPr>
        <w:t>统筹</w:t>
      </w:r>
      <w:r>
        <w:rPr>
          <w:rFonts w:ascii="仿宋_GB2312" w:hAnsi="仿宋_GB2312" w:eastAsia="仿宋_GB2312" w:cs="仿宋_GB2312"/>
          <w:sz w:val="32"/>
          <w:szCs w:val="32"/>
        </w:rPr>
        <w:t>推进乡村振兴</w:t>
      </w:r>
      <w:r>
        <w:rPr>
          <w:rFonts w:hint="eastAsia" w:ascii="仿宋_GB2312" w:hAnsi="仿宋_GB2312" w:eastAsia="仿宋_GB2312" w:cs="仿宋_GB2312"/>
          <w:sz w:val="32"/>
          <w:szCs w:val="32"/>
        </w:rPr>
        <w:t>与</w:t>
      </w:r>
      <w:r>
        <w:rPr>
          <w:rFonts w:ascii="仿宋_GB2312" w:hAnsi="仿宋_GB2312" w:eastAsia="仿宋_GB2312" w:cs="仿宋_GB2312"/>
          <w:sz w:val="32"/>
          <w:szCs w:val="32"/>
        </w:rPr>
        <w:t>巩固脱贫攻坚</w:t>
      </w:r>
      <w:r>
        <w:rPr>
          <w:rFonts w:hint="eastAsia" w:ascii="仿宋_GB2312" w:hAnsi="仿宋_GB2312" w:eastAsia="仿宋_GB2312" w:cs="仿宋_GB2312"/>
          <w:sz w:val="32"/>
          <w:szCs w:val="32"/>
        </w:rPr>
        <w:t>成果</w:t>
      </w:r>
      <w:r>
        <w:rPr>
          <w:rFonts w:ascii="仿宋_GB2312" w:hAnsi="仿宋_GB2312" w:eastAsia="仿宋_GB2312" w:cs="仿宋_GB2312"/>
          <w:sz w:val="32"/>
          <w:szCs w:val="32"/>
        </w:rPr>
        <w:t>有效衔接</w:t>
      </w:r>
      <w:r>
        <w:rPr>
          <w:rFonts w:hint="eastAsia" w:ascii="仿宋_GB2312" w:hAnsi="仿宋_GB2312" w:eastAsia="仿宋_GB2312" w:cs="仿宋_GB2312"/>
          <w:sz w:val="32"/>
          <w:szCs w:val="32"/>
        </w:rPr>
        <w:t>，落实</w:t>
      </w:r>
      <w:r>
        <w:rPr>
          <w:rFonts w:ascii="仿宋_GB2312" w:hAnsi="仿宋_GB2312" w:eastAsia="仿宋_GB2312" w:cs="仿宋_GB2312"/>
          <w:sz w:val="32"/>
          <w:szCs w:val="32"/>
        </w:rPr>
        <w:t>各项惠农补贴政策，持续改善农村人居环境。</w:t>
      </w:r>
    </w:p>
    <w:p w14:paraId="6D6222FA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333333"/>
          <w:sz w:val="32"/>
          <w:szCs w:val="32"/>
          <w:shd w:val="clear" w:color="auto" w:fill="FFFFFF"/>
        </w:rPr>
        <w:t>三是更加突出宜居建设，提升城乡生活舒适度。</w:t>
      </w:r>
      <w:r>
        <w:rPr>
          <w:rFonts w:hint="eastAsia" w:ascii="仿宋_GB2312" w:hAnsi="仿宋_GB2312" w:eastAsia="仿宋_GB2312" w:cs="仿宋_GB2312"/>
          <w:sz w:val="32"/>
          <w:szCs w:val="32"/>
        </w:rPr>
        <w:t>统筹资金支持城乡基础设施升级，重点推进背街小巷改造、老旧小区提质、交通路网优化等民生工程，切实改善群众出行条件和居住环境。全面落实国家生态环保政策，加大污染防治、生态修复投入力度，持续改善区域生态环境质量。提升城市管理专业化、精细化、智慧化水平，完善城乡公共服务配套，打造宜居宜业的城乡环境，让群众共享城乡发展新成果。</w:t>
      </w:r>
    </w:p>
    <w:p w14:paraId="4EC60DDE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" w:eastAsia="楷体_GB2312" w:cs="楷体"/>
          <w:b/>
          <w:sz w:val="32"/>
          <w:szCs w:val="32"/>
        </w:rPr>
        <w:t>（四）工作措施</w:t>
      </w:r>
    </w:p>
    <w:p w14:paraId="654559DB">
      <w:pPr>
        <w:keepNext w:val="0"/>
        <w:keepLines w:val="0"/>
        <w:pageBreakBefore w:val="0"/>
        <w:pBdr>
          <w:bottom w:val="single" w:color="FFFFFF" w:sz="4" w:space="0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面对复杂严峻的经济形势和艰巨繁重的财政任务，为确保2026年预算平稳运行、财政可持续发展，全力服务全区中心工作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重点抓实抓好五个方面：</w:t>
      </w:r>
    </w:p>
    <w:p w14:paraId="03505A14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hint="eastAsia" w:ascii="仿宋_GB2312" w:hAnsi="方正仿宋简体" w:eastAsia="仿宋_GB2312" w:cs="方正仿宋简体"/>
          <w:b/>
          <w:bCs/>
          <w:sz w:val="32"/>
          <w:szCs w:val="32"/>
          <w:shd w:val="clear" w:color="auto" w:fill="FFFFFF"/>
        </w:rPr>
      </w:pPr>
      <w:r>
        <w:rPr>
          <w:rFonts w:hint="eastAsia" w:ascii="仿宋_GB2312" w:hAnsi="方正仿宋简体" w:eastAsia="仿宋_GB2312" w:cs="方正仿宋简体"/>
          <w:b/>
          <w:bCs/>
          <w:sz w:val="32"/>
          <w:szCs w:val="32"/>
          <w:shd w:val="clear" w:color="auto" w:fill="FFFFFF"/>
        </w:rPr>
        <w:t>1.更加注重统筹保障，提升预算执行质效</w:t>
      </w:r>
    </w:p>
    <w:p w14:paraId="1AD05007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eastAsia="PMingLiU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坚守“三保”底线不动摇。</w:t>
      </w:r>
      <w:r>
        <w:rPr>
          <w:rFonts w:hint="eastAsia" w:ascii="仿宋_GB2312" w:hAnsi="仿宋_GB2312" w:eastAsia="仿宋_GB2312" w:cs="仿宋_GB2312"/>
          <w:sz w:val="32"/>
          <w:szCs w:val="32"/>
        </w:rPr>
        <w:t>始终将“三保”支出作为预算安排的第一优先级次，建立健全“三保”资金动态监测和预警处置机制，以稳定可靠的经常性财力筑牢“三保”防线。牢固树立过“紧日子”理念，将其作为预算管理的长期基本方针，从严把控预算编制、审核、执行全流程关口，大力压减部门经常性支出及非刚性、非重点支出，从严管控“三公”经费、会议培训费和新增资产配置，有效推动行政运行成本持续下降。优化财政支出结构，坚持“有保有压、突出重点”原则，集中财力保障重大战略、重点项目建设、民生急需领域，加大教育、医疗、社保等民生领域投入，切实增进民生福祉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15D74EF9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hint="eastAsia" w:ascii="仿宋_GB2312" w:hAnsi="方正仿宋简体" w:eastAsia="仿宋_GB2312" w:cs="方正仿宋简体"/>
          <w:b/>
          <w:bCs/>
          <w:sz w:val="32"/>
          <w:szCs w:val="32"/>
          <w:shd w:val="clear" w:color="auto" w:fill="FFFFFF"/>
        </w:rPr>
      </w:pPr>
      <w:r>
        <w:rPr>
          <w:rFonts w:hint="eastAsia" w:ascii="仿宋_GB2312" w:hAnsi="方正仿宋简体" w:eastAsia="仿宋_GB2312" w:cs="方正仿宋简体"/>
          <w:b/>
          <w:bCs/>
          <w:sz w:val="32"/>
          <w:szCs w:val="32"/>
          <w:shd w:val="clear" w:color="auto" w:fill="FFFFFF"/>
        </w:rPr>
        <w:t>2.更加注重协同育财，提升财政发展后劲</w:t>
      </w:r>
    </w:p>
    <w:p w14:paraId="4A6F8FFA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综合施策狠抓收入。</w:t>
      </w:r>
      <w:r>
        <w:rPr>
          <w:rFonts w:hint="eastAsia" w:ascii="仿宋_GB2312" w:hAnsi="仿宋_GB2312" w:eastAsia="仿宋_GB2312" w:cs="仿宋_GB2312"/>
          <w:sz w:val="32"/>
          <w:szCs w:val="32"/>
        </w:rPr>
        <w:t>持续强化财源建设，聚焦区域主导产业和新兴产业，落实好结构性减税降费政策，培育壮大优质税源主体。坚决堵塞征管漏洞，确保“应减尽减、应收尽收、应征尽征”。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挖潜增效盘存量</w:t>
      </w:r>
      <w:r>
        <w:rPr>
          <w:rFonts w:hint="eastAsia" w:ascii="仿宋_GB2312" w:hAnsi="仿宋_GB2312" w:eastAsia="仿宋_GB2312" w:cs="仿宋_GB2312"/>
          <w:sz w:val="32"/>
          <w:szCs w:val="32"/>
        </w:rPr>
        <w:t>。积极盘活闲置国有资产、沉淀资金和低效运转项目资金，做优增量、盘活存量，实现存量资源高效利用。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多措并举争支持。</w:t>
      </w:r>
      <w:r>
        <w:rPr>
          <w:rFonts w:hint="eastAsia" w:ascii="仿宋_GB2312" w:hAnsi="仿宋_GB2312" w:eastAsia="仿宋_GB2312" w:cs="仿宋_GB2312"/>
          <w:sz w:val="32"/>
          <w:szCs w:val="32"/>
        </w:rPr>
        <w:t>提升各类政策性工具综合运用能力，全力争取超长期特别国债、专项债券及各类转移支付资金，全面提升财政保障水平。</w:t>
      </w:r>
    </w:p>
    <w:p w14:paraId="264C8DD4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hint="eastAsia" w:ascii="仿宋_GB2312" w:hAnsi="方正仿宋简体" w:eastAsia="仿宋_GB2312" w:cs="方正仿宋简体"/>
          <w:b/>
          <w:bCs/>
          <w:sz w:val="32"/>
          <w:szCs w:val="32"/>
          <w:shd w:val="clear" w:color="auto" w:fill="FFFFFF"/>
        </w:rPr>
      </w:pPr>
      <w:r>
        <w:rPr>
          <w:rFonts w:hint="eastAsia" w:ascii="仿宋_GB2312" w:hAnsi="方正仿宋简体" w:eastAsia="仿宋_GB2312" w:cs="方正仿宋简体"/>
          <w:b/>
          <w:bCs/>
          <w:sz w:val="32"/>
          <w:szCs w:val="32"/>
          <w:shd w:val="clear" w:color="auto" w:fill="FFFFFF"/>
        </w:rPr>
        <w:t>3.更加注重风险防控，提升财政安全屏障</w:t>
      </w:r>
    </w:p>
    <w:p w14:paraId="572D4450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坚决防范化解政府债务风险。</w:t>
      </w:r>
      <w:r>
        <w:rPr>
          <w:rFonts w:hint="eastAsia" w:ascii="仿宋_GB2312" w:hAnsi="仿宋_GB2312" w:eastAsia="仿宋_GB2312" w:cs="仿宋_GB2312"/>
          <w:sz w:val="32"/>
          <w:szCs w:val="32"/>
        </w:rPr>
        <w:t>健全“借、用、管、还”一体化债务管理机制，严控新增隐性债务，确保债务规模与区域财政经济发展水平相适应，维持在合理安全区间。严格规范政府债券资金管理，严把项目准入关，督促项目单位依法依规使用债券资金，压实</w:t>
      </w:r>
      <w:r>
        <w:rPr>
          <w:rFonts w:ascii="仿宋_GB2312" w:hAnsi="仿宋_GB2312" w:eastAsia="仿宋_GB2312" w:cs="仿宋_GB2312"/>
          <w:sz w:val="32"/>
          <w:szCs w:val="32"/>
        </w:rPr>
        <w:t>行业主管部门</w:t>
      </w:r>
      <w:r>
        <w:rPr>
          <w:rFonts w:hint="eastAsia" w:ascii="仿宋_GB2312" w:hAnsi="仿宋_GB2312" w:eastAsia="仿宋_GB2312" w:cs="仿宋_GB2312"/>
          <w:sz w:val="32"/>
          <w:szCs w:val="32"/>
        </w:rPr>
        <w:t>主体</w:t>
      </w:r>
      <w:r>
        <w:rPr>
          <w:rFonts w:ascii="仿宋_GB2312" w:hAnsi="仿宋_GB2312" w:eastAsia="仿宋_GB2312" w:cs="仿宋_GB2312"/>
          <w:sz w:val="32"/>
          <w:szCs w:val="32"/>
        </w:rPr>
        <w:t>责任，</w:t>
      </w:r>
      <w:r>
        <w:rPr>
          <w:rFonts w:hint="eastAsia" w:ascii="仿宋_GB2312" w:hAnsi="仿宋_GB2312" w:eastAsia="仿宋_GB2312" w:cs="仿宋_GB2312"/>
          <w:sz w:val="32"/>
          <w:szCs w:val="32"/>
        </w:rPr>
        <w:t>确保到期债券本息按时足额偿还。严密防范财政运行风险，统筹发展和安全，坚持化存量、遏增量，加强财政运行动态监测和风险预判预警，筑牢财政风险“防火墙”。</w:t>
      </w:r>
    </w:p>
    <w:p w14:paraId="77AFB681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hint="eastAsia" w:ascii="仿宋_GB2312" w:hAnsi="方正仿宋简体" w:eastAsia="仿宋_GB2312" w:cs="方正仿宋简体"/>
          <w:b/>
          <w:bCs/>
          <w:sz w:val="32"/>
          <w:szCs w:val="32"/>
          <w:shd w:val="clear" w:color="auto" w:fill="FFFFFF"/>
        </w:rPr>
      </w:pPr>
      <w:r>
        <w:rPr>
          <w:rFonts w:hint="eastAsia" w:ascii="仿宋_GB2312" w:hAnsi="方正仿宋简体" w:eastAsia="仿宋_GB2312" w:cs="方正仿宋简体"/>
          <w:b/>
          <w:bCs/>
          <w:sz w:val="32"/>
          <w:szCs w:val="32"/>
          <w:shd w:val="clear" w:color="auto" w:fill="FFFFFF"/>
        </w:rPr>
        <w:t>4.更加注重改革创新，提升预算绩效管理</w:t>
      </w:r>
    </w:p>
    <w:p w14:paraId="1783AD7B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eastAsia="PMingLiU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深化零基预算改革。</w:t>
      </w:r>
      <w:r>
        <w:rPr>
          <w:rFonts w:hint="eastAsia" w:ascii="仿宋_GB2312" w:hAnsi="仿宋_GB2312" w:eastAsia="仿宋_GB2312" w:cs="仿宋_GB2312"/>
          <w:sz w:val="32"/>
          <w:szCs w:val="32"/>
        </w:rPr>
        <w:t>打破“基数+增长”的传统预算编制模式，建立“预算编制有标准、预算执行有监控、预算完成有评价、评价结果有应用”的全过程预算管理链条。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深化预算绩效管理。</w:t>
      </w:r>
      <w:r>
        <w:rPr>
          <w:rFonts w:hint="eastAsia" w:ascii="仿宋_GB2312" w:hAnsi="仿宋_GB2312" w:eastAsia="仿宋_GB2312" w:cs="仿宋_GB2312"/>
          <w:sz w:val="32"/>
          <w:szCs w:val="32"/>
        </w:rPr>
        <w:t>将绩效管理深度融入预算编制、执行、监督全过程，持续构建事前、事中、事后绩效闭环管理机制，对绩效目标实现程度和预算执行进度实行“双监控”，做到“花钱必问效、无效必问责”</w:t>
      </w:r>
      <w:r>
        <w:rPr>
          <w:rFonts w:hint="eastAsia" w:ascii="仿宋_GB2312" w:eastAsia="仿宋_GB2312"/>
          <w:sz w:val="32"/>
          <w:szCs w:val="32"/>
        </w:rPr>
        <w:t>，推动财政资金从“重投入”向“重效益”转变，切实提高资金使用效益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深化国资国企改革。</w:t>
      </w:r>
      <w:r>
        <w:rPr>
          <w:rFonts w:hint="eastAsia" w:ascii="仿宋_GB2312" w:hAnsi="仿宋_GB2312" w:eastAsia="仿宋_GB2312" w:cs="仿宋_GB2312"/>
          <w:sz w:val="32"/>
          <w:szCs w:val="32"/>
        </w:rPr>
        <w:t>整合区属国有平台公司，壮大国有平台公司资产规模，成立国信建设产业发展集团有限公司，打造信用评级为A</w:t>
      </w:r>
      <w:r>
        <w:rPr>
          <w:rFonts w:ascii="仿宋_GB2312" w:hAnsi="仿宋_GB2312" w:eastAsia="仿宋_GB2312" w:cs="仿宋_GB2312"/>
          <w:sz w:val="32"/>
          <w:szCs w:val="32"/>
        </w:rPr>
        <w:t>A+</w:t>
      </w:r>
      <w:r>
        <w:rPr>
          <w:rFonts w:hint="eastAsia" w:ascii="仿宋_GB2312" w:hAnsi="仿宋_GB2312" w:eastAsia="仿宋_GB2312" w:cs="仿宋_GB2312"/>
          <w:sz w:val="32"/>
          <w:szCs w:val="32"/>
        </w:rPr>
        <w:t>国有企业，进一步拓宽融资渠道，降低融资成本，为区域经济发展提供有力的资金支撑。</w:t>
      </w:r>
    </w:p>
    <w:p w14:paraId="265D51DE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hint="eastAsia" w:ascii="仿宋_GB2312" w:hAnsi="方正仿宋简体" w:eastAsia="仿宋_GB2312" w:cs="方正仿宋简体"/>
          <w:b/>
          <w:bCs/>
          <w:sz w:val="32"/>
          <w:szCs w:val="32"/>
          <w:shd w:val="clear" w:color="auto" w:fill="FFFFFF"/>
        </w:rPr>
      </w:pPr>
      <w:r>
        <w:rPr>
          <w:rFonts w:hint="eastAsia" w:ascii="仿宋_GB2312" w:hAnsi="方正仿宋简体" w:eastAsia="仿宋_GB2312" w:cs="方正仿宋简体"/>
          <w:b/>
          <w:bCs/>
          <w:sz w:val="32"/>
          <w:szCs w:val="32"/>
          <w:shd w:val="clear" w:color="auto" w:fill="FFFFFF"/>
        </w:rPr>
        <w:t>5.更加注重协同发力，提升财会监督约束力</w:t>
      </w:r>
    </w:p>
    <w:p w14:paraId="0D0BCF37">
      <w:pPr>
        <w:keepNext w:val="0"/>
        <w:keepLines w:val="0"/>
        <w:pageBreakBefore w:val="0"/>
        <w:pBdr>
          <w:bottom w:val="single" w:color="FFFFFF" w:sz="4" w:space="1"/>
        </w:pBdr>
        <w:kinsoku/>
        <w:wordWrap/>
        <w:topLinePunct/>
        <w:autoSpaceDE/>
        <w:autoSpaceDN/>
        <w:bidi w:val="0"/>
        <w:adjustRightInd/>
        <w:snapToGrid/>
        <w:spacing w:line="570" w:lineRule="exact"/>
        <w:ind w:firstLine="643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构建全方位、多层次、立体化的财会监督新格局。</w:t>
      </w:r>
      <w:r>
        <w:rPr>
          <w:rFonts w:hint="eastAsia" w:ascii="仿宋_GB2312" w:eastAsia="仿宋_GB2312"/>
          <w:sz w:val="32"/>
          <w:szCs w:val="32"/>
        </w:rPr>
        <w:t>聚焦重点领域开展专项监督，紧盯民生资金、重大项目资金等关键领域，持续开展财政监督检查，重点实施预决算信息公开、会计信息质量检查，切实提升专项监督实效，促进财政资金规范安全运行。</w:t>
      </w:r>
    </w:p>
    <w:p w14:paraId="5B487235">
      <w:pPr>
        <w:keepNext w:val="0"/>
        <w:keepLines w:val="0"/>
        <w:pageBreakBefore w:val="0"/>
        <w:pBdr>
          <w:bottom w:val="single" w:color="FFFFFF" w:sz="4" w:space="12"/>
        </w:pBdr>
        <w:kinsoku/>
        <w:wordWrap/>
        <w:overflowPunct w:val="0"/>
        <w:autoSpaceDE/>
        <w:autoSpaceDN/>
        <w:bidi w:val="0"/>
        <w:adjustRightInd/>
        <w:snapToGrid/>
        <w:spacing w:line="570" w:lineRule="exact"/>
        <w:ind w:firstLine="640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各位代表，“山海寻梦，不觉其远；前路迢迢，阔步而行”。</w:t>
      </w:r>
      <w:r>
        <w:rPr>
          <w:rFonts w:hint="eastAsia" w:ascii="仿宋_GB2312" w:hAnsi="仿宋" w:eastAsia="仿宋_GB2312"/>
          <w:sz w:val="32"/>
          <w:szCs w:val="32"/>
        </w:rPr>
        <w:t>2026</w:t>
      </w:r>
      <w:r>
        <w:rPr>
          <w:rFonts w:hint="eastAsia" w:ascii="仿宋_GB2312" w:hAnsi="仿宋_GB2312" w:eastAsia="仿宋_GB2312" w:cs="仿宋_GB2312"/>
          <w:sz w:val="32"/>
          <w:szCs w:val="32"/>
        </w:rPr>
        <w:t>年是全面实施“十五五”规划开局之年，财政工作责任重大、使命光荣，我们将在区委的坚强领导下，自觉接受人大监督，认真听取政协意见，强化责任担当，积极主动作为，锚定目标、笃行实干，抓实预算执行，筑牢财政根基，为奋力谱写中国式现代化建设莲池新篇章贡献财政力量！</w:t>
      </w:r>
    </w:p>
    <w:p w14:paraId="18A87E51">
      <w:pPr>
        <w:pBdr>
          <w:bottom w:val="single" w:color="FFFFFF" w:sz="4" w:space="12"/>
        </w:pBdr>
        <w:overflowPunct w:val="0"/>
        <w:spacing w:line="560" w:lineRule="exact"/>
        <w:ind w:firstLine="640" w:firstLineChars="200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5C1F56B3">
      <w:pPr>
        <w:pBdr>
          <w:bottom w:val="single" w:color="FFFFFF" w:sz="4" w:space="12"/>
        </w:pBdr>
        <w:overflowPunct w:val="0"/>
        <w:spacing w:line="560" w:lineRule="exact"/>
        <w:ind w:firstLine="640" w:firstLineChars="200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7958B069">
      <w:pPr>
        <w:pBdr>
          <w:bottom w:val="single" w:color="FFFFFF" w:sz="4" w:space="12"/>
        </w:pBdr>
        <w:overflowPunct w:val="0"/>
        <w:spacing w:line="560" w:lineRule="exact"/>
        <w:ind w:firstLine="640" w:firstLineChars="200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60408294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7619E7A2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29B94707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0F5AB609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47C72DDD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4C335C04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08FACCDB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692C2C05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4B24656D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39CF8339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21133ABB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79DC0E56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7F72DF00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 w14:paraId="194636D8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tbl>
      <w:tblPr>
        <w:tblStyle w:val="9"/>
        <w:tblW w:w="5000" w:type="pct"/>
        <w:tblInd w:w="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4014"/>
        <w:gridCol w:w="4738"/>
      </w:tblGrid>
      <w:tr w14:paraId="459C1E8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3" w:hRule="atLeast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9C2D1">
            <w:pPr>
              <w:overflowPunct w:val="0"/>
              <w:spacing w:line="560" w:lineRule="exact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附表一</w:t>
            </w:r>
          </w:p>
          <w:p w14:paraId="7119C8E7"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bCs/>
                <w:sz w:val="36"/>
                <w:szCs w:val="36"/>
              </w:rPr>
              <w:t>202</w:t>
            </w:r>
            <w:r>
              <w:rPr>
                <w:rFonts w:eastAsia="PMingLiU" w:asciiTheme="majorEastAsia" w:hAnsiTheme="majorEastAsia"/>
                <w:b/>
                <w:bCs/>
                <w:sz w:val="36"/>
                <w:szCs w:val="36"/>
              </w:rPr>
              <w:t>5</w:t>
            </w:r>
            <w:r>
              <w:rPr>
                <w:rFonts w:asciiTheme="majorEastAsia" w:hAnsiTheme="majorEastAsia" w:eastAsiaTheme="majorEastAsia"/>
                <w:b/>
                <w:bCs/>
                <w:sz w:val="36"/>
                <w:szCs w:val="36"/>
              </w:rPr>
              <w:t>年一般公共预算收入完成情况</w:t>
            </w:r>
          </w:p>
        </w:tc>
      </w:tr>
      <w:tr w14:paraId="59F0151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3" w:hRule="atLeast"/>
        </w:trPr>
        <w:tc>
          <w:tcPr>
            <w:tcW w:w="2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0ACC0">
            <w:pPr>
              <w:jc w:val="center"/>
              <w:rPr>
                <w:sz w:val="22"/>
              </w:rPr>
            </w:pP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4F93CC14">
            <w:pPr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单位：万元</w:t>
            </w:r>
          </w:p>
        </w:tc>
      </w:tr>
      <w:tr w14:paraId="1C35434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D08D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b/>
                <w:bCs/>
                <w:sz w:val="28"/>
                <w:szCs w:val="24"/>
              </w:rPr>
            </w:pPr>
            <w:r>
              <w:rPr>
                <w:rFonts w:hint="eastAsia"/>
                <w:b/>
                <w:bCs/>
                <w:sz w:val="28"/>
                <w:szCs w:val="24"/>
              </w:rPr>
              <w:t>项     目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6620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b/>
                <w:bCs/>
                <w:sz w:val="28"/>
                <w:szCs w:val="24"/>
              </w:rPr>
            </w:pPr>
            <w:r>
              <w:rPr>
                <w:rFonts w:hint="eastAsia"/>
                <w:b/>
                <w:bCs/>
                <w:sz w:val="28"/>
                <w:szCs w:val="24"/>
              </w:rPr>
              <w:t>金  额</w:t>
            </w:r>
          </w:p>
        </w:tc>
      </w:tr>
      <w:tr w14:paraId="4292BEF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975B1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b/>
                <w:bCs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8"/>
                <w:szCs w:val="24"/>
              </w:rPr>
              <w:t>一、公共财政预算收入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02DC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b/>
                <w:bCs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8"/>
                <w:szCs w:val="24"/>
              </w:rPr>
              <w:t>371231</w:t>
            </w:r>
          </w:p>
        </w:tc>
      </w:tr>
      <w:tr w14:paraId="32F135E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CF208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b/>
                <w:bCs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8"/>
                <w:szCs w:val="24"/>
              </w:rPr>
              <w:t>（一）税收收入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55F02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b/>
                <w:bCs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8"/>
                <w:szCs w:val="24"/>
              </w:rPr>
              <w:t>359997</w:t>
            </w:r>
          </w:p>
        </w:tc>
      </w:tr>
      <w:tr w14:paraId="563F2AE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17A5F3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增值税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60617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b/>
                <w:bCs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111473</w:t>
            </w:r>
          </w:p>
        </w:tc>
      </w:tr>
      <w:tr w14:paraId="0CE5C14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632D6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企业所得税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53E8DE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35168</w:t>
            </w:r>
          </w:p>
        </w:tc>
      </w:tr>
      <w:tr w14:paraId="339789D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751E9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个人所得税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3146A6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23158</w:t>
            </w:r>
          </w:p>
        </w:tc>
      </w:tr>
      <w:tr w14:paraId="1BA4188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6EBBF5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资源税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0AA10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695</w:t>
            </w:r>
          </w:p>
        </w:tc>
      </w:tr>
      <w:tr w14:paraId="4F1464E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5A0760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城市维护建设税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5EAED8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56349</w:t>
            </w:r>
          </w:p>
        </w:tc>
      </w:tr>
      <w:tr w14:paraId="34EFA5D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7E18DE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房产税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34342B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16543</w:t>
            </w:r>
          </w:p>
        </w:tc>
      </w:tr>
      <w:tr w14:paraId="791DBDC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047CDC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印花税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0EB5D1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11581</w:t>
            </w:r>
          </w:p>
        </w:tc>
      </w:tr>
      <w:tr w14:paraId="46CA6F8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F6E71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城镇土地使用税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26426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5543</w:t>
            </w:r>
          </w:p>
        </w:tc>
      </w:tr>
      <w:tr w14:paraId="02E079C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37F27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土地增值税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629B72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41999</w:t>
            </w:r>
          </w:p>
        </w:tc>
      </w:tr>
      <w:tr w14:paraId="0154834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5F1028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车船税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01463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7921</w:t>
            </w:r>
          </w:p>
        </w:tc>
      </w:tr>
      <w:tr w14:paraId="0816D87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55590C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耕地占用税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052D5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1076</w:t>
            </w:r>
          </w:p>
        </w:tc>
      </w:tr>
      <w:tr w14:paraId="029A2D0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E2745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契税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356E9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48287</w:t>
            </w:r>
          </w:p>
        </w:tc>
      </w:tr>
      <w:tr w14:paraId="7520002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2413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环境保护税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3F07D9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202</w:t>
            </w:r>
          </w:p>
        </w:tc>
      </w:tr>
      <w:tr w14:paraId="20B4150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4081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其他税收收入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399E4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2</w:t>
            </w:r>
          </w:p>
        </w:tc>
      </w:tr>
      <w:tr w14:paraId="04F45F5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E5384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ajorEastAsia" w:hAnsiTheme="majorEastAsia" w:eastAsiaTheme="majorEastAsia"/>
                <w:sz w:val="28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 w:val="28"/>
                <w:szCs w:val="24"/>
              </w:rPr>
              <w:t>（二）非税收入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48E18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ajorEastAsia" w:hAnsiTheme="majorEastAsia" w:eastAsiaTheme="majorEastAsia"/>
                <w:sz w:val="28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 w:val="28"/>
                <w:szCs w:val="24"/>
              </w:rPr>
              <w:t>11234</w:t>
            </w:r>
          </w:p>
        </w:tc>
      </w:tr>
      <w:tr w14:paraId="0E1D5C6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D56D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b/>
                <w:bCs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专项收入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FC029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b/>
                <w:bCs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6260</w:t>
            </w:r>
          </w:p>
        </w:tc>
      </w:tr>
      <w:tr w14:paraId="0274EEE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2C29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行政事业性收费收入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B5716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1504</w:t>
            </w:r>
          </w:p>
        </w:tc>
      </w:tr>
      <w:tr w14:paraId="4EEB796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7065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罚没收入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A18B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1764</w:t>
            </w:r>
          </w:p>
        </w:tc>
      </w:tr>
      <w:tr w14:paraId="38EC759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F22B3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国有资本经营收入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BD9F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</w:p>
        </w:tc>
      </w:tr>
      <w:tr w14:paraId="2E827A5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D37AC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国有资源(资产)有偿使用收入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9F991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1696</w:t>
            </w:r>
          </w:p>
        </w:tc>
      </w:tr>
      <w:tr w14:paraId="338A686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5" w:hRule="exact"/>
        </w:trPr>
        <w:tc>
          <w:tcPr>
            <w:tcW w:w="229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5061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政府住房基金收入</w:t>
            </w:r>
          </w:p>
        </w:tc>
        <w:tc>
          <w:tcPr>
            <w:tcW w:w="2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161BB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Theme="minorEastAsia" w:hAnsiTheme="minorEastAsia"/>
                <w:sz w:val="28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4"/>
              </w:rPr>
              <w:t>10</w:t>
            </w:r>
          </w:p>
        </w:tc>
      </w:tr>
    </w:tbl>
    <w:p w14:paraId="239979B0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hint="eastAsia" w:asciiTheme="majorEastAsia" w:hAnsiTheme="majorEastAsia" w:eastAsiaTheme="majorEastAsia"/>
          <w:b/>
          <w:bCs/>
          <w:sz w:val="28"/>
          <w:szCs w:val="28"/>
        </w:rPr>
      </w:pPr>
    </w:p>
    <w:p w14:paraId="47D1AC6C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cs="仿宋_GB2312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t>附表二</w:t>
      </w:r>
    </w:p>
    <w:tbl>
      <w:tblPr>
        <w:tblStyle w:val="9"/>
        <w:tblW w:w="5000" w:type="pct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5281"/>
        <w:gridCol w:w="3471"/>
      </w:tblGrid>
      <w:tr w14:paraId="56CC5BD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5" w:hRule="atLeast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34044573">
            <w:pPr>
              <w:widowControl/>
              <w:jc w:val="center"/>
              <w:rPr>
                <w:rFonts w:asciiTheme="majorEastAsia" w:hAnsiTheme="majorEastAsia" w:eastAsiaTheme="majorEastAsia"/>
                <w:b/>
                <w:bCs/>
                <w:sz w:val="28"/>
                <w:szCs w:val="28"/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2025年一般公共预算支出完成情况</w:t>
            </w:r>
          </w:p>
        </w:tc>
      </w:tr>
      <w:tr w14:paraId="3CEA940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  <w:jc w:val="center"/>
        </w:trPr>
        <w:tc>
          <w:tcPr>
            <w:tcW w:w="3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105211F1">
            <w:pPr>
              <w:jc w:val="center"/>
              <w:rPr>
                <w:rFonts w:eastAsia="PMingLiU"/>
                <w:b/>
                <w:bCs/>
              </w:rPr>
            </w:pPr>
          </w:p>
        </w:tc>
        <w:tc>
          <w:tcPr>
            <w:tcW w:w="1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5766ED53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/>
                <w:sz w:val="28"/>
                <w:szCs w:val="28"/>
              </w:rPr>
              <w:t>单位：万元</w:t>
            </w:r>
          </w:p>
        </w:tc>
      </w:tr>
      <w:tr w14:paraId="22EEC85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 w14:paraId="777E2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项目</w:t>
            </w:r>
          </w:p>
        </w:tc>
        <w:tc>
          <w:tcPr>
            <w:tcW w:w="198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 w14:paraId="03933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合计</w:t>
            </w:r>
          </w:p>
        </w:tc>
      </w:tr>
      <w:tr w14:paraId="5BD482A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 w14:paraId="7A774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一、一般公共预算支出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 w14:paraId="1E12E4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323465</w:t>
            </w:r>
          </w:p>
        </w:tc>
      </w:tr>
      <w:tr w14:paraId="2961E1A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466DF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一般公共服务支出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475E12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40783</w:t>
            </w:r>
          </w:p>
        </w:tc>
      </w:tr>
      <w:tr w14:paraId="3C791EA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41829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国防支出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69DDBE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19E1736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36C62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公共安全支出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29B386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5282</w:t>
            </w:r>
          </w:p>
        </w:tc>
      </w:tr>
      <w:tr w14:paraId="713BD23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520AF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教育支出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562D1B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77279</w:t>
            </w:r>
          </w:p>
        </w:tc>
      </w:tr>
      <w:tr w14:paraId="39181D4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026C0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科学技术支出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7A45CF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4619</w:t>
            </w:r>
          </w:p>
        </w:tc>
      </w:tr>
      <w:tr w14:paraId="7280928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0271B0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文化旅游体育与传媒支出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4B555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843</w:t>
            </w:r>
          </w:p>
        </w:tc>
      </w:tr>
      <w:tr w14:paraId="52F3E03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316DF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社会保障和就业支出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21159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92132</w:t>
            </w:r>
          </w:p>
        </w:tc>
      </w:tr>
      <w:tr w14:paraId="1E22F39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40CBDE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卫生健康支出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02276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30679</w:t>
            </w:r>
          </w:p>
        </w:tc>
      </w:tr>
      <w:tr w14:paraId="3E4DBA7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33002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节能环保支出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6B5B09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1094</w:t>
            </w:r>
          </w:p>
        </w:tc>
      </w:tr>
      <w:tr w14:paraId="6F39FA7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79F98F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城乡社区支出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41AC4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13572</w:t>
            </w:r>
          </w:p>
        </w:tc>
      </w:tr>
      <w:tr w14:paraId="0F968F6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2C924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农林水支出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6C22C8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7042</w:t>
            </w:r>
          </w:p>
        </w:tc>
      </w:tr>
      <w:tr w14:paraId="3A5BC7B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3D8B1F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交通运输支出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1E320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1897F4A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337918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资源勘探工业信息等支出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2C64C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3207</w:t>
            </w:r>
          </w:p>
        </w:tc>
      </w:tr>
      <w:tr w14:paraId="7888453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7363A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商业服务业等支出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2C4599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3025</w:t>
            </w:r>
          </w:p>
        </w:tc>
      </w:tr>
      <w:tr w14:paraId="6AD1454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31D3E3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金融支出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70A0D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</w:t>
            </w:r>
          </w:p>
        </w:tc>
      </w:tr>
      <w:tr w14:paraId="0D2455C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7491E2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自然资源海洋气象等支出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4551E4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846</w:t>
            </w:r>
          </w:p>
        </w:tc>
      </w:tr>
      <w:tr w14:paraId="25E81E4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12AC7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住房保障支出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59B07D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36155</w:t>
            </w:r>
          </w:p>
        </w:tc>
      </w:tr>
      <w:tr w14:paraId="34ADD38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187B2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粮油物资储备支出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11D77A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</w:t>
            </w:r>
          </w:p>
        </w:tc>
      </w:tr>
      <w:tr w14:paraId="69292DA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17A22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灾害防治及应急管理支出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74C03B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5314</w:t>
            </w:r>
          </w:p>
        </w:tc>
      </w:tr>
      <w:tr w14:paraId="4A1AE16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1C6B96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其他支出(类)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135C1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073FFAC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743631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债务付息支出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0E32A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1575</w:t>
            </w:r>
          </w:p>
        </w:tc>
      </w:tr>
      <w:tr w14:paraId="3E12312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8" w:hRule="atLeast"/>
          <w:jc w:val="center"/>
        </w:trPr>
        <w:tc>
          <w:tcPr>
            <w:tcW w:w="301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top"/>
          </w:tcPr>
          <w:p w14:paraId="4B4BA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债务发行费用支出</w:t>
            </w:r>
          </w:p>
        </w:tc>
        <w:tc>
          <w:tcPr>
            <w:tcW w:w="198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top"/>
          </w:tcPr>
          <w:p w14:paraId="6EE21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16</w:t>
            </w:r>
          </w:p>
        </w:tc>
      </w:tr>
    </w:tbl>
    <w:p w14:paraId="21082B5D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hint="eastAsia" w:cs="Times New Roman" w:asciiTheme="majorEastAsia" w:hAnsiTheme="majorEastAsia" w:eastAsiaTheme="majorEastAsia"/>
          <w:b/>
          <w:bCs/>
          <w:sz w:val="28"/>
          <w:szCs w:val="28"/>
        </w:rPr>
      </w:pPr>
      <w:r>
        <w:rPr>
          <w:rFonts w:hint="eastAsia" w:cs="Times New Roman" w:asciiTheme="majorEastAsia" w:hAnsiTheme="majorEastAsia" w:eastAsiaTheme="majorEastAsia"/>
          <w:b/>
          <w:bCs/>
          <w:sz w:val="28"/>
          <w:szCs w:val="28"/>
        </w:rPr>
        <w:t>附表三</w:t>
      </w:r>
    </w:p>
    <w:p w14:paraId="4B1FDBA8">
      <w:pPr>
        <w:widowControl/>
        <w:jc w:val="center"/>
        <w:rPr>
          <w:rFonts w:hint="eastAsia" w:cs="Times New Roman" w:asciiTheme="majorEastAsia" w:hAnsiTheme="majorEastAsia" w:eastAsiaTheme="majorEastAsia"/>
          <w:b/>
          <w:bCs/>
          <w:sz w:val="36"/>
          <w:szCs w:val="36"/>
        </w:rPr>
      </w:pPr>
      <w:r>
        <w:rPr>
          <w:rFonts w:hint="eastAsia" w:cs="Times New Roman" w:asciiTheme="majorEastAsia" w:hAnsiTheme="majorEastAsia" w:eastAsiaTheme="majorEastAsia"/>
          <w:b/>
          <w:bCs/>
          <w:sz w:val="36"/>
          <w:szCs w:val="36"/>
        </w:rPr>
        <w:t>2025年一般公共预算平衡情况</w:t>
      </w:r>
    </w:p>
    <w:tbl>
      <w:tblPr>
        <w:tblStyle w:val="9"/>
        <w:tblW w:w="4997" w:type="pct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460"/>
        <w:gridCol w:w="1755"/>
        <w:gridCol w:w="2595"/>
        <w:gridCol w:w="1937"/>
      </w:tblGrid>
      <w:tr w14:paraId="7F56AE3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67" w:hRule="atLeast"/>
          <w:jc w:val="center"/>
        </w:trPr>
        <w:tc>
          <w:tcPr>
            <w:tcW w:w="2409" w:type="pct"/>
            <w:gridSpan w:val="2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52DB94EB">
            <w:pPr>
              <w:widowControl/>
              <w:spacing w:before="156" w:beforeLines="50" w:after="156" w:afterLines="50"/>
              <w:rPr>
                <w:rFonts w:ascii="宋体" w:hAnsi="宋体" w:cs="宋体"/>
                <w:sz w:val="22"/>
              </w:rPr>
            </w:pPr>
          </w:p>
        </w:tc>
        <w:tc>
          <w:tcPr>
            <w:tcW w:w="148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7C8E9A75">
            <w:pPr>
              <w:widowControl/>
              <w:spacing w:before="156" w:beforeLines="50" w:after="156" w:afterLines="5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10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bottom"/>
          </w:tcPr>
          <w:p w14:paraId="29636A01">
            <w:pPr>
              <w:jc w:val="righ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 xml:space="preserve"> 单位：万元</w:t>
            </w:r>
          </w:p>
        </w:tc>
      </w:tr>
      <w:tr w14:paraId="4C5864D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exact"/>
          <w:jc w:val="center"/>
        </w:trPr>
        <w:tc>
          <w:tcPr>
            <w:tcW w:w="1406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7260933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收入</w:t>
            </w:r>
          </w:p>
        </w:tc>
        <w:tc>
          <w:tcPr>
            <w:tcW w:w="100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B8C42C8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预算数</w:t>
            </w:r>
          </w:p>
        </w:tc>
        <w:tc>
          <w:tcPr>
            <w:tcW w:w="148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3EC2CE8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支出</w:t>
            </w:r>
          </w:p>
        </w:tc>
        <w:tc>
          <w:tcPr>
            <w:tcW w:w="11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AFFD9F0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预算数</w:t>
            </w:r>
          </w:p>
        </w:tc>
      </w:tr>
      <w:tr w14:paraId="5366490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exact"/>
          <w:jc w:val="center"/>
        </w:trPr>
        <w:tc>
          <w:tcPr>
            <w:tcW w:w="1406" w:type="pc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 w14:paraId="336B4CCB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一般公共预算收入</w:t>
            </w:r>
          </w:p>
        </w:tc>
        <w:tc>
          <w:tcPr>
            <w:tcW w:w="100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BE94613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371231</w:t>
            </w:r>
          </w:p>
        </w:tc>
        <w:tc>
          <w:tcPr>
            <w:tcW w:w="148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B489C42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一般公共预算支出</w:t>
            </w:r>
          </w:p>
        </w:tc>
        <w:tc>
          <w:tcPr>
            <w:tcW w:w="11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DAE453E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323465</w:t>
            </w:r>
          </w:p>
        </w:tc>
      </w:tr>
      <w:tr w14:paraId="1451E3E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exact"/>
          <w:jc w:val="center"/>
        </w:trPr>
        <w:tc>
          <w:tcPr>
            <w:tcW w:w="140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5109AAB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上级补助收入</w:t>
            </w:r>
          </w:p>
        </w:tc>
        <w:tc>
          <w:tcPr>
            <w:tcW w:w="100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17E0609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299027</w:t>
            </w:r>
          </w:p>
        </w:tc>
        <w:tc>
          <w:tcPr>
            <w:tcW w:w="148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1A103CD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上解支出</w:t>
            </w:r>
          </w:p>
        </w:tc>
        <w:tc>
          <w:tcPr>
            <w:tcW w:w="11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868951A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286631</w:t>
            </w:r>
          </w:p>
        </w:tc>
      </w:tr>
      <w:tr w14:paraId="76B603F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exact"/>
          <w:jc w:val="center"/>
        </w:trPr>
        <w:tc>
          <w:tcPr>
            <w:tcW w:w="1406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D59F698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调入资金</w:t>
            </w:r>
          </w:p>
        </w:tc>
        <w:tc>
          <w:tcPr>
            <w:tcW w:w="100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949E951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　</w:t>
            </w:r>
          </w:p>
        </w:tc>
        <w:tc>
          <w:tcPr>
            <w:tcW w:w="148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CE56BC3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安排预算稳定调节基金</w:t>
            </w:r>
          </w:p>
        </w:tc>
        <w:tc>
          <w:tcPr>
            <w:tcW w:w="11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181983C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　</w:t>
            </w:r>
          </w:p>
        </w:tc>
      </w:tr>
      <w:tr w14:paraId="3F4063B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exact"/>
          <w:jc w:val="center"/>
        </w:trPr>
        <w:tc>
          <w:tcPr>
            <w:tcW w:w="1406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B9D22A5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上年结转</w:t>
            </w:r>
          </w:p>
        </w:tc>
        <w:tc>
          <w:tcPr>
            <w:tcW w:w="100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E5251BE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10331</w:t>
            </w:r>
          </w:p>
        </w:tc>
        <w:tc>
          <w:tcPr>
            <w:tcW w:w="148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FF816E6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结转下年支出</w:t>
            </w:r>
          </w:p>
        </w:tc>
        <w:tc>
          <w:tcPr>
            <w:tcW w:w="11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4FFFF73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40421</w:t>
            </w:r>
          </w:p>
        </w:tc>
      </w:tr>
      <w:tr w14:paraId="3BC6662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exact"/>
          <w:jc w:val="center"/>
        </w:trPr>
        <w:tc>
          <w:tcPr>
            <w:tcW w:w="1406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2522FA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调入预算稳定调节基金</w:t>
            </w:r>
          </w:p>
        </w:tc>
        <w:tc>
          <w:tcPr>
            <w:tcW w:w="100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8295091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0</w:t>
            </w:r>
          </w:p>
        </w:tc>
        <w:tc>
          <w:tcPr>
            <w:tcW w:w="148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1A8E0E0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调出资金</w:t>
            </w:r>
          </w:p>
        </w:tc>
        <w:tc>
          <w:tcPr>
            <w:tcW w:w="11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FAA0B82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49072</w:t>
            </w:r>
          </w:p>
        </w:tc>
      </w:tr>
      <w:tr w14:paraId="470DD57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exact"/>
          <w:jc w:val="center"/>
        </w:trPr>
        <w:tc>
          <w:tcPr>
            <w:tcW w:w="1406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0ED63D6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债券收入</w:t>
            </w:r>
          </w:p>
        </w:tc>
        <w:tc>
          <w:tcPr>
            <w:tcW w:w="100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2BEF91B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19700</w:t>
            </w:r>
          </w:p>
        </w:tc>
        <w:tc>
          <w:tcPr>
            <w:tcW w:w="148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88FC19A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债务还本支出</w:t>
            </w:r>
          </w:p>
        </w:tc>
        <w:tc>
          <w:tcPr>
            <w:tcW w:w="11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9B482B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700</w:t>
            </w:r>
          </w:p>
        </w:tc>
      </w:tr>
      <w:tr w14:paraId="0BA3EF8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exact"/>
          <w:jc w:val="center"/>
        </w:trPr>
        <w:tc>
          <w:tcPr>
            <w:tcW w:w="1406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4BFA9A2">
            <w:pPr>
              <w:widowControl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一般公共预算总收入</w:t>
            </w:r>
          </w:p>
        </w:tc>
        <w:tc>
          <w:tcPr>
            <w:tcW w:w="100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204A154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700289</w:t>
            </w:r>
          </w:p>
        </w:tc>
        <w:tc>
          <w:tcPr>
            <w:tcW w:w="148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6D72FDC">
            <w:pPr>
              <w:widowControl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一般公共预算总支出</w:t>
            </w:r>
          </w:p>
        </w:tc>
        <w:tc>
          <w:tcPr>
            <w:tcW w:w="11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9B7258C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700289</w:t>
            </w:r>
          </w:p>
        </w:tc>
      </w:tr>
    </w:tbl>
    <w:p w14:paraId="2D814AF4">
      <w:pPr>
        <w:pBdr>
          <w:bottom w:val="single" w:color="FFFFFF" w:sz="4" w:space="12"/>
        </w:pBdr>
        <w:overflowPunct w:val="0"/>
        <w:spacing w:line="560" w:lineRule="exact"/>
        <w:contextualSpacing/>
        <w:rPr>
          <w:rFonts w:hint="eastAsia" w:asciiTheme="majorEastAsia" w:hAnsiTheme="majorEastAsia" w:eastAsiaTheme="majorEastAsia"/>
          <w:b/>
          <w:bCs/>
          <w:sz w:val="28"/>
          <w:szCs w:val="28"/>
        </w:rPr>
      </w:pPr>
    </w:p>
    <w:p w14:paraId="4319CCA8">
      <w:pPr>
        <w:rPr>
          <w:rFonts w:hint="eastAsia" w:asciiTheme="majorEastAsia" w:hAnsiTheme="majorEastAsia" w:eastAsia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br w:type="page"/>
      </w:r>
    </w:p>
    <w:p w14:paraId="50F66143">
      <w:pPr>
        <w:overflowPunct w:val="0"/>
        <w:spacing w:line="560" w:lineRule="exact"/>
        <w:contextualSpacing/>
        <w:rPr>
          <w:rFonts w:hint="eastAsia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附表四</w:t>
      </w:r>
    </w:p>
    <w:p w14:paraId="7304EC19">
      <w:pPr>
        <w:widowControl/>
        <w:jc w:val="center"/>
        <w:rPr>
          <w:rFonts w:hint="eastAsia" w:cs="Times New Roman" w:asciiTheme="majorEastAsia" w:hAnsiTheme="majorEastAsia" w:eastAsiaTheme="majorEastAsia"/>
          <w:b/>
          <w:bCs/>
          <w:sz w:val="36"/>
          <w:szCs w:val="36"/>
        </w:rPr>
      </w:pPr>
      <w:r>
        <w:rPr>
          <w:rFonts w:hint="eastAsia" w:cs="Times New Roman" w:asciiTheme="majorEastAsia" w:hAnsiTheme="majorEastAsia" w:eastAsiaTheme="majorEastAsia"/>
          <w:b/>
          <w:bCs/>
          <w:sz w:val="36"/>
          <w:szCs w:val="36"/>
        </w:rPr>
        <w:t>2025年政府性基金收支预算情况</w:t>
      </w:r>
    </w:p>
    <w:tbl>
      <w:tblPr>
        <w:tblStyle w:val="9"/>
        <w:tblW w:w="4999" w:type="pct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3364"/>
        <w:gridCol w:w="1236"/>
        <w:gridCol w:w="2875"/>
        <w:gridCol w:w="1275"/>
      </w:tblGrid>
      <w:tr w14:paraId="1BEBB4C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  <w:jc w:val="center"/>
        </w:trPr>
        <w:tc>
          <w:tcPr>
            <w:tcW w:w="1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2711D">
            <w:pPr>
              <w:spacing w:before="156" w:beforeLines="50" w:after="156" w:afterLines="50"/>
              <w:rPr>
                <w:rFonts w:ascii="宋体" w:hAnsi="宋体" w:cs="宋体"/>
                <w:sz w:val="22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C7B21">
            <w:pPr>
              <w:widowControl/>
              <w:rPr>
                <w:rFonts w:ascii="宋体" w:hAnsi="宋体" w:cs="宋体"/>
                <w:sz w:val="22"/>
              </w:rPr>
            </w:pPr>
          </w:p>
        </w:tc>
        <w:tc>
          <w:tcPr>
            <w:tcW w:w="2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5C60C">
            <w:pPr>
              <w:jc w:val="right"/>
              <w:rPr>
                <w:rFonts w:ascii="宋体" w:hAnsi="宋体" w:cs="宋体"/>
                <w:sz w:val="22"/>
              </w:rPr>
            </w:pPr>
            <w:r>
              <w:rPr>
                <w:rFonts w:hint="eastAsia"/>
                <w:sz w:val="28"/>
                <w:szCs w:val="28"/>
              </w:rPr>
              <w:t xml:space="preserve"> 单位：万元</w:t>
            </w:r>
          </w:p>
        </w:tc>
      </w:tr>
      <w:tr w14:paraId="507EA89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1" w:hRule="exact"/>
          <w:jc w:val="center"/>
        </w:trPr>
        <w:tc>
          <w:tcPr>
            <w:tcW w:w="192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4F17052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项    目</w:t>
            </w:r>
          </w:p>
        </w:tc>
        <w:tc>
          <w:tcPr>
            <w:tcW w:w="70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B7DD476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金额</w:t>
            </w:r>
          </w:p>
        </w:tc>
        <w:tc>
          <w:tcPr>
            <w:tcW w:w="164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652D899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项    目</w:t>
            </w:r>
          </w:p>
        </w:tc>
        <w:tc>
          <w:tcPr>
            <w:tcW w:w="727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06B5A6B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金额</w:t>
            </w:r>
          </w:p>
        </w:tc>
      </w:tr>
      <w:tr w14:paraId="3B7F8F8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1" w:hRule="exact"/>
          <w:jc w:val="center"/>
        </w:trPr>
        <w:tc>
          <w:tcPr>
            <w:tcW w:w="192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E3CEDDA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一、政府性基金收入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B66A882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23356</w:t>
            </w:r>
          </w:p>
        </w:tc>
        <w:tc>
          <w:tcPr>
            <w:tcW w:w="16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4D3A817">
            <w:pPr>
              <w:widowControl/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一、政府性基金支出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387858B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123823</w:t>
            </w:r>
          </w:p>
        </w:tc>
      </w:tr>
      <w:tr w14:paraId="6D30935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1" w:hRule="exact"/>
          <w:jc w:val="center"/>
        </w:trPr>
        <w:tc>
          <w:tcPr>
            <w:tcW w:w="192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42EC051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二、政府性基金补助收入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E549909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33631</w:t>
            </w:r>
          </w:p>
        </w:tc>
        <w:tc>
          <w:tcPr>
            <w:tcW w:w="16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E6DA787">
            <w:pPr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二、调出资金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24282E7">
            <w:pPr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　</w:t>
            </w:r>
          </w:p>
        </w:tc>
      </w:tr>
      <w:tr w14:paraId="453B971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1" w:hRule="exact"/>
          <w:jc w:val="center"/>
        </w:trPr>
        <w:tc>
          <w:tcPr>
            <w:tcW w:w="192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9206BB8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三、上年结转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5A3D570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2913</w:t>
            </w:r>
          </w:p>
        </w:tc>
        <w:tc>
          <w:tcPr>
            <w:tcW w:w="16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B364407">
            <w:pPr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三、还本支出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52DA225">
            <w:pPr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31000</w:t>
            </w:r>
          </w:p>
        </w:tc>
      </w:tr>
      <w:tr w14:paraId="3555A90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1" w:hRule="exact"/>
          <w:jc w:val="center"/>
        </w:trPr>
        <w:tc>
          <w:tcPr>
            <w:tcW w:w="192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A76D276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四、专项债券收入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77BAF99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141800</w:t>
            </w:r>
          </w:p>
        </w:tc>
        <w:tc>
          <w:tcPr>
            <w:tcW w:w="16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8B0916D">
            <w:pPr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四、结转下年支出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FB1015D">
            <w:pPr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189949</w:t>
            </w:r>
          </w:p>
        </w:tc>
      </w:tr>
      <w:tr w14:paraId="5EBE062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1" w:hRule="exact"/>
          <w:jc w:val="center"/>
        </w:trPr>
        <w:tc>
          <w:tcPr>
            <w:tcW w:w="192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3E1DF78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五、一般公共预算调入基金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DBB3AFC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49072</w:t>
            </w:r>
          </w:p>
        </w:tc>
        <w:tc>
          <w:tcPr>
            <w:tcW w:w="16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53AD6B">
            <w:pPr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　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87516FF">
            <w:pPr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　</w:t>
            </w:r>
          </w:p>
        </w:tc>
      </w:tr>
      <w:tr w14:paraId="471AB6F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1" w:hRule="exact"/>
          <w:jc w:val="center"/>
        </w:trPr>
        <w:tc>
          <w:tcPr>
            <w:tcW w:w="192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9859E91">
            <w:pPr>
              <w:widowControl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六、其他调入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68FCADE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94000</w:t>
            </w:r>
          </w:p>
        </w:tc>
        <w:tc>
          <w:tcPr>
            <w:tcW w:w="16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3E75354">
            <w:pPr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　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38426A7">
            <w:pPr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　</w:t>
            </w:r>
          </w:p>
        </w:tc>
      </w:tr>
      <w:tr w14:paraId="62C805A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1" w:hRule="exact"/>
          <w:jc w:val="center"/>
        </w:trPr>
        <w:tc>
          <w:tcPr>
            <w:tcW w:w="192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713250B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本年收入合计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C01DA08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344772</w:t>
            </w:r>
          </w:p>
        </w:tc>
        <w:tc>
          <w:tcPr>
            <w:tcW w:w="16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4A86B7">
            <w:pPr>
              <w:jc w:val="center"/>
              <w:rPr>
                <w:rFonts w:cs="宋体" w:asciiTheme="minorEastAsia" w:hAnsiTheme="minorEastAsia"/>
                <w:sz w:val="24"/>
                <w:szCs w:val="24"/>
                <w:highlight w:val="yellow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本年支出合计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ABC64E5">
            <w:pPr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344772</w:t>
            </w:r>
          </w:p>
        </w:tc>
      </w:tr>
    </w:tbl>
    <w:p w14:paraId="22FD873D">
      <w:pPr>
        <w:rPr>
          <w:rFonts w:hint="eastAsia" w:asciiTheme="majorEastAsia" w:hAnsiTheme="majorEastAsia" w:eastAsia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br w:type="page"/>
      </w:r>
    </w:p>
    <w:p w14:paraId="24196FAE">
      <w:pPr>
        <w:overflowPunct w:val="0"/>
        <w:spacing w:line="560" w:lineRule="exact"/>
        <w:contextualSpacing/>
        <w:rPr>
          <w:rFonts w:hint="eastAsia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附表五</w:t>
      </w:r>
    </w:p>
    <w:p w14:paraId="40C2284A">
      <w:pPr>
        <w:widowControl/>
        <w:jc w:val="center"/>
        <w:rPr>
          <w:rFonts w:hint="eastAsia" w:cs="Times New Roman" w:asciiTheme="majorEastAsia" w:hAnsiTheme="majorEastAsia" w:eastAsiaTheme="majorEastAsia"/>
          <w:b/>
          <w:bCs/>
          <w:sz w:val="36"/>
          <w:szCs w:val="36"/>
        </w:rPr>
      </w:pPr>
      <w:r>
        <w:rPr>
          <w:rFonts w:hint="eastAsia" w:cs="Times New Roman" w:asciiTheme="majorEastAsia" w:hAnsiTheme="majorEastAsia" w:eastAsiaTheme="majorEastAsia"/>
          <w:b/>
          <w:bCs/>
          <w:sz w:val="36"/>
          <w:szCs w:val="36"/>
        </w:rPr>
        <w:t>2025年国有资本经营预算收支情况</w:t>
      </w:r>
    </w:p>
    <w:tbl>
      <w:tblPr>
        <w:tblStyle w:val="9"/>
        <w:tblW w:w="5050" w:type="pct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948"/>
        <w:gridCol w:w="1074"/>
        <w:gridCol w:w="3246"/>
        <w:gridCol w:w="1572"/>
      </w:tblGrid>
      <w:tr w14:paraId="017ACB2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3" w:hRule="atLeast"/>
          <w:jc w:val="center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D39CF">
            <w:pPr>
              <w:widowControl/>
              <w:spacing w:before="156" w:beforeLines="50" w:after="156" w:afterLines="50"/>
              <w:rPr>
                <w:rFonts w:ascii="宋体" w:hAnsi="宋体" w:cs="宋体"/>
                <w:sz w:val="22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CA874">
            <w:pPr>
              <w:widowControl/>
              <w:rPr>
                <w:rFonts w:ascii="宋体" w:hAnsi="宋体" w:cs="宋体"/>
                <w:sz w:val="22"/>
              </w:rPr>
            </w:pPr>
          </w:p>
        </w:tc>
        <w:tc>
          <w:tcPr>
            <w:tcW w:w="1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793DE">
            <w:pPr>
              <w:widowControl/>
              <w:rPr>
                <w:sz w:val="20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25731">
            <w:pPr>
              <w:jc w:val="righ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>单位：万元</w:t>
            </w:r>
          </w:p>
        </w:tc>
      </w:tr>
      <w:tr w14:paraId="2FCDDC6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atLeast"/>
          <w:jc w:val="center"/>
        </w:trPr>
        <w:tc>
          <w:tcPr>
            <w:tcW w:w="166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94DDE6C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项    目</w:t>
            </w:r>
          </w:p>
        </w:tc>
        <w:tc>
          <w:tcPr>
            <w:tcW w:w="607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91C852A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金额</w:t>
            </w:r>
          </w:p>
        </w:tc>
        <w:tc>
          <w:tcPr>
            <w:tcW w:w="183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8C63BB5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项    目</w:t>
            </w:r>
          </w:p>
        </w:tc>
        <w:tc>
          <w:tcPr>
            <w:tcW w:w="88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BA7522A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金额</w:t>
            </w:r>
          </w:p>
        </w:tc>
      </w:tr>
      <w:tr w14:paraId="02AFC0B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atLeast"/>
          <w:jc w:val="center"/>
        </w:trPr>
        <w:tc>
          <w:tcPr>
            <w:tcW w:w="166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C828870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一、国有资本经营预算收入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F9FB58E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　</w:t>
            </w:r>
          </w:p>
        </w:tc>
        <w:tc>
          <w:tcPr>
            <w:tcW w:w="183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13F7C9B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一、国有资本经营预算支出</w:t>
            </w:r>
          </w:p>
        </w:tc>
        <w:tc>
          <w:tcPr>
            <w:tcW w:w="8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A99B5A8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90</w:t>
            </w:r>
          </w:p>
        </w:tc>
      </w:tr>
      <w:tr w14:paraId="1CCBA48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atLeast"/>
          <w:jc w:val="center"/>
        </w:trPr>
        <w:tc>
          <w:tcPr>
            <w:tcW w:w="166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A5C0EB4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二、补助收入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756BC99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135</w:t>
            </w:r>
          </w:p>
        </w:tc>
        <w:tc>
          <w:tcPr>
            <w:tcW w:w="183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0E39120">
            <w:pPr>
              <w:widowControl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解决历史遗留问题及改革成本支出</w:t>
            </w:r>
          </w:p>
        </w:tc>
        <w:tc>
          <w:tcPr>
            <w:tcW w:w="8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EE7A2FB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90</w:t>
            </w:r>
          </w:p>
        </w:tc>
      </w:tr>
      <w:tr w14:paraId="171D5F3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atLeast"/>
          <w:jc w:val="center"/>
        </w:trPr>
        <w:tc>
          <w:tcPr>
            <w:tcW w:w="166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D0444FF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三、上年结转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78BFDD1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168</w:t>
            </w:r>
          </w:p>
        </w:tc>
        <w:tc>
          <w:tcPr>
            <w:tcW w:w="183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7EC68CB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二、结转支出</w:t>
            </w:r>
          </w:p>
        </w:tc>
        <w:tc>
          <w:tcPr>
            <w:tcW w:w="8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E2BAC4C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213</w:t>
            </w:r>
          </w:p>
        </w:tc>
      </w:tr>
      <w:tr w14:paraId="37C91D2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4" w:hRule="atLeast"/>
          <w:jc w:val="center"/>
        </w:trPr>
        <w:tc>
          <w:tcPr>
            <w:tcW w:w="1667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47C3F106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 xml:space="preserve">本年收入合计 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554515D0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303</w:t>
            </w:r>
          </w:p>
        </w:tc>
        <w:tc>
          <w:tcPr>
            <w:tcW w:w="183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4D5F3E9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本年支出合计</w:t>
            </w:r>
          </w:p>
        </w:tc>
        <w:tc>
          <w:tcPr>
            <w:tcW w:w="8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B995CCD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303</w:t>
            </w:r>
          </w:p>
        </w:tc>
      </w:tr>
    </w:tbl>
    <w:p w14:paraId="3319E072">
      <w:pPr>
        <w:rPr>
          <w:rFonts w:hint="eastAsia" w:asciiTheme="majorEastAsia" w:hAnsiTheme="majorEastAsia" w:eastAsia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br w:type="page"/>
      </w:r>
    </w:p>
    <w:tbl>
      <w:tblPr>
        <w:tblStyle w:val="9"/>
        <w:tblW w:w="5000" w:type="pct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5048"/>
        <w:gridCol w:w="3704"/>
      </w:tblGrid>
      <w:tr w14:paraId="2D50C9C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77" w:hRule="atLeast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F2187">
            <w:pPr>
              <w:overflowPunct w:val="0"/>
              <w:spacing w:line="560" w:lineRule="exact"/>
              <w:contextualSpacing/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  <w:t>附表六</w:t>
            </w:r>
          </w:p>
          <w:p w14:paraId="515F917B">
            <w:pPr>
              <w:widowControl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2025年社会保险基金收入决算情况</w:t>
            </w:r>
          </w:p>
        </w:tc>
      </w:tr>
      <w:tr w14:paraId="695BCD8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  <w:jc w:val="center"/>
        </w:trPr>
        <w:tc>
          <w:tcPr>
            <w:tcW w:w="28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32EC8">
            <w:pPr>
              <w:widowControl/>
              <w:spacing w:after="156" w:afterLines="50"/>
              <w:rPr>
                <w:rFonts w:ascii="宋体" w:hAnsi="宋体" w:cs="宋体"/>
                <w:sz w:val="22"/>
              </w:rPr>
            </w:pP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809D63">
            <w:pPr>
              <w:widowControl/>
              <w:spacing w:after="156" w:afterLines="5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 xml:space="preserve">              </w:t>
            </w:r>
            <w:r>
              <w:rPr>
                <w:rFonts w:hint="eastAsia" w:ascii="宋体" w:hAnsi="宋体" w:cs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8"/>
                <w:szCs w:val="28"/>
              </w:rPr>
              <w:t xml:space="preserve">  单位：万元</w:t>
            </w:r>
          </w:p>
        </w:tc>
      </w:tr>
      <w:tr w14:paraId="34A3204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9341C60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项　目</w:t>
            </w:r>
          </w:p>
        </w:tc>
        <w:tc>
          <w:tcPr>
            <w:tcW w:w="211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699506F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202</w:t>
            </w: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5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年决算数</w:t>
            </w:r>
          </w:p>
        </w:tc>
      </w:tr>
      <w:tr w14:paraId="3497E0F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7CB90E3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全区社会保险基金收入合计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D1029A3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48913</w:t>
            </w:r>
          </w:p>
        </w:tc>
      </w:tr>
      <w:tr w14:paraId="1E190D4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B9D07A5">
            <w:pPr>
              <w:widowControl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    其中：保险费收入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7F33CBC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24530</w:t>
            </w:r>
          </w:p>
        </w:tc>
      </w:tr>
      <w:tr w14:paraId="2E382ED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DF4EE0F">
            <w:pPr>
              <w:widowControl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          财政补贴收入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92AAB5A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22156</w:t>
            </w:r>
          </w:p>
        </w:tc>
      </w:tr>
      <w:tr w14:paraId="4B1DD53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FBA23C3">
            <w:pPr>
              <w:widowControl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          利息收入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A552299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151</w:t>
            </w:r>
          </w:p>
        </w:tc>
      </w:tr>
      <w:tr w14:paraId="4E6ED5A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3684ACD">
            <w:pPr>
              <w:widowControl/>
              <w:jc w:val="both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一、城乡居民基本养老保险基金收入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B0E16E4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15099</w:t>
            </w:r>
          </w:p>
        </w:tc>
      </w:tr>
      <w:tr w14:paraId="370BF3E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5217B47">
            <w:pPr>
              <w:widowControl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    其中：保险费收入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2E6C800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4919</w:t>
            </w:r>
          </w:p>
        </w:tc>
      </w:tr>
      <w:tr w14:paraId="0216565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3F42E1E">
            <w:pPr>
              <w:widowControl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          财政补贴收入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32FB757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9972</w:t>
            </w:r>
          </w:p>
        </w:tc>
      </w:tr>
      <w:tr w14:paraId="04CA286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3830409">
            <w:pPr>
              <w:widowControl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          利息收入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CB2B993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135</w:t>
            </w:r>
          </w:p>
        </w:tc>
      </w:tr>
      <w:tr w14:paraId="62649BF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76DBCE4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二、机关事业单位基本养老保险基金收入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C4DA9DA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33814</w:t>
            </w:r>
          </w:p>
        </w:tc>
      </w:tr>
      <w:tr w14:paraId="2EB7CAA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3772774">
            <w:pPr>
              <w:widowControl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    其中：保险费收入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1327EAD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19611</w:t>
            </w:r>
          </w:p>
        </w:tc>
      </w:tr>
      <w:tr w14:paraId="4A523D1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786BFFE">
            <w:pPr>
              <w:widowControl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          财政补贴收入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E514E8F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12184</w:t>
            </w:r>
          </w:p>
        </w:tc>
      </w:tr>
      <w:tr w14:paraId="4AA05EC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7" w:hRule="atLeast"/>
          <w:jc w:val="center"/>
        </w:trPr>
        <w:tc>
          <w:tcPr>
            <w:tcW w:w="288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5326811">
            <w:pPr>
              <w:widowControl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          利息收入</w:t>
            </w:r>
          </w:p>
        </w:tc>
        <w:tc>
          <w:tcPr>
            <w:tcW w:w="211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DF832F7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16</w:t>
            </w:r>
          </w:p>
        </w:tc>
      </w:tr>
    </w:tbl>
    <w:p w14:paraId="337A09AB">
      <w:pPr>
        <w:widowControl/>
        <w:shd w:val="clear" w:color="auto" w:fill="FFFFFF"/>
        <w:spacing w:line="560" w:lineRule="exact"/>
        <w:rPr>
          <w:rFonts w:ascii="仿宋" w:hAnsi="仿宋" w:eastAsia="仿宋"/>
          <w:color w:val="FF0000"/>
          <w:sz w:val="32"/>
          <w:szCs w:val="32"/>
        </w:rPr>
      </w:pPr>
    </w:p>
    <w:p w14:paraId="33741BA5">
      <w:pPr>
        <w:overflowPunct w:val="0"/>
        <w:spacing w:line="560" w:lineRule="exact"/>
        <w:contextualSpacing/>
        <w:rPr>
          <w:rFonts w:hint="eastAsia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附表七</w:t>
      </w:r>
    </w:p>
    <w:tbl>
      <w:tblPr>
        <w:tblStyle w:val="9"/>
        <w:tblW w:w="5000" w:type="pct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4856"/>
        <w:gridCol w:w="1071"/>
        <w:gridCol w:w="1082"/>
        <w:gridCol w:w="1743"/>
      </w:tblGrid>
      <w:tr w14:paraId="6004A931">
        <w:trPr>
          <w:trHeight w:val="495" w:hRule="atLeast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CE2B2"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sz w:val="28"/>
                <w:szCs w:val="28"/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2025年社会保险基金支出决算情况</w:t>
            </w:r>
          </w:p>
        </w:tc>
      </w:tr>
      <w:tr w14:paraId="1DB6DA1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0" w:hRule="atLeast"/>
          <w:jc w:val="center"/>
        </w:trPr>
        <w:tc>
          <w:tcPr>
            <w:tcW w:w="33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7C761">
            <w:pPr>
              <w:spacing w:before="156" w:beforeLines="50" w:after="156" w:afterLines="50"/>
              <w:rPr>
                <w:rFonts w:ascii="宋体" w:hAnsi="宋体" w:eastAsia="PMingLiU" w:cs="宋体"/>
                <w:sz w:val="22"/>
              </w:rPr>
            </w:pPr>
          </w:p>
        </w:tc>
        <w:tc>
          <w:tcPr>
            <w:tcW w:w="1613" w:type="pct"/>
            <w:gridSpan w:val="2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bottom"/>
          </w:tcPr>
          <w:p w14:paraId="6D92BF52">
            <w:pPr>
              <w:jc w:val="right"/>
              <w:rPr>
                <w:rFonts w:hint="eastAsia"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>单位：万元</w:t>
            </w:r>
          </w:p>
        </w:tc>
      </w:tr>
      <w:tr w14:paraId="55762A7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W w:w="3386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61DA020">
            <w:pPr>
              <w:jc w:val="center"/>
              <w:rPr>
                <w:rFonts w:cs="宋体" w:asciiTheme="majorEastAsia" w:hAnsiTheme="majorEastAsia" w:eastAsia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 w:val="24"/>
                <w:szCs w:val="24"/>
              </w:rPr>
              <w:t>项　目</w:t>
            </w:r>
          </w:p>
        </w:tc>
        <w:tc>
          <w:tcPr>
            <w:tcW w:w="1613" w:type="pct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F8B2FE3">
            <w:pPr>
              <w:jc w:val="center"/>
              <w:rPr>
                <w:rFonts w:cs="宋体" w:asciiTheme="majorEastAsia" w:hAnsiTheme="majorEastAsia" w:eastAsia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 w:val="24"/>
                <w:szCs w:val="24"/>
              </w:rPr>
              <w:t>202</w:t>
            </w:r>
            <w:r>
              <w:rPr>
                <w:rFonts w:asciiTheme="majorEastAsia" w:hAnsiTheme="majorEastAsia" w:eastAsiaTheme="majorEastAsia"/>
                <w:b/>
                <w:bCs/>
                <w:sz w:val="24"/>
                <w:szCs w:val="24"/>
              </w:rPr>
              <w:t>5</w:t>
            </w:r>
            <w:r>
              <w:rPr>
                <w:rFonts w:hint="eastAsia" w:asciiTheme="majorEastAsia" w:hAnsiTheme="majorEastAsia" w:eastAsiaTheme="majorEastAsia"/>
                <w:b/>
                <w:bCs/>
                <w:sz w:val="24"/>
                <w:szCs w:val="24"/>
              </w:rPr>
              <w:t>年决算数</w:t>
            </w:r>
          </w:p>
        </w:tc>
      </w:tr>
      <w:tr w14:paraId="1B8099D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W w:w="3386" w:type="pct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1FED258">
            <w:pPr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全区社会保险基金支出合计</w:t>
            </w:r>
          </w:p>
        </w:tc>
        <w:tc>
          <w:tcPr>
            <w:tcW w:w="1613" w:type="pct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2E5B9FB">
            <w:pPr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asciiTheme="minorEastAsia" w:hAnsiTheme="minorEastAsia"/>
                <w:b/>
                <w:bCs/>
                <w:sz w:val="24"/>
                <w:szCs w:val="24"/>
              </w:rPr>
              <w:t>46230</w:t>
            </w:r>
          </w:p>
        </w:tc>
      </w:tr>
      <w:tr w14:paraId="5E13249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W w:w="3386" w:type="pct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057C605">
            <w:pPr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　　其中：社会保险待遇支出</w:t>
            </w:r>
          </w:p>
        </w:tc>
        <w:tc>
          <w:tcPr>
            <w:tcW w:w="1613" w:type="pct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E31C8A6">
            <w:pPr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45892</w:t>
            </w:r>
          </w:p>
        </w:tc>
      </w:tr>
      <w:tr w14:paraId="400A869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W w:w="3386" w:type="pct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32F2C07">
            <w:pPr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一、城乡居民基本养老保险基金支出</w:t>
            </w:r>
          </w:p>
        </w:tc>
        <w:tc>
          <w:tcPr>
            <w:tcW w:w="1613" w:type="pct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D2CD4A5">
            <w:pPr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asciiTheme="minorEastAsia" w:hAnsiTheme="minorEastAsia"/>
                <w:b/>
                <w:bCs/>
                <w:sz w:val="24"/>
                <w:szCs w:val="24"/>
              </w:rPr>
              <w:t>10668</w:t>
            </w:r>
          </w:p>
        </w:tc>
      </w:tr>
      <w:tr w14:paraId="1DF2F3E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W w:w="3386" w:type="pct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1B1FB04">
            <w:pPr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　　其中：基本养老金支出</w:t>
            </w:r>
          </w:p>
        </w:tc>
        <w:tc>
          <w:tcPr>
            <w:tcW w:w="1613" w:type="pct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2C2DEE6">
            <w:pPr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</w:t>
            </w:r>
            <w:r>
              <w:rPr>
                <w:rFonts w:asciiTheme="minorEastAsia" w:hAnsiTheme="minorEastAsia"/>
                <w:sz w:val="24"/>
                <w:szCs w:val="24"/>
              </w:rPr>
              <w:t>0610</w:t>
            </w:r>
          </w:p>
        </w:tc>
      </w:tr>
      <w:tr w14:paraId="548A8A9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W w:w="3386" w:type="pct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710A2E8">
            <w:pPr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二、机关事业单位基本养老保险基金支出</w:t>
            </w:r>
          </w:p>
        </w:tc>
        <w:tc>
          <w:tcPr>
            <w:tcW w:w="1613" w:type="pct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D20CE62">
            <w:pPr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</w:rPr>
              <w:t>3</w:t>
            </w:r>
            <w:r>
              <w:rPr>
                <w:rFonts w:asciiTheme="minorEastAsia" w:hAnsiTheme="minorEastAsia"/>
                <w:b/>
                <w:bCs/>
                <w:sz w:val="24"/>
                <w:szCs w:val="24"/>
              </w:rPr>
              <w:t>5562</w:t>
            </w:r>
          </w:p>
        </w:tc>
      </w:tr>
      <w:tr w14:paraId="27BBE6D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W w:w="3386" w:type="pct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5B1FE4E">
            <w:pPr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　其中：基本养老金支出</w:t>
            </w:r>
          </w:p>
        </w:tc>
        <w:tc>
          <w:tcPr>
            <w:tcW w:w="1613" w:type="pct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B1EB62C">
            <w:pPr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</w:t>
            </w:r>
            <w:r>
              <w:rPr>
                <w:rFonts w:asciiTheme="minorEastAsia" w:hAnsiTheme="minorEastAsia"/>
                <w:sz w:val="24"/>
                <w:szCs w:val="24"/>
              </w:rPr>
              <w:t>5282</w:t>
            </w:r>
          </w:p>
        </w:tc>
      </w:tr>
      <w:tr w14:paraId="7705B85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95" w:hRule="atLeast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B9246">
            <w:pPr>
              <w:overflowPunct w:val="0"/>
              <w:spacing w:line="560" w:lineRule="exact"/>
              <w:contextualSpacing/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</w:pPr>
          </w:p>
          <w:p w14:paraId="789ABFFC">
            <w:pPr>
              <w:overflowPunct w:val="0"/>
              <w:spacing w:line="560" w:lineRule="exact"/>
              <w:contextualSpacing/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</w:pPr>
          </w:p>
          <w:p w14:paraId="6FC923D2">
            <w:pPr>
              <w:overflowPunct w:val="0"/>
              <w:spacing w:line="560" w:lineRule="exact"/>
              <w:contextualSpacing/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</w:pPr>
          </w:p>
          <w:p w14:paraId="7C87F6F7">
            <w:pPr>
              <w:overflowPunct w:val="0"/>
              <w:spacing w:line="560" w:lineRule="exact"/>
              <w:contextualSpacing/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</w:pPr>
          </w:p>
          <w:p w14:paraId="6020A8B9">
            <w:pPr>
              <w:overflowPunct w:val="0"/>
              <w:spacing w:line="560" w:lineRule="exact"/>
              <w:contextualSpacing/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</w:pPr>
          </w:p>
          <w:p w14:paraId="27914CAF">
            <w:pPr>
              <w:overflowPunct w:val="0"/>
              <w:spacing w:line="560" w:lineRule="exact"/>
              <w:contextualSpacing/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</w:pPr>
          </w:p>
          <w:p w14:paraId="640D0F76">
            <w:pPr>
              <w:overflowPunct w:val="0"/>
              <w:spacing w:line="560" w:lineRule="exact"/>
              <w:contextualSpacing/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</w:pPr>
          </w:p>
          <w:p w14:paraId="0597BF18">
            <w:pPr>
              <w:overflowPunct w:val="0"/>
              <w:spacing w:line="560" w:lineRule="exact"/>
              <w:contextualSpacing/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</w:pPr>
          </w:p>
          <w:p w14:paraId="7EBA264E">
            <w:pPr>
              <w:overflowPunct w:val="0"/>
              <w:spacing w:line="560" w:lineRule="exact"/>
              <w:contextualSpacing/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  <w:t>附表八</w:t>
            </w:r>
          </w:p>
        </w:tc>
      </w:tr>
      <w:tr w14:paraId="1F0B9AF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5" w:hRule="atLeast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FC30A"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sz w:val="28"/>
                <w:szCs w:val="28"/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2025年社会保险基金平衡情况</w:t>
            </w:r>
          </w:p>
        </w:tc>
      </w:tr>
      <w:tr w14:paraId="1BB5431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  <w:jc w:val="center"/>
        </w:trPr>
        <w:tc>
          <w:tcPr>
            <w:tcW w:w="2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714416">
            <w:pPr>
              <w:widowControl/>
              <w:spacing w:after="156" w:afterLines="50"/>
              <w:rPr>
                <w:rFonts w:ascii="宋体" w:hAnsi="宋体" w:cs="宋体"/>
                <w:sz w:val="22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E7CFA">
            <w:pPr>
              <w:widowControl/>
              <w:rPr>
                <w:rFonts w:ascii="宋体" w:hAnsi="宋体" w:cs="宋体"/>
                <w:sz w:val="22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0743C">
            <w:pPr>
              <w:jc w:val="right"/>
              <w:rPr>
                <w:rFonts w:hint="eastAsia"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A519A">
            <w:pPr>
              <w:jc w:val="right"/>
              <w:rPr>
                <w:rFonts w:hint="eastAsia"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 xml:space="preserve"> 单位：万元</w:t>
            </w:r>
          </w:p>
        </w:tc>
      </w:tr>
      <w:tr w14:paraId="58E82E1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34" w:hRule="atLeast"/>
          <w:jc w:val="center"/>
        </w:trPr>
        <w:tc>
          <w:tcPr>
            <w:tcW w:w="277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B088DB9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项        目</w:t>
            </w:r>
          </w:p>
        </w:tc>
        <w:tc>
          <w:tcPr>
            <w:tcW w:w="61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D05C976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收入</w:t>
            </w:r>
          </w:p>
        </w:tc>
        <w:tc>
          <w:tcPr>
            <w:tcW w:w="618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1BF6B99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支出</w:t>
            </w:r>
          </w:p>
        </w:tc>
        <w:tc>
          <w:tcPr>
            <w:tcW w:w="99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83D6756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当期结余</w:t>
            </w:r>
          </w:p>
        </w:tc>
      </w:tr>
      <w:tr w14:paraId="71E9AFA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34" w:hRule="atLeast"/>
          <w:jc w:val="center"/>
        </w:trPr>
        <w:tc>
          <w:tcPr>
            <w:tcW w:w="277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6B479A8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合 计</w:t>
            </w:r>
          </w:p>
        </w:tc>
        <w:tc>
          <w:tcPr>
            <w:tcW w:w="61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6641B54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4</w:t>
            </w:r>
            <w:r>
              <w:rPr>
                <w:rFonts w:ascii="宋体" w:hAnsi="宋体" w:cs="宋体"/>
                <w:bCs/>
                <w:sz w:val="24"/>
                <w:szCs w:val="24"/>
              </w:rPr>
              <w:t>8913</w:t>
            </w:r>
          </w:p>
        </w:tc>
        <w:tc>
          <w:tcPr>
            <w:tcW w:w="61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39A3BC5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4</w:t>
            </w:r>
            <w:r>
              <w:rPr>
                <w:rFonts w:ascii="宋体" w:hAnsi="宋体" w:cs="宋体"/>
                <w:bCs/>
                <w:sz w:val="24"/>
                <w:szCs w:val="24"/>
              </w:rPr>
              <w:t>6230</w:t>
            </w:r>
          </w:p>
        </w:tc>
        <w:tc>
          <w:tcPr>
            <w:tcW w:w="99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3659102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2</w:t>
            </w:r>
            <w:r>
              <w:rPr>
                <w:rFonts w:ascii="宋体" w:hAnsi="宋体" w:cs="宋体"/>
                <w:bCs/>
                <w:sz w:val="24"/>
                <w:szCs w:val="24"/>
              </w:rPr>
              <w:t>683</w:t>
            </w:r>
          </w:p>
        </w:tc>
      </w:tr>
      <w:tr w14:paraId="7F3CA16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34" w:hRule="atLeast"/>
          <w:jc w:val="center"/>
        </w:trPr>
        <w:tc>
          <w:tcPr>
            <w:tcW w:w="277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2D78E07">
            <w:pPr>
              <w:widowControl/>
              <w:jc w:val="left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一、城乡居民基本养老保险基金</w:t>
            </w:r>
          </w:p>
        </w:tc>
        <w:tc>
          <w:tcPr>
            <w:tcW w:w="61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FD0E397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Cs/>
                <w:sz w:val="24"/>
                <w:szCs w:val="24"/>
              </w:rPr>
              <w:t>5099</w:t>
            </w:r>
          </w:p>
        </w:tc>
        <w:tc>
          <w:tcPr>
            <w:tcW w:w="61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46C18CC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Cs/>
                <w:sz w:val="24"/>
                <w:szCs w:val="24"/>
              </w:rPr>
              <w:t>0668</w:t>
            </w:r>
          </w:p>
        </w:tc>
        <w:tc>
          <w:tcPr>
            <w:tcW w:w="99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1AF170F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4</w:t>
            </w:r>
            <w:r>
              <w:rPr>
                <w:rFonts w:ascii="宋体" w:hAnsi="宋体" w:cs="宋体"/>
                <w:bCs/>
                <w:sz w:val="24"/>
                <w:szCs w:val="24"/>
              </w:rPr>
              <w:t>431</w:t>
            </w:r>
          </w:p>
        </w:tc>
      </w:tr>
      <w:tr w14:paraId="3768161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34" w:hRule="atLeast"/>
          <w:jc w:val="center"/>
        </w:trPr>
        <w:tc>
          <w:tcPr>
            <w:tcW w:w="277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0AA3246">
            <w:pPr>
              <w:widowControl/>
              <w:jc w:val="left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二、机关事业单位基本养老保险基金</w:t>
            </w:r>
          </w:p>
        </w:tc>
        <w:tc>
          <w:tcPr>
            <w:tcW w:w="61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049E90D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3</w:t>
            </w:r>
            <w:r>
              <w:rPr>
                <w:rFonts w:ascii="宋体" w:hAnsi="宋体" w:cs="宋体"/>
                <w:bCs/>
                <w:sz w:val="24"/>
                <w:szCs w:val="24"/>
              </w:rPr>
              <w:t>3814</w:t>
            </w:r>
          </w:p>
        </w:tc>
        <w:tc>
          <w:tcPr>
            <w:tcW w:w="61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79FAA43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3</w:t>
            </w:r>
            <w:r>
              <w:rPr>
                <w:rFonts w:ascii="宋体" w:hAnsi="宋体" w:cs="宋体"/>
                <w:bCs/>
                <w:sz w:val="24"/>
                <w:szCs w:val="24"/>
              </w:rPr>
              <w:t>5562</w:t>
            </w:r>
          </w:p>
        </w:tc>
        <w:tc>
          <w:tcPr>
            <w:tcW w:w="99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BA1F3F0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-</w:t>
            </w:r>
            <w:r>
              <w:rPr>
                <w:rFonts w:ascii="宋体" w:hAnsi="宋体" w:cs="宋体"/>
                <w:bCs/>
                <w:sz w:val="24"/>
                <w:szCs w:val="24"/>
              </w:rPr>
              <w:t>1748</w:t>
            </w:r>
          </w:p>
        </w:tc>
      </w:tr>
    </w:tbl>
    <w:p w14:paraId="79C4A41E">
      <w:pPr>
        <w:widowControl/>
        <w:shd w:val="clear" w:color="auto" w:fill="FFFFFF"/>
        <w:spacing w:line="560" w:lineRule="exact"/>
        <w:rPr>
          <w:rFonts w:ascii="仿宋" w:hAnsi="仿宋" w:eastAsia="仿宋"/>
          <w:color w:val="FF0000"/>
          <w:sz w:val="32"/>
          <w:szCs w:val="32"/>
        </w:rPr>
      </w:pPr>
    </w:p>
    <w:p w14:paraId="6F833EE6">
      <w:pPr>
        <w:widowControl/>
        <w:shd w:val="clear" w:color="auto" w:fill="FFFFFF"/>
        <w:spacing w:line="560" w:lineRule="exact"/>
      </w:pPr>
    </w:p>
    <w:p w14:paraId="2B31C580">
      <w:pPr>
        <w:widowControl/>
        <w:shd w:val="clear" w:color="auto" w:fill="FFFFFF"/>
        <w:spacing w:line="560" w:lineRule="exact"/>
      </w:pPr>
    </w:p>
    <w:p w14:paraId="367E5C57">
      <w:pPr>
        <w:widowControl/>
        <w:shd w:val="clear" w:color="auto" w:fill="FFFFFF"/>
        <w:spacing w:line="560" w:lineRule="exact"/>
      </w:pPr>
    </w:p>
    <w:p w14:paraId="37251635">
      <w:pPr>
        <w:widowControl/>
        <w:shd w:val="clear" w:color="auto" w:fill="FFFFFF"/>
        <w:spacing w:line="560" w:lineRule="exact"/>
      </w:pPr>
    </w:p>
    <w:p w14:paraId="00CBC3CC">
      <w:pPr>
        <w:widowControl/>
        <w:shd w:val="clear" w:color="auto" w:fill="FFFFFF"/>
        <w:spacing w:line="560" w:lineRule="exact"/>
      </w:pPr>
    </w:p>
    <w:p w14:paraId="519C1AA5">
      <w:pPr>
        <w:widowControl/>
        <w:shd w:val="clear" w:color="auto" w:fill="FFFFFF"/>
        <w:spacing w:line="560" w:lineRule="exact"/>
      </w:pPr>
    </w:p>
    <w:p w14:paraId="3186A93C">
      <w:pPr>
        <w:widowControl/>
        <w:shd w:val="clear" w:color="auto" w:fill="FFFFFF"/>
        <w:spacing w:line="560" w:lineRule="exact"/>
      </w:pPr>
    </w:p>
    <w:p w14:paraId="6737AC46">
      <w:pPr>
        <w:widowControl/>
        <w:shd w:val="clear" w:color="auto" w:fill="FFFFFF"/>
        <w:spacing w:line="560" w:lineRule="exact"/>
      </w:pPr>
    </w:p>
    <w:p w14:paraId="4A6C73BE">
      <w:pPr>
        <w:widowControl/>
        <w:shd w:val="clear" w:color="auto" w:fill="FFFFFF"/>
        <w:spacing w:line="560" w:lineRule="exact"/>
      </w:pPr>
    </w:p>
    <w:p w14:paraId="1BC23E91">
      <w:pPr>
        <w:widowControl/>
        <w:shd w:val="clear" w:color="auto" w:fill="FFFFFF"/>
        <w:spacing w:line="560" w:lineRule="exact"/>
      </w:pPr>
    </w:p>
    <w:p w14:paraId="6F93EB9C">
      <w:pPr>
        <w:overflowPunct w:val="0"/>
        <w:spacing w:line="560" w:lineRule="exact"/>
        <w:contextualSpacing/>
        <w:rPr>
          <w:rFonts w:hint="eastAsia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附表九</w:t>
      </w:r>
    </w:p>
    <w:tbl>
      <w:tblPr>
        <w:tblStyle w:val="9"/>
        <w:tblW w:w="8240" w:type="dxa"/>
        <w:tblInd w:w="93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500"/>
        <w:gridCol w:w="1900"/>
        <w:gridCol w:w="1800"/>
        <w:gridCol w:w="2040"/>
      </w:tblGrid>
      <w:tr w14:paraId="79B31DD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5" w:hRule="atLeast"/>
        </w:trPr>
        <w:tc>
          <w:tcPr>
            <w:tcW w:w="8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43A59">
            <w:pPr>
              <w:widowControl/>
              <w:jc w:val="center"/>
              <w:rPr>
                <w:rFonts w:cs="方正小标宋_GBK"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2025年新增政府债务情况</w:t>
            </w:r>
          </w:p>
        </w:tc>
      </w:tr>
      <w:tr w14:paraId="5D8E38E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CF6FE">
            <w:pPr>
              <w:widowControl/>
              <w:rPr>
                <w:rFonts w:ascii="宋体" w:hAnsi="宋体" w:cs="宋体"/>
                <w:sz w:val="2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7BDD89FD">
            <w:pPr>
              <w:widowControl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3CD7B3AD">
            <w:pPr>
              <w:widowControl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　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324F977B">
            <w:pPr>
              <w:jc w:val="right"/>
              <w:rPr>
                <w:rFonts w:hint="eastAsia"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 xml:space="preserve">单位：万元  </w:t>
            </w:r>
          </w:p>
        </w:tc>
      </w:tr>
      <w:tr w14:paraId="4520C74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34" w:hRule="atLeast"/>
        </w:trPr>
        <w:tc>
          <w:tcPr>
            <w:tcW w:w="2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29B66AB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项  目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1BB11D9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合  计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4308018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其中：一般债券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F7658CF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专项债券</w:t>
            </w:r>
          </w:p>
        </w:tc>
      </w:tr>
      <w:tr w14:paraId="10EF888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34" w:hRule="atLeast"/>
        </w:trPr>
        <w:tc>
          <w:tcPr>
            <w:tcW w:w="25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8A8794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一、新增限额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64FC81E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161500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2B0EAE6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19700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D18FC5A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141800</w:t>
            </w:r>
          </w:p>
        </w:tc>
      </w:tr>
      <w:tr w14:paraId="2ED658F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34" w:hRule="atLeast"/>
        </w:trPr>
        <w:tc>
          <w:tcPr>
            <w:tcW w:w="25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79C9A9D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二、年底累计余额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504CF5B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1128374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8F6DAB6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69500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0E241F5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1058874</w:t>
            </w:r>
          </w:p>
        </w:tc>
      </w:tr>
    </w:tbl>
    <w:p w14:paraId="7CD0BAC9">
      <w:pPr>
        <w:widowControl/>
        <w:shd w:val="clear" w:color="auto" w:fill="FFFFFF"/>
        <w:spacing w:line="560" w:lineRule="exact"/>
        <w:rPr>
          <w:rFonts w:ascii="仿宋" w:hAnsi="仿宋" w:eastAsia="仿宋"/>
          <w:color w:val="FF0000"/>
          <w:sz w:val="32"/>
          <w:szCs w:val="32"/>
        </w:rPr>
      </w:pPr>
    </w:p>
    <w:p w14:paraId="45697F55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514774BC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1535A649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40B54B2D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3FCBD6BD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7020C45A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608A900F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05FA8494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6EF3A8D6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1010AD26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7E007A2A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1B4B7554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tbl>
      <w:tblPr>
        <w:tblStyle w:val="9"/>
        <w:tblW w:w="5158" w:type="pct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8"/>
        <w:gridCol w:w="6232"/>
        <w:gridCol w:w="287"/>
        <w:gridCol w:w="2160"/>
        <w:gridCol w:w="60"/>
        <w:gridCol w:w="282"/>
      </w:tblGrid>
      <w:tr w14:paraId="0A04E1F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74" w:hRule="atLeast"/>
          <w:jc w:val="center"/>
        </w:trPr>
        <w:tc>
          <w:tcPr>
            <w:tcW w:w="34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260E9">
            <w:pPr>
              <w:overflowPunct w:val="0"/>
              <w:spacing w:line="560" w:lineRule="exact"/>
              <w:contextualSpacing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  <w:t>附表十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38ABB">
            <w:pPr>
              <w:widowControl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 w14:paraId="08BC7BB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570" w:hRule="atLeast"/>
          <w:jc w:val="center"/>
        </w:trPr>
        <w:tc>
          <w:tcPr>
            <w:tcW w:w="484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75C00">
            <w:pPr>
              <w:widowControl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2026年本级一般公共收入预算</w:t>
            </w:r>
          </w:p>
        </w:tc>
      </w:tr>
      <w:tr w14:paraId="2035CAD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285" w:hRule="atLeast"/>
          <w:jc w:val="center"/>
        </w:trPr>
        <w:tc>
          <w:tcPr>
            <w:tcW w:w="484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98748">
            <w:pPr>
              <w:widowControl/>
              <w:jc w:val="righ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单位：万元</w:t>
            </w:r>
          </w:p>
        </w:tc>
      </w:tr>
      <w:tr w14:paraId="4C0C344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1FFF8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项    目</w:t>
            </w:r>
          </w:p>
        </w:tc>
        <w:tc>
          <w:tcPr>
            <w:tcW w:w="1388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C33EC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预算数</w:t>
            </w:r>
          </w:p>
        </w:tc>
      </w:tr>
      <w:tr w14:paraId="7EF75C7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7DF80">
            <w:pPr>
              <w:widowControl/>
              <w:ind w:firstLine="241" w:firstLineChars="100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一、税收收入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8523E1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375000</w:t>
            </w:r>
          </w:p>
        </w:tc>
      </w:tr>
      <w:tr w14:paraId="40247B6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8960F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1.增值税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73DC8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106000</w:t>
            </w:r>
          </w:p>
        </w:tc>
      </w:tr>
      <w:tr w14:paraId="0C795F9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B4A3A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2.企业所得税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65C755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46000</w:t>
            </w:r>
          </w:p>
        </w:tc>
      </w:tr>
      <w:tr w14:paraId="62ECD17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204A4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3.个人所得税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32314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33290</w:t>
            </w:r>
          </w:p>
        </w:tc>
      </w:tr>
      <w:tr w14:paraId="3B705EF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2D1C5A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4.资源税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17BC7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100</w:t>
            </w:r>
          </w:p>
        </w:tc>
      </w:tr>
      <w:tr w14:paraId="720B333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C280E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5.城市维护建设税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9EE8D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59000</w:t>
            </w:r>
          </w:p>
        </w:tc>
      </w:tr>
      <w:tr w14:paraId="16CC14B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EB316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6.房产税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199F8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18500</w:t>
            </w:r>
          </w:p>
        </w:tc>
      </w:tr>
      <w:tr w14:paraId="5CED1B6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C19417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7.印花税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52070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15000</w:t>
            </w:r>
          </w:p>
        </w:tc>
      </w:tr>
      <w:tr w14:paraId="2AA9200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DBA7F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8.城镇土地使用税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13312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6000</w:t>
            </w:r>
          </w:p>
        </w:tc>
      </w:tr>
      <w:tr w14:paraId="2E0E14A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5E788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9.土地增值税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E788D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25000</w:t>
            </w:r>
          </w:p>
        </w:tc>
      </w:tr>
      <w:tr w14:paraId="13BED3C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8EEBF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10.车船税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49B03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8000</w:t>
            </w:r>
          </w:p>
        </w:tc>
      </w:tr>
      <w:tr w14:paraId="2A06958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0AF60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11.耕地占用税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DC19E5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8500</w:t>
            </w:r>
          </w:p>
        </w:tc>
      </w:tr>
      <w:tr w14:paraId="167E1F9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45A3D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12.契税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1D96F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49000</w:t>
            </w:r>
          </w:p>
        </w:tc>
      </w:tr>
      <w:tr w14:paraId="25A04DA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2D8B3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13.烟叶税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49229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　</w:t>
            </w:r>
          </w:p>
        </w:tc>
      </w:tr>
      <w:tr w14:paraId="3702912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B84BDD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14</w:t>
            </w:r>
            <w:r>
              <w:rPr>
                <w:rFonts w:hint="eastAsia" w:cs="宋体" w:asciiTheme="minorEastAsia" w:hAnsi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cs="宋体" w:asciiTheme="minorEastAsia" w:hAnsiTheme="minorEastAsia"/>
                <w:sz w:val="24"/>
                <w:szCs w:val="24"/>
              </w:rPr>
              <w:t>环境保护税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BF569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300</w:t>
            </w:r>
          </w:p>
        </w:tc>
      </w:tr>
      <w:tr w14:paraId="4C80D69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B5876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15.其他税收税入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4C8ABC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310</w:t>
            </w:r>
          </w:p>
        </w:tc>
      </w:tr>
      <w:tr w14:paraId="322A35A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3983C">
            <w:pPr>
              <w:widowControl/>
              <w:ind w:firstLine="241" w:firstLineChars="100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sz w:val="24"/>
                <w:szCs w:val="24"/>
              </w:rPr>
              <w:t>二、非税收入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330A1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sz w:val="24"/>
                <w:szCs w:val="24"/>
              </w:rPr>
              <w:t>10000</w:t>
            </w:r>
          </w:p>
        </w:tc>
      </w:tr>
      <w:tr w14:paraId="445EDFA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509D4F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1.专项收入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C3A774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6500</w:t>
            </w:r>
          </w:p>
        </w:tc>
      </w:tr>
      <w:tr w14:paraId="42C0D60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FF10D0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2.行政事业性收费收入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CA988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1500</w:t>
            </w:r>
          </w:p>
        </w:tc>
      </w:tr>
      <w:tr w14:paraId="74A8281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EAAF35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3.罚没收入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A5FD2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1000</w:t>
            </w:r>
          </w:p>
        </w:tc>
      </w:tr>
      <w:tr w14:paraId="31AFBF0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65790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4.国有资源（资产）有偿使用收入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B13ED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1000</w:t>
            </w:r>
          </w:p>
        </w:tc>
      </w:tr>
      <w:tr w14:paraId="353B325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2B4E0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5.政府住房基金收入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F479D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　</w:t>
            </w:r>
          </w:p>
        </w:tc>
      </w:tr>
      <w:tr w14:paraId="4DCF6CB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A54FD">
            <w:pPr>
              <w:widowControl/>
              <w:ind w:firstLine="480" w:firstLineChars="2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6.其他收入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CA8B3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sz w:val="24"/>
                <w:szCs w:val="24"/>
              </w:rPr>
              <w:t>　</w:t>
            </w:r>
          </w:p>
        </w:tc>
      </w:tr>
      <w:tr w14:paraId="48BEE1B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55" w:type="pct"/>
          <w:trHeight w:val="420" w:hRule="atLeast"/>
          <w:jc w:val="center"/>
        </w:trPr>
        <w:tc>
          <w:tcPr>
            <w:tcW w:w="3456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7FCD49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sz w:val="24"/>
                <w:szCs w:val="24"/>
              </w:rPr>
              <w:t>合     计</w:t>
            </w:r>
          </w:p>
        </w:tc>
        <w:tc>
          <w:tcPr>
            <w:tcW w:w="138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A30EC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sz w:val="24"/>
                <w:szCs w:val="24"/>
              </w:rPr>
              <w:t>385000</w:t>
            </w:r>
          </w:p>
        </w:tc>
      </w:tr>
      <w:tr w14:paraId="0F99919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570" w:hRule="atLeast"/>
          <w:jc w:val="center"/>
        </w:trPr>
        <w:tc>
          <w:tcPr>
            <w:tcW w:w="36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BEB2E">
            <w:pPr>
              <w:overflowPunct w:val="0"/>
              <w:spacing w:line="560" w:lineRule="exact"/>
              <w:contextualSpacing/>
              <w:rPr>
                <w:rFonts w:ascii="宋体" w:hAnsi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  <w:t>附表十一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6E455">
            <w:pPr>
              <w:widowControl/>
              <w:rPr>
                <w:rFonts w:ascii="宋体" w:hAnsi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CCC7A8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510" w:hRule="atLeast"/>
          <w:jc w:val="center"/>
        </w:trPr>
        <w:tc>
          <w:tcPr>
            <w:tcW w:w="499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224AE">
            <w:pPr>
              <w:widowControl/>
              <w:jc w:val="center"/>
              <w:rPr>
                <w:rFonts w:ascii="宋体" w:hAnsi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2026年本级一般公共支出预算</w:t>
            </w:r>
          </w:p>
        </w:tc>
      </w:tr>
      <w:tr w14:paraId="0534B6B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65" w:hRule="atLeast"/>
          <w:jc w:val="center"/>
        </w:trPr>
        <w:tc>
          <w:tcPr>
            <w:tcW w:w="499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437FB">
            <w:pPr>
              <w:widowControl/>
              <w:jc w:val="right"/>
              <w:rPr>
                <w:rFonts w:ascii="宋体" w:hAnsi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单位：万元</w:t>
            </w:r>
          </w:p>
        </w:tc>
      </w:tr>
      <w:tr w14:paraId="38D5312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CA471">
            <w:pPr>
              <w:widowControl/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    目</w:t>
            </w:r>
          </w:p>
        </w:tc>
        <w:tc>
          <w:tcPr>
            <w:tcW w:w="1384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F6138">
            <w:pPr>
              <w:widowControl/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预算数</w:t>
            </w:r>
          </w:p>
        </w:tc>
      </w:tr>
      <w:tr w14:paraId="62FDCD1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8ACBD">
            <w:pPr>
              <w:widowControl/>
              <w:ind w:firstLine="240" w:firstLineChars="100"/>
              <w:rPr>
                <w:rFonts w:cs="宋体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_GB2312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201 一般公共服务支出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26312BB"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92456</w:t>
            </w:r>
          </w:p>
        </w:tc>
      </w:tr>
      <w:tr w14:paraId="0FF1FDD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8B51F7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204 公共安全支出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3E023AE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1779</w:t>
            </w:r>
          </w:p>
        </w:tc>
      </w:tr>
      <w:tr w14:paraId="7BD4D7C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36EA8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205 教育支出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49AA39E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92183</w:t>
            </w:r>
          </w:p>
        </w:tc>
      </w:tr>
      <w:tr w14:paraId="5FDB2CC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EDF36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206 科学技术支出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ED5396F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1271</w:t>
            </w:r>
          </w:p>
        </w:tc>
      </w:tr>
      <w:tr w14:paraId="3822C3C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FA7B6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207 文化旅游体育与传媒支出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D6628B7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577</w:t>
            </w:r>
          </w:p>
        </w:tc>
      </w:tr>
      <w:tr w14:paraId="0A1ED04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A8AFD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208 社会保障和就业支出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3775C88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100262</w:t>
            </w:r>
          </w:p>
        </w:tc>
      </w:tr>
      <w:tr w14:paraId="101DB82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0DC6E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210 卫生健康支出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560A92B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27984</w:t>
            </w:r>
          </w:p>
        </w:tc>
      </w:tr>
      <w:tr w14:paraId="45A409F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36C704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211 节能环保支出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EAC9E7D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4268</w:t>
            </w:r>
          </w:p>
        </w:tc>
      </w:tr>
      <w:tr w14:paraId="5DFED8C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3FCDD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212 城乡社区支出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94E8EF6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14444</w:t>
            </w:r>
          </w:p>
        </w:tc>
      </w:tr>
      <w:tr w14:paraId="2789801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113C31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213 农林水支出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17CC7A0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3858</w:t>
            </w:r>
          </w:p>
        </w:tc>
      </w:tr>
      <w:tr w14:paraId="6C81764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8480D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215 资源勘探工业信息等支出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535F63D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183</w:t>
            </w:r>
          </w:p>
        </w:tc>
      </w:tr>
      <w:tr w14:paraId="63FB86F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1BA64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</w:t>
            </w:r>
            <w:r>
              <w:rPr>
                <w:rFonts w:cs="仿宋_GB2312" w:asciiTheme="minorEastAsia" w:hAnsiTheme="minorEastAsia"/>
                <w:color w:val="000000"/>
                <w:sz w:val="24"/>
                <w:szCs w:val="24"/>
              </w:rPr>
              <w:t xml:space="preserve">16 </w:t>
            </w: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商业服务业等支出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3452836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6</w:t>
            </w:r>
          </w:p>
        </w:tc>
      </w:tr>
      <w:tr w14:paraId="5ABB4FA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6AB742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220 自然资源海洋气象等支出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FBCB2A5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1037</w:t>
            </w:r>
          </w:p>
        </w:tc>
      </w:tr>
      <w:tr w14:paraId="2F9E1F1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04123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221 住房保障支出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69F4D49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9835</w:t>
            </w:r>
          </w:p>
        </w:tc>
      </w:tr>
      <w:tr w14:paraId="6AF2873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2D603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222 粮油物资储备支出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7A25994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</w:t>
            </w:r>
          </w:p>
        </w:tc>
      </w:tr>
      <w:tr w14:paraId="6296641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44C8B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224 灾害防治及应急管理支出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C68ACC6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3645</w:t>
            </w:r>
          </w:p>
        </w:tc>
      </w:tr>
      <w:tr w14:paraId="622E45F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4547D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227 预备费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58BD7B6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4</w:t>
            </w:r>
            <w:r>
              <w:rPr>
                <w:rFonts w:cs="仿宋_GB2312" w:asciiTheme="minorEastAsia" w:hAnsiTheme="minorEastAsia"/>
                <w:color w:val="000000"/>
                <w:sz w:val="24"/>
                <w:szCs w:val="24"/>
              </w:rPr>
              <w:t>000</w:t>
            </w:r>
          </w:p>
        </w:tc>
      </w:tr>
      <w:tr w14:paraId="35EB39E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97EEB9">
            <w:pPr>
              <w:widowControl/>
              <w:ind w:firstLine="240" w:firstLineChars="100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31 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债务还本支出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BD141E2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4</w:t>
            </w:r>
            <w:r>
              <w:rPr>
                <w:rFonts w:asciiTheme="minorEastAsia" w:hAnsiTheme="minorEastAsia"/>
                <w:sz w:val="24"/>
                <w:szCs w:val="24"/>
              </w:rPr>
              <w:t>00</w:t>
            </w:r>
          </w:p>
        </w:tc>
      </w:tr>
      <w:tr w14:paraId="04B858B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D0D0B">
            <w:pPr>
              <w:widowControl/>
              <w:ind w:firstLine="240" w:firstLineChars="1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/>
                <w:color w:val="000000"/>
                <w:sz w:val="24"/>
                <w:szCs w:val="24"/>
              </w:rPr>
              <w:t>232 债务付息支出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A4DDAF4">
            <w:pPr>
              <w:widowControl/>
              <w:jc w:val="center"/>
              <w:rPr>
                <w:rFonts w:cs="宋体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color w:val="000000"/>
                <w:sz w:val="24"/>
                <w:szCs w:val="24"/>
              </w:rPr>
              <w:t>120</w:t>
            </w:r>
          </w:p>
        </w:tc>
      </w:tr>
      <w:tr w14:paraId="3027676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wBefore w:w="4" w:type="pct"/>
          <w:trHeight w:val="482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52C178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合      计</w:t>
            </w:r>
          </w:p>
        </w:tc>
        <w:tc>
          <w:tcPr>
            <w:tcW w:w="138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7E3E067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/>
                <w:b/>
                <w:bCs/>
                <w:color w:val="000000"/>
                <w:sz w:val="24"/>
                <w:szCs w:val="24"/>
              </w:rPr>
              <w:t>360309</w:t>
            </w:r>
          </w:p>
        </w:tc>
      </w:tr>
      <w:tr w14:paraId="7652758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gridAfter w:val="2"/>
          <w:wBefore w:w="5" w:type="pct"/>
          <w:wAfter w:w="187" w:type="pct"/>
          <w:trHeight w:val="570" w:hRule="atLeast"/>
          <w:jc w:val="center"/>
        </w:trPr>
        <w:tc>
          <w:tcPr>
            <w:tcW w:w="36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884A5">
            <w:pPr>
              <w:overflowPunct w:val="0"/>
              <w:spacing w:line="560" w:lineRule="exact"/>
              <w:contextualSpacing/>
              <w:rPr>
                <w:rFonts w:cs="宋体" w:asciiTheme="majorEastAsia" w:hAnsiTheme="majorEastAsia" w:eastAsiaTheme="majorEastAsia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</w:rPr>
              <w:t>附表十二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101A4">
            <w:pPr>
              <w:widowControl/>
              <w:rPr>
                <w:rFonts w:cs="宋体" w:asciiTheme="majorEastAsia" w:hAnsiTheme="majorEastAsia" w:eastAsiaTheme="majorEastAsia"/>
                <w:b/>
                <w:bCs/>
                <w:sz w:val="28"/>
                <w:szCs w:val="28"/>
              </w:rPr>
            </w:pPr>
          </w:p>
        </w:tc>
      </w:tr>
      <w:tr w14:paraId="70F80C0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gridAfter w:val="2"/>
          <w:wBefore w:w="5" w:type="pct"/>
          <w:wAfter w:w="187" w:type="pct"/>
          <w:trHeight w:val="427" w:hRule="atLeast"/>
          <w:jc w:val="center"/>
        </w:trPr>
        <w:tc>
          <w:tcPr>
            <w:tcW w:w="48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52A1A"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sz w:val="28"/>
                <w:szCs w:val="28"/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2026年本级政府性基金收入预算</w:t>
            </w:r>
          </w:p>
        </w:tc>
      </w:tr>
      <w:tr w14:paraId="04BA8EC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gridAfter w:val="2"/>
          <w:wBefore w:w="5" w:type="pct"/>
          <w:wAfter w:w="187" w:type="pct"/>
          <w:trHeight w:val="315" w:hRule="atLeast"/>
          <w:jc w:val="center"/>
        </w:trPr>
        <w:tc>
          <w:tcPr>
            <w:tcW w:w="36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96A1B">
            <w:pPr>
              <w:widowControl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B6A67">
            <w:pPr>
              <w:widowControl/>
              <w:jc w:val="righ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单位：万元</w:t>
            </w:r>
          </w:p>
        </w:tc>
      </w:tr>
      <w:tr w14:paraId="32604BD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gridAfter w:val="2"/>
          <w:wBefore w:w="5" w:type="pct"/>
          <w:wAfter w:w="187" w:type="pct"/>
          <w:trHeight w:val="680" w:hRule="atLeast"/>
          <w:jc w:val="center"/>
        </w:trPr>
        <w:tc>
          <w:tcPr>
            <w:tcW w:w="3610" w:type="pct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9CC8A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项    目</w:t>
            </w:r>
          </w:p>
        </w:tc>
        <w:tc>
          <w:tcPr>
            <w:tcW w:w="119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74A02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预算数</w:t>
            </w:r>
          </w:p>
        </w:tc>
      </w:tr>
      <w:tr w14:paraId="6D614A8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gridAfter w:val="2"/>
          <w:wBefore w:w="5" w:type="pct"/>
          <w:wAfter w:w="187" w:type="pct"/>
          <w:trHeight w:val="312" w:hRule="atLeast"/>
          <w:jc w:val="center"/>
        </w:trPr>
        <w:tc>
          <w:tcPr>
            <w:tcW w:w="3610" w:type="pct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108A38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9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E7E0E9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</w:tc>
      </w:tr>
      <w:tr w14:paraId="3A7AC8A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gridAfter w:val="2"/>
          <w:wBefore w:w="5" w:type="pct"/>
          <w:wAfter w:w="187" w:type="pct"/>
          <w:trHeight w:val="964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A01CC">
            <w:pPr>
              <w:widowControl/>
              <w:ind w:firstLine="240" w:firstLineChars="1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国有土地使用权出让收入</w:t>
            </w:r>
          </w:p>
        </w:tc>
        <w:tc>
          <w:tcPr>
            <w:tcW w:w="11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D9DF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99400</w:t>
            </w:r>
          </w:p>
        </w:tc>
      </w:tr>
      <w:tr w14:paraId="388CE79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gridAfter w:val="2"/>
          <w:wBefore w:w="5" w:type="pct"/>
          <w:wAfter w:w="187" w:type="pct"/>
          <w:trHeight w:val="964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F57386">
            <w:pPr>
              <w:widowControl/>
              <w:ind w:firstLine="240" w:firstLineChars="1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专项债务对应项目专项收入</w:t>
            </w:r>
          </w:p>
        </w:tc>
        <w:tc>
          <w:tcPr>
            <w:tcW w:w="11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13B2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600</w:t>
            </w:r>
          </w:p>
        </w:tc>
      </w:tr>
      <w:tr w14:paraId="5588F0C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Before w:val="1"/>
          <w:gridAfter w:val="2"/>
          <w:wBefore w:w="5" w:type="pct"/>
          <w:wAfter w:w="187" w:type="pct"/>
          <w:trHeight w:val="964" w:hRule="atLeast"/>
          <w:jc w:val="center"/>
        </w:trPr>
        <w:tc>
          <w:tcPr>
            <w:tcW w:w="3610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FA913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合     计</w:t>
            </w:r>
          </w:p>
        </w:tc>
        <w:tc>
          <w:tcPr>
            <w:tcW w:w="11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37C6E4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100000</w:t>
            </w:r>
          </w:p>
        </w:tc>
      </w:tr>
    </w:tbl>
    <w:p w14:paraId="58EADDD7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38F28766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41AC8A4D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1A67AA24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6101536C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7401D2CF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11AE8C33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28BA83AA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67BB1183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21A580E8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252BFBC6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68CAC7C3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tbl>
      <w:tblPr>
        <w:tblStyle w:val="9"/>
        <w:tblW w:w="4999" w:type="pct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6160"/>
        <w:gridCol w:w="2590"/>
      </w:tblGrid>
      <w:tr w14:paraId="6E45665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0" w:hRule="atLeast"/>
          <w:jc w:val="center"/>
        </w:trPr>
        <w:tc>
          <w:tcPr>
            <w:tcW w:w="3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C2C38">
            <w:pPr>
              <w:widowControl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bookmarkStart w:id="2" w:name="RANGE!A1:B10"/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附表十三</w:t>
            </w:r>
            <w:bookmarkEnd w:id="2"/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246EE">
            <w:pPr>
              <w:widowControl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 w14:paraId="00D646A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40" w:hRule="atLeast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986D2">
            <w:pPr>
              <w:widowControl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2026年本级政府性基金支出预算</w:t>
            </w:r>
          </w:p>
        </w:tc>
      </w:tr>
      <w:tr w14:paraId="55B1C78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5" w:hRule="atLeast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F02F5">
            <w:pPr>
              <w:widowControl/>
              <w:jc w:val="righ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单位：万元</w:t>
            </w:r>
          </w:p>
        </w:tc>
      </w:tr>
      <w:tr w14:paraId="2719BF2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0" w:hRule="atLeast"/>
          <w:jc w:val="center"/>
        </w:trPr>
        <w:tc>
          <w:tcPr>
            <w:tcW w:w="352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42036E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项    目</w:t>
            </w:r>
          </w:p>
        </w:tc>
        <w:tc>
          <w:tcPr>
            <w:tcW w:w="147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F1A03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预算</w:t>
            </w:r>
            <w:r>
              <w:rPr>
                <w:rFonts w:ascii="Microsoft YaHei UI" w:hAnsi="Microsoft YaHei UI" w:cs="宋体"/>
                <w:b/>
                <w:bCs/>
                <w:sz w:val="24"/>
                <w:szCs w:val="24"/>
              </w:rPr>
              <w:t>数</w:t>
            </w:r>
          </w:p>
        </w:tc>
      </w:tr>
      <w:tr w14:paraId="58E3E6E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0" w:hRule="atLeast"/>
          <w:jc w:val="center"/>
        </w:trPr>
        <w:tc>
          <w:tcPr>
            <w:tcW w:w="352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06050B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7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0A5D0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</w:tc>
      </w:tr>
      <w:tr w14:paraId="7596714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5" w:hRule="atLeast"/>
          <w:jc w:val="center"/>
        </w:trPr>
        <w:tc>
          <w:tcPr>
            <w:tcW w:w="352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45FBBB">
            <w:pPr>
              <w:widowControl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债务还本支出</w:t>
            </w:r>
          </w:p>
        </w:tc>
        <w:tc>
          <w:tcPr>
            <w:tcW w:w="14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295AD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6900</w:t>
            </w:r>
          </w:p>
        </w:tc>
      </w:tr>
      <w:tr w14:paraId="52F1156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5" w:hRule="atLeast"/>
          <w:jc w:val="center"/>
        </w:trPr>
        <w:tc>
          <w:tcPr>
            <w:tcW w:w="352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0380F9">
            <w:pPr>
              <w:widowControl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债务付息支出</w:t>
            </w:r>
          </w:p>
        </w:tc>
        <w:tc>
          <w:tcPr>
            <w:tcW w:w="14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9268B3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54500</w:t>
            </w:r>
          </w:p>
        </w:tc>
      </w:tr>
      <w:tr w14:paraId="7AC522B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5" w:hRule="atLeast"/>
          <w:jc w:val="center"/>
        </w:trPr>
        <w:tc>
          <w:tcPr>
            <w:tcW w:w="352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FB95CE">
            <w:pPr>
              <w:widowControl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债务发行费用支出</w:t>
            </w:r>
          </w:p>
        </w:tc>
        <w:tc>
          <w:tcPr>
            <w:tcW w:w="14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2645C1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130</w:t>
            </w:r>
          </w:p>
        </w:tc>
      </w:tr>
      <w:tr w14:paraId="68CDEA3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5" w:hRule="atLeast"/>
          <w:jc w:val="center"/>
        </w:trPr>
        <w:tc>
          <w:tcPr>
            <w:tcW w:w="352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4522C">
            <w:pPr>
              <w:widowControl/>
              <w:jc w:val="center"/>
              <w:rPr>
                <w:rFonts w:ascii="方正黑体_GBK" w:hAnsi="宋体" w:eastAsia="方正黑体_GBK" w:cs="宋体"/>
                <w:b/>
                <w:bCs/>
                <w:sz w:val="24"/>
                <w:szCs w:val="24"/>
              </w:rPr>
            </w:pPr>
            <w:r>
              <w:rPr>
                <w:rFonts w:hint="eastAsia" w:ascii="方正黑体_GBK" w:hAnsi="宋体" w:eastAsia="方正黑体_GBK" w:cs="宋体"/>
                <w:b/>
                <w:bCs/>
                <w:sz w:val="24"/>
                <w:szCs w:val="24"/>
              </w:rPr>
              <w:t>合    计</w:t>
            </w:r>
          </w:p>
        </w:tc>
        <w:tc>
          <w:tcPr>
            <w:tcW w:w="14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7D1742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61530</w:t>
            </w:r>
          </w:p>
        </w:tc>
      </w:tr>
      <w:tr w14:paraId="0B05058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0" w:hRule="atLeast"/>
          <w:jc w:val="center"/>
        </w:trPr>
        <w:tc>
          <w:tcPr>
            <w:tcW w:w="3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03BA3">
            <w:pPr>
              <w:widowControl/>
              <w:jc w:val="center"/>
              <w:rPr>
                <w:b/>
                <w:bCs/>
              </w:rPr>
            </w:pP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660BD">
            <w:pPr>
              <w:widowControl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.</w:t>
            </w:r>
          </w:p>
        </w:tc>
      </w:tr>
    </w:tbl>
    <w:p w14:paraId="5753C4EE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3A376396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0105F3DF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  <w:bookmarkStart w:id="3" w:name="_GoBack"/>
      <w:bookmarkEnd w:id="3"/>
    </w:p>
    <w:p w14:paraId="2F6F15C6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52CD4E5E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2CD21B27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462E57E0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51CFF1A0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2F95F5A1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3814FFEA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786492E7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63EAC774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宋体" w:hAnsi="宋体" w:cs="宋体"/>
          <w:b/>
          <w:bCs/>
          <w:sz w:val="28"/>
          <w:szCs w:val="28"/>
        </w:rPr>
        <w:t>附表十四</w:t>
      </w:r>
    </w:p>
    <w:tbl>
      <w:tblPr>
        <w:tblStyle w:val="9"/>
        <w:tblW w:w="5000" w:type="pct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654"/>
        <w:gridCol w:w="1610"/>
        <w:gridCol w:w="1957"/>
        <w:gridCol w:w="2531"/>
      </w:tblGrid>
      <w:tr w14:paraId="4A6963E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5" w:hRule="atLeast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C1F8C">
            <w:pPr>
              <w:widowControl/>
              <w:jc w:val="center"/>
              <w:rPr>
                <w:rFonts w:cs="方正小标宋_GBK"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2026年国有资本经营预算收支情况</w:t>
            </w:r>
          </w:p>
        </w:tc>
      </w:tr>
      <w:tr w14:paraId="49D5795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  <w:jc w:val="center"/>
        </w:trPr>
        <w:tc>
          <w:tcPr>
            <w:tcW w:w="1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DB30B">
            <w:pPr>
              <w:widowControl/>
              <w:rPr>
                <w:rFonts w:ascii="宋体" w:hAnsi="宋体" w:cs="宋体"/>
                <w:sz w:val="22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23C3DE86">
            <w:pPr>
              <w:widowControl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　</w:t>
            </w:r>
          </w:p>
        </w:tc>
        <w:tc>
          <w:tcPr>
            <w:tcW w:w="111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64AD9D91">
            <w:pPr>
              <w:widowControl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　</w:t>
            </w:r>
          </w:p>
        </w:tc>
        <w:tc>
          <w:tcPr>
            <w:tcW w:w="144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473BEC5F">
            <w:pPr>
              <w:widowControl/>
              <w:ind w:firstLine="840" w:firstLineChars="300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单位：万元  </w:t>
            </w:r>
          </w:p>
        </w:tc>
      </w:tr>
      <w:tr w14:paraId="02AAEC5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W w:w="151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1436CC4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项 目</w:t>
            </w:r>
          </w:p>
        </w:tc>
        <w:tc>
          <w:tcPr>
            <w:tcW w:w="9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32A605A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预算数</w:t>
            </w:r>
          </w:p>
        </w:tc>
        <w:tc>
          <w:tcPr>
            <w:tcW w:w="111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5BFF5A8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项 目</w:t>
            </w:r>
          </w:p>
        </w:tc>
        <w:tc>
          <w:tcPr>
            <w:tcW w:w="144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1397EC8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预算数</w:t>
            </w:r>
          </w:p>
        </w:tc>
      </w:tr>
      <w:tr w14:paraId="501D2FE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W w:w="1516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676332F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国有资本经营预算上级补助收入</w:t>
            </w:r>
          </w:p>
        </w:tc>
        <w:tc>
          <w:tcPr>
            <w:tcW w:w="9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9F19246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135 </w:t>
            </w:r>
          </w:p>
        </w:tc>
        <w:tc>
          <w:tcPr>
            <w:tcW w:w="111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4AC9449">
            <w:pPr>
              <w:widowControl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解决历史遗留问题及改革成本支出</w:t>
            </w:r>
          </w:p>
        </w:tc>
        <w:tc>
          <w:tcPr>
            <w:tcW w:w="144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4A74CAA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sz w:val="24"/>
                <w:szCs w:val="24"/>
              </w:rPr>
              <w:t>348</w:t>
            </w:r>
          </w:p>
        </w:tc>
      </w:tr>
      <w:tr w14:paraId="73F7891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W w:w="1516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535617C">
            <w:pPr>
              <w:widowControl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上年结余收入</w:t>
            </w:r>
          </w:p>
        </w:tc>
        <w:tc>
          <w:tcPr>
            <w:tcW w:w="920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2866C693">
            <w:pPr>
              <w:widowControl/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7948E38F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　</w:t>
            </w:r>
          </w:p>
        </w:tc>
        <w:tc>
          <w:tcPr>
            <w:tcW w:w="1444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3FC4F1F2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　</w:t>
            </w:r>
          </w:p>
        </w:tc>
      </w:tr>
      <w:tr w14:paraId="54B34FF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0" w:hRule="atLeast"/>
          <w:jc w:val="center"/>
        </w:trPr>
        <w:tc>
          <w:tcPr>
            <w:tcW w:w="1516" w:type="pct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1B6F0A0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收入总计</w:t>
            </w:r>
          </w:p>
        </w:tc>
        <w:tc>
          <w:tcPr>
            <w:tcW w:w="920" w:type="pct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6A94853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348</w:t>
            </w:r>
          </w:p>
        </w:tc>
        <w:tc>
          <w:tcPr>
            <w:tcW w:w="1118" w:type="pct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68C6679">
            <w:pPr>
              <w:widowControl/>
              <w:jc w:val="center"/>
              <w:rPr>
                <w:rFonts w:eastAsia="PMingLiU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支出总计</w:t>
            </w:r>
          </w:p>
        </w:tc>
        <w:tc>
          <w:tcPr>
            <w:tcW w:w="1444" w:type="pct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64932A9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348</w:t>
            </w:r>
          </w:p>
        </w:tc>
      </w:tr>
    </w:tbl>
    <w:p w14:paraId="6C8E8860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3CCDDCCB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0981AAE3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341BD504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011CD06B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7CE23279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0C8941A3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774D14E0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11C8E8E3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23F4DF90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7D78957C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29F9A8DB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403F52B4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tbl>
      <w:tblPr>
        <w:tblStyle w:val="9"/>
        <w:tblW w:w="8840" w:type="dxa"/>
        <w:tblInd w:w="1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6040"/>
        <w:gridCol w:w="320"/>
        <w:gridCol w:w="2460"/>
        <w:gridCol w:w="20"/>
      </w:tblGrid>
      <w:tr w14:paraId="5598822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570" w:hRule="atLeast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C86B2">
            <w:pPr>
              <w:widowControl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附表十五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B57C9">
            <w:pPr>
              <w:widowControl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 w14:paraId="785C424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570" w:hRule="atLeast"/>
        </w:trPr>
        <w:tc>
          <w:tcPr>
            <w:tcW w:w="8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67E4D">
            <w:pPr>
              <w:widowControl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2026年社会保险基金收入预算</w:t>
            </w:r>
          </w:p>
        </w:tc>
      </w:tr>
      <w:tr w14:paraId="11A0C71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315" w:hRule="atLeast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21B4E">
            <w:pPr>
              <w:widowControl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579DC">
            <w:pPr>
              <w:widowControl/>
              <w:jc w:val="righ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单位：万元</w:t>
            </w:r>
          </w:p>
        </w:tc>
      </w:tr>
      <w:tr w14:paraId="55F1E4A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443370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项     目</w:t>
            </w:r>
          </w:p>
        </w:tc>
        <w:tc>
          <w:tcPr>
            <w:tcW w:w="2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5E40F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预算数</w:t>
            </w:r>
          </w:p>
        </w:tc>
      </w:tr>
      <w:tr w14:paraId="1F2582C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B8A663">
            <w:pPr>
              <w:widowControl/>
              <w:ind w:firstLine="241" w:firstLineChars="100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一、机关事业单位基本养老保险基金收入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DB2D7B">
            <w:pPr>
              <w:widowControl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37050</w:t>
            </w:r>
          </w:p>
        </w:tc>
      </w:tr>
      <w:tr w14:paraId="2648502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B143C5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1.保险费收入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19498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18608</w:t>
            </w:r>
          </w:p>
        </w:tc>
      </w:tr>
      <w:tr w14:paraId="110C2DA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9A1D08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2.财政补贴收入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58A19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17102</w:t>
            </w:r>
          </w:p>
        </w:tc>
      </w:tr>
      <w:tr w14:paraId="4A730DC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C49403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3.利息收入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80562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14</w:t>
            </w:r>
          </w:p>
        </w:tc>
      </w:tr>
      <w:tr w14:paraId="7C28496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3B383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4.转移收入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2E19E4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1300</w:t>
            </w:r>
          </w:p>
        </w:tc>
      </w:tr>
      <w:tr w14:paraId="53EFAA2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172A8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5.其他收入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6F230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26</w:t>
            </w:r>
          </w:p>
        </w:tc>
      </w:tr>
      <w:tr w14:paraId="6C3475D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1F9EDC">
            <w:pPr>
              <w:widowControl/>
              <w:ind w:firstLine="241" w:firstLineChars="100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二、城乡居民基本养老保险基金收入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48F060">
            <w:pPr>
              <w:widowControl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16397</w:t>
            </w:r>
          </w:p>
        </w:tc>
      </w:tr>
      <w:tr w14:paraId="54F6588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C8C830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1.缴费收入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C44A1C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4277</w:t>
            </w:r>
          </w:p>
        </w:tc>
      </w:tr>
      <w:tr w14:paraId="41928D2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35D17D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2.财政补贴收入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FFCFFA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10997</w:t>
            </w:r>
          </w:p>
        </w:tc>
      </w:tr>
      <w:tr w14:paraId="469170F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A7CAC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3.利息收入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71FD2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397</w:t>
            </w:r>
          </w:p>
        </w:tc>
      </w:tr>
      <w:tr w14:paraId="119D77F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37F42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4.委托投资收益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F4A2A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621</w:t>
            </w:r>
          </w:p>
        </w:tc>
      </w:tr>
      <w:tr w14:paraId="70AEF31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39BD9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5.转移收入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29812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70</w:t>
            </w:r>
          </w:p>
        </w:tc>
      </w:tr>
      <w:tr w14:paraId="168A9CC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84EA17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6.其他收入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35510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35</w:t>
            </w:r>
          </w:p>
        </w:tc>
      </w:tr>
      <w:tr w14:paraId="26E39F6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0" w:type="dxa"/>
          <w:trHeight w:val="680" w:hRule="atLeast"/>
        </w:trPr>
        <w:tc>
          <w:tcPr>
            <w:tcW w:w="636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0562F">
            <w:pPr>
              <w:widowControl/>
              <w:jc w:val="center"/>
              <w:rPr>
                <w:rFonts w:ascii="方正黑体_GBK" w:hAnsi="宋体" w:eastAsia="方正黑体_GBK" w:cs="宋体"/>
                <w:b/>
                <w:bCs/>
                <w:sz w:val="24"/>
                <w:szCs w:val="24"/>
              </w:rPr>
            </w:pPr>
            <w:r>
              <w:rPr>
                <w:rFonts w:hint="eastAsia" w:ascii="方正黑体_GBK" w:hAnsi="宋体" w:eastAsia="方正黑体_GBK" w:cs="宋体"/>
                <w:b/>
                <w:bCs/>
                <w:sz w:val="24"/>
                <w:szCs w:val="24"/>
              </w:rPr>
              <w:t>合    计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7FABD3">
            <w:pPr>
              <w:widowControl/>
              <w:jc w:val="center"/>
              <w:rPr>
                <w:rFonts w:ascii="黑体" w:hAnsi="黑体" w:eastAsia="黑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53447</w:t>
            </w:r>
          </w:p>
        </w:tc>
      </w:tr>
      <w:tr w14:paraId="1344DDB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0" w:hRule="atLeast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D221D">
            <w:pPr>
              <w:widowControl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附表十六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94B0C">
            <w:pPr>
              <w:widowControl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 w14:paraId="63E17E0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10" w:hRule="atLeast"/>
        </w:trPr>
        <w:tc>
          <w:tcPr>
            <w:tcW w:w="8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5A9BE">
            <w:pPr>
              <w:widowControl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cs="Times New Roman" w:asciiTheme="majorEastAsia" w:hAnsiTheme="majorEastAsia" w:eastAsiaTheme="majorEastAsia"/>
                <w:b/>
                <w:bCs/>
                <w:sz w:val="36"/>
                <w:szCs w:val="36"/>
              </w:rPr>
              <w:t>2026年社会保险基金支出预算</w:t>
            </w:r>
          </w:p>
        </w:tc>
      </w:tr>
      <w:tr w14:paraId="75903A8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5" w:hRule="atLeast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2C449">
            <w:pPr>
              <w:widowControl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8CEE7">
            <w:pPr>
              <w:widowControl/>
              <w:jc w:val="righ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单位：万元</w:t>
            </w:r>
          </w:p>
        </w:tc>
      </w:tr>
      <w:tr w14:paraId="00AC558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</w:trPr>
        <w:tc>
          <w:tcPr>
            <w:tcW w:w="6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D10F76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项     目</w:t>
            </w:r>
          </w:p>
        </w:tc>
        <w:tc>
          <w:tcPr>
            <w:tcW w:w="28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503E8F">
            <w:pPr>
              <w:widowControl/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预算数</w:t>
            </w:r>
          </w:p>
        </w:tc>
      </w:tr>
      <w:tr w14:paraId="7C218FA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</w:trPr>
        <w:tc>
          <w:tcPr>
            <w:tcW w:w="6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9E1209">
            <w:pPr>
              <w:widowControl/>
              <w:ind w:firstLine="241" w:firstLineChars="100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一、机关事业单位基本养老保险基金支出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5B75B4">
            <w:pPr>
              <w:widowControl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38749</w:t>
            </w:r>
          </w:p>
        </w:tc>
      </w:tr>
      <w:tr w14:paraId="0F71BDD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</w:trPr>
        <w:tc>
          <w:tcPr>
            <w:tcW w:w="6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5F745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1.基本养老金支出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DCFCD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37828</w:t>
            </w:r>
          </w:p>
        </w:tc>
      </w:tr>
      <w:tr w14:paraId="2F857A8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</w:trPr>
        <w:tc>
          <w:tcPr>
            <w:tcW w:w="6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50FC2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2.转移支出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2C536C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900</w:t>
            </w:r>
          </w:p>
        </w:tc>
      </w:tr>
      <w:tr w14:paraId="489CD55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</w:trPr>
        <w:tc>
          <w:tcPr>
            <w:tcW w:w="6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259F3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3.其他支出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5A21FF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21</w:t>
            </w:r>
          </w:p>
        </w:tc>
      </w:tr>
      <w:tr w14:paraId="22845D1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</w:trPr>
        <w:tc>
          <w:tcPr>
            <w:tcW w:w="6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5AEC6A">
            <w:pPr>
              <w:widowControl/>
              <w:ind w:firstLine="241" w:firstLineChars="100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二、城乡居民基本养老保险基金支出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994C29">
            <w:pPr>
              <w:widowControl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11625</w:t>
            </w:r>
          </w:p>
        </w:tc>
      </w:tr>
      <w:tr w14:paraId="547D11E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</w:trPr>
        <w:tc>
          <w:tcPr>
            <w:tcW w:w="6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17FAAE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1.基础养老金支出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D1A45A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10752</w:t>
            </w:r>
          </w:p>
        </w:tc>
      </w:tr>
      <w:tr w14:paraId="61C0825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</w:trPr>
        <w:tc>
          <w:tcPr>
            <w:tcW w:w="6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8370A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2.个人账户养老金支出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056742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831</w:t>
            </w:r>
          </w:p>
        </w:tc>
      </w:tr>
      <w:tr w14:paraId="6DA0819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</w:trPr>
        <w:tc>
          <w:tcPr>
            <w:tcW w:w="6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C3EBD3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3.转移支出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F218AE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35</w:t>
            </w:r>
          </w:p>
        </w:tc>
      </w:tr>
      <w:tr w14:paraId="1FFC85A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</w:trPr>
        <w:tc>
          <w:tcPr>
            <w:tcW w:w="6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0CB81">
            <w:pPr>
              <w:widowControl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4.其他支出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2C9FF">
            <w:pPr>
              <w:widowControl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7</w:t>
            </w:r>
          </w:p>
        </w:tc>
      </w:tr>
      <w:tr w14:paraId="4750899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</w:trPr>
        <w:tc>
          <w:tcPr>
            <w:tcW w:w="6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D7EB0">
            <w:pPr>
              <w:widowControl/>
              <w:jc w:val="center"/>
              <w:rPr>
                <w:rFonts w:ascii="方正黑体_GBK" w:hAnsi="宋体" w:eastAsia="方正黑体_GBK" w:cs="宋体"/>
                <w:b/>
                <w:bCs/>
                <w:sz w:val="24"/>
                <w:szCs w:val="24"/>
              </w:rPr>
            </w:pPr>
            <w:r>
              <w:rPr>
                <w:rFonts w:hint="eastAsia" w:ascii="方正黑体_GBK" w:hAnsi="宋体" w:eastAsia="方正黑体_GBK" w:cs="宋体"/>
                <w:b/>
                <w:bCs/>
                <w:sz w:val="24"/>
                <w:szCs w:val="24"/>
              </w:rPr>
              <w:t>合    计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635C4F">
            <w:pPr>
              <w:widowControl/>
              <w:jc w:val="center"/>
              <w:rPr>
                <w:rFonts w:ascii="黑体" w:hAnsi="黑体" w:eastAsia="黑体" w:cs="宋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b/>
                <w:sz w:val="24"/>
                <w:szCs w:val="24"/>
              </w:rPr>
              <w:t>50374</w:t>
            </w:r>
          </w:p>
        </w:tc>
      </w:tr>
    </w:tbl>
    <w:p w14:paraId="587765CB">
      <w:pPr>
        <w:widowControl/>
        <w:shd w:val="clear" w:color="auto" w:fill="FFFFFF"/>
        <w:spacing w:line="560" w:lineRule="exact"/>
        <w:rPr>
          <w:rFonts w:ascii="仿宋" w:hAnsi="仿宋" w:eastAsia="仿宋"/>
          <w:sz w:val="32"/>
          <w:szCs w:val="32"/>
        </w:rPr>
      </w:pPr>
    </w:p>
    <w:p w14:paraId="0349335D">
      <w:pPr>
        <w:pStyle w:val="3"/>
        <w:ind w:firstLine="420"/>
        <w:rPr>
          <w:lang w:eastAsia="zh-CN"/>
        </w:rPr>
      </w:pPr>
    </w:p>
    <w:sectPr>
      <w:footerReference r:id="rId3" w:type="default"/>
      <w:pgSz w:w="11906" w:h="16838"/>
      <w:pgMar w:top="2098" w:right="1587" w:bottom="2098" w:left="1587" w:header="851" w:footer="136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502E03F-2E0F-4B8C-BB68-08636132B02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1305EBB6-F4D9-4E4E-932C-9BBF47BDC0CF}"/>
  </w:font>
  <w:font w:name="宋?">
    <w:altName w:val="宋体"/>
    <w:panose1 w:val="00000000000000000000"/>
    <w:charset w:val="81"/>
    <w:family w:val="auto"/>
    <w:pitch w:val="default"/>
    <w:sig w:usb0="00000000" w:usb1="00000000" w:usb2="00000010" w:usb3="00000000" w:csb0="0008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14BD312F-3953-41C8-A3AF-5378E4422CB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F061D08A-A6AC-41B4-8EC4-827DB0CB3DC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B89FC30D-8D85-4FF3-8FB7-65ED8712D7C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9424E5F5-AD9C-4D60-9B1A-88019333036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D30A4942-05FA-4DE5-B86A-B26CFA8315C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38C397E0-FCFC-43E8-B19C-D59FC07C4FCB}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  <w:embedRegular r:id="rId9" w:fontKey="{151EFD83-87E8-450B-AA46-3C28479D8073}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0" w:fontKey="{D7C34FA7-CEED-4DF9-93B2-C23E45BB0B42}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1" w:fontKey="{F30C52B8-0041-4F50-AC91-E9011AFC640D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2" w:fontKey="{7568E711-2EC8-420D-8BD6-550FD2D46DB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3" w:fontKey="{942D4EEB-1633-49DD-9558-3D0033B55A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173AD2">
    <w:pPr>
      <w:pStyle w:val="7"/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5B3E8">
                          <w:pPr>
                            <w:pStyle w:val="7"/>
                            <w:rPr>
                              <w:rFonts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t>16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25B3E8">
                    <w:pPr>
                      <w:pStyle w:val="7"/>
                      <w:rPr>
                        <w:rFonts w:asciiTheme="minorEastAsia" w:hAnsiTheme="minorEastAsia" w:eastAsiaTheme="minorEastAsia" w:cstheme="minorEastAsia"/>
                        <w:sz w:val="24"/>
                        <w:szCs w:val="24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 w:cstheme="minorEastAsia"/>
                        <w:sz w:val="24"/>
                        <w:szCs w:val="24"/>
                      </w:rPr>
                      <w:t>16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MjBlYmNkYTdiMDFlZjQ5MjMxNWRmMzg0YjBiNGUifQ=="/>
    <w:docVar w:name="KSO_WPS_MARK_KEY" w:val="7f3bc2a5-f95a-49ee-80b9-2085d790c57e"/>
  </w:docVars>
  <w:rsids>
    <w:rsidRoot w:val="7ECD3CC8"/>
    <w:rsid w:val="002D1820"/>
    <w:rsid w:val="00811F57"/>
    <w:rsid w:val="00D26D9F"/>
    <w:rsid w:val="00F574CC"/>
    <w:rsid w:val="00F74304"/>
    <w:rsid w:val="01885CBB"/>
    <w:rsid w:val="0322629D"/>
    <w:rsid w:val="032B09E8"/>
    <w:rsid w:val="037E2EB0"/>
    <w:rsid w:val="073D0B7A"/>
    <w:rsid w:val="0921401C"/>
    <w:rsid w:val="0A2168AE"/>
    <w:rsid w:val="0AEA2F37"/>
    <w:rsid w:val="0B1306DF"/>
    <w:rsid w:val="0B3D39AE"/>
    <w:rsid w:val="0C0A6FBE"/>
    <w:rsid w:val="0D426078"/>
    <w:rsid w:val="0E0356E7"/>
    <w:rsid w:val="0E1E7AC7"/>
    <w:rsid w:val="0FD141EC"/>
    <w:rsid w:val="11401B02"/>
    <w:rsid w:val="12720220"/>
    <w:rsid w:val="14CA3360"/>
    <w:rsid w:val="1A350442"/>
    <w:rsid w:val="1A6D2F3F"/>
    <w:rsid w:val="1B395F40"/>
    <w:rsid w:val="1C6063DC"/>
    <w:rsid w:val="1DD3491D"/>
    <w:rsid w:val="1F612C06"/>
    <w:rsid w:val="20D76824"/>
    <w:rsid w:val="22F45E32"/>
    <w:rsid w:val="23690DBD"/>
    <w:rsid w:val="29A22F02"/>
    <w:rsid w:val="2A60136E"/>
    <w:rsid w:val="2CDB6B2E"/>
    <w:rsid w:val="2EA37828"/>
    <w:rsid w:val="2EE814E3"/>
    <w:rsid w:val="2EF80AD9"/>
    <w:rsid w:val="2FDB332F"/>
    <w:rsid w:val="319C0B7F"/>
    <w:rsid w:val="33291F9F"/>
    <w:rsid w:val="33953AD8"/>
    <w:rsid w:val="36885A51"/>
    <w:rsid w:val="36AE1139"/>
    <w:rsid w:val="372F4669"/>
    <w:rsid w:val="37BE0ABC"/>
    <w:rsid w:val="39B747A8"/>
    <w:rsid w:val="3A6C133D"/>
    <w:rsid w:val="3AE736C8"/>
    <w:rsid w:val="3C6127A9"/>
    <w:rsid w:val="3CFA0578"/>
    <w:rsid w:val="3F2D7B0F"/>
    <w:rsid w:val="4091014F"/>
    <w:rsid w:val="414C38C3"/>
    <w:rsid w:val="425F4043"/>
    <w:rsid w:val="429C278D"/>
    <w:rsid w:val="43370708"/>
    <w:rsid w:val="43AA3181"/>
    <w:rsid w:val="478B7E5A"/>
    <w:rsid w:val="4800098F"/>
    <w:rsid w:val="491A08B0"/>
    <w:rsid w:val="4A235542"/>
    <w:rsid w:val="4B8F188B"/>
    <w:rsid w:val="4C0F4716"/>
    <w:rsid w:val="4C433D32"/>
    <w:rsid w:val="4C910CDE"/>
    <w:rsid w:val="4CC823D1"/>
    <w:rsid w:val="4F6665FD"/>
    <w:rsid w:val="4F74239C"/>
    <w:rsid w:val="4FA42339"/>
    <w:rsid w:val="50AD65C2"/>
    <w:rsid w:val="511A1D46"/>
    <w:rsid w:val="51B62E86"/>
    <w:rsid w:val="51C413B8"/>
    <w:rsid w:val="51C6637C"/>
    <w:rsid w:val="539E0B2A"/>
    <w:rsid w:val="56C832B0"/>
    <w:rsid w:val="57F30C49"/>
    <w:rsid w:val="5AFF618D"/>
    <w:rsid w:val="5B193454"/>
    <w:rsid w:val="5EEB2D9E"/>
    <w:rsid w:val="5EEFF0FC"/>
    <w:rsid w:val="5FBF0F0E"/>
    <w:rsid w:val="6189617B"/>
    <w:rsid w:val="625C73EB"/>
    <w:rsid w:val="62E93375"/>
    <w:rsid w:val="63841E8A"/>
    <w:rsid w:val="64AF414A"/>
    <w:rsid w:val="655F16CC"/>
    <w:rsid w:val="66D659BE"/>
    <w:rsid w:val="68141EE3"/>
    <w:rsid w:val="688B0A6A"/>
    <w:rsid w:val="6C235513"/>
    <w:rsid w:val="6CAE2F39"/>
    <w:rsid w:val="6F400979"/>
    <w:rsid w:val="6FA76BC5"/>
    <w:rsid w:val="6FC50FBD"/>
    <w:rsid w:val="713F6856"/>
    <w:rsid w:val="72B63C5E"/>
    <w:rsid w:val="73085D88"/>
    <w:rsid w:val="79164340"/>
    <w:rsid w:val="7A886C4E"/>
    <w:rsid w:val="7BA93249"/>
    <w:rsid w:val="7BD9FE68"/>
    <w:rsid w:val="7CB74B7D"/>
    <w:rsid w:val="7EC76599"/>
    <w:rsid w:val="7ECD3CC8"/>
    <w:rsid w:val="7F1E5CFC"/>
    <w:rsid w:val="7F33EC52"/>
    <w:rsid w:val="7FFF5C09"/>
    <w:rsid w:val="AE771AE1"/>
    <w:rsid w:val="B9F2753B"/>
    <w:rsid w:val="D36F045E"/>
    <w:rsid w:val="D3FF3A7F"/>
    <w:rsid w:val="D4985F96"/>
    <w:rsid w:val="DFEF5B92"/>
    <w:rsid w:val="EEBF78C1"/>
    <w:rsid w:val="EFD3279D"/>
    <w:rsid w:val="EFDCE370"/>
    <w:rsid w:val="F2BFC06F"/>
    <w:rsid w:val="FAEF5AED"/>
    <w:rsid w:val="FD8FE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1"/>
      <w:sz w:val="21"/>
      <w:lang w:val="en-US" w:eastAsia="ar-SA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600" w:lineRule="exact"/>
      <w:ind w:firstLine="880" w:firstLineChars="200"/>
      <w:outlineLvl w:val="1"/>
    </w:pPr>
    <w:rPr>
      <w:rFonts w:eastAsia="黑体"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1"/>
    <w:qFormat/>
    <w:uiPriority w:val="0"/>
    <w:pPr>
      <w:ind w:firstLine="200" w:firstLineChars="200"/>
    </w:pPr>
    <w:rPr>
      <w:rFonts w:ascii="Calibri" w:hAnsi="Calibri"/>
    </w:rPr>
  </w:style>
  <w:style w:type="paragraph" w:styleId="4">
    <w:name w:val="Body Text"/>
    <w:basedOn w:val="1"/>
    <w:next w:val="5"/>
    <w:qFormat/>
    <w:uiPriority w:val="99"/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Plain Text"/>
    <w:basedOn w:val="1"/>
    <w:qFormat/>
    <w:uiPriority w:val="99"/>
    <w:rPr>
      <w:rFonts w:ascii="宋?" w:hAnsi="Courier New" w:cs="宋?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11">
    <w:name w:val="NormalCharacter"/>
    <w:basedOn w:val="10"/>
    <w:qFormat/>
    <w:uiPriority w:val="99"/>
    <w:rPr>
      <w:rFonts w:ascii="Calibri" w:hAnsi="Calibri" w:eastAsia="宋体" w:cs="Arial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7752</Words>
  <Characters>8519</Characters>
  <Lines>81</Lines>
  <Paragraphs>23</Paragraphs>
  <TotalTime>15</TotalTime>
  <ScaleCrop>false</ScaleCrop>
  <LinksUpToDate>false</LinksUpToDate>
  <CharactersWithSpaces>8597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2024-12-19T17:07:00Z</dcterms:created>
  <dc:creator>我是一只小老虎咿呀咿呀嘿</dc:creator>
  <cp:lastModifiedBy>锅盖</cp:lastModifiedBy>
  <dcterms:modified xsi:type="dcterms:W3CDTF">2026-01-23T03:52:36Z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66CE190A07364EA3BA562A5B898CBB3D_13</vt:lpwstr>
  </property>
  <property fmtid="{D5CDD505-2E9C-101B-9397-08002B2CF9AE}" pid="4" name="KSOTemplateDocerSaveRecord">
    <vt:lpwstr>eyJoZGlkIjoiNmJiZGExNDMyN2JlNDU2ZTQxZWRhOTlkYWFhN2VkNjAiLCJ1c2VySWQiOiIxMzQ2MjI2ODAyIn0=</vt:lpwstr>
  </property>
</Properties>
</file>