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r>
        <w:fldChar w:fldCharType="end"/>
      </w:r>
    </w:p>
    <w:p>
      <w:pPr>
        <w:jc w:val="center"/>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t>一、中共莲池区委宣传部本级收支预算</w:t>
      </w:r>
      <w:r>
        <w:tab/>
      </w:r>
      <w:r>
        <w:fldChar w:fldCharType="begin"/>
      </w:r>
      <w:r>
        <w:instrText xml:space="preserve">PAGEREF _Toc_4_4_0000000021 \h</w:instrText>
      </w:r>
      <w:r>
        <w:fldChar w:fldCharType="separate"/>
      </w:r>
      <w:r>
        <w:t>31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211中共莲池区委宣传部</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845.69</w:t>
            </w:r>
          </w:p>
        </w:tc>
        <w:tc>
          <w:tcPr>
            <w:tcW w:w="4535" w:type="dxa"/>
            <w:vAlign w:val="center"/>
          </w:tcPr>
          <w:p>
            <w:pPr>
              <w:pStyle w:val="14"/>
            </w:pPr>
            <w:r>
              <w:t>一、一般公共服务支出</w:t>
            </w:r>
          </w:p>
        </w:tc>
        <w:tc>
          <w:tcPr>
            <w:tcW w:w="2126" w:type="dxa"/>
            <w:vAlign w:val="center"/>
          </w:tcPr>
          <w:p>
            <w:pPr>
              <w:pStyle w:val="13"/>
            </w:pPr>
            <w:r>
              <w:t>762.65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48.00</w:t>
            </w: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177.62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893.69</w:t>
            </w:r>
          </w:p>
        </w:tc>
        <w:tc>
          <w:tcPr>
            <w:tcW w:w="4535" w:type="dxa"/>
            <w:vAlign w:val="center"/>
          </w:tcPr>
          <w:p>
            <w:pPr>
              <w:pStyle w:val="16"/>
            </w:pPr>
            <w:r>
              <w:t>本年支出合计</w:t>
            </w:r>
          </w:p>
        </w:tc>
        <w:tc>
          <w:tcPr>
            <w:tcW w:w="2126" w:type="dxa"/>
            <w:vAlign w:val="center"/>
          </w:tcPr>
          <w:p>
            <w:pPr>
              <w:pStyle w:val="17"/>
            </w:pPr>
            <w:r>
              <w:t>940.27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46.58</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940.27</w:t>
            </w:r>
          </w:p>
        </w:tc>
        <w:tc>
          <w:tcPr>
            <w:tcW w:w="4535" w:type="dxa"/>
            <w:vAlign w:val="center"/>
          </w:tcPr>
          <w:p>
            <w:pPr>
              <w:pStyle w:val="16"/>
            </w:pPr>
            <w:r>
              <w:t>支出总计</w:t>
            </w:r>
          </w:p>
        </w:tc>
        <w:tc>
          <w:tcPr>
            <w:tcW w:w="2126" w:type="dxa"/>
            <w:vAlign w:val="center"/>
          </w:tcPr>
          <w:p>
            <w:pPr>
              <w:pStyle w:val="17"/>
            </w:pPr>
            <w:r>
              <w:t>940.27</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211中共莲池区委宣传部</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940.27</w:t>
            </w:r>
          </w:p>
        </w:tc>
        <w:tc>
          <w:tcPr>
            <w:tcW w:w="1134" w:type="dxa"/>
            <w:vAlign w:val="center"/>
          </w:tcPr>
          <w:p>
            <w:pPr>
              <w:pStyle w:val="17"/>
            </w:pPr>
            <w:r>
              <w:t>893.69</w:t>
            </w:r>
          </w:p>
        </w:tc>
        <w:tc>
          <w:tcPr>
            <w:tcW w:w="1134" w:type="dxa"/>
            <w:vAlign w:val="center"/>
          </w:tcPr>
          <w:p>
            <w:pPr>
              <w:pStyle w:val="17"/>
            </w:pPr>
            <w:r>
              <w:t>893.69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46.58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762.65</w:t>
            </w:r>
          </w:p>
        </w:tc>
        <w:tc>
          <w:tcPr>
            <w:tcW w:w="1134" w:type="dxa"/>
            <w:vAlign w:val="center"/>
          </w:tcPr>
          <w:p>
            <w:pPr>
              <w:pStyle w:val="13"/>
            </w:pPr>
            <w:r>
              <w:t>762.65</w:t>
            </w:r>
          </w:p>
        </w:tc>
        <w:tc>
          <w:tcPr>
            <w:tcW w:w="1134" w:type="dxa"/>
            <w:vAlign w:val="center"/>
          </w:tcPr>
          <w:p>
            <w:pPr>
              <w:pStyle w:val="13"/>
            </w:pPr>
            <w:r>
              <w:t>762.65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20133</w:t>
            </w:r>
          </w:p>
        </w:tc>
        <w:tc>
          <w:tcPr>
            <w:tcW w:w="1559" w:type="dxa"/>
            <w:vAlign w:val="center"/>
          </w:tcPr>
          <w:p>
            <w:pPr>
              <w:pStyle w:val="14"/>
            </w:pPr>
            <w:r>
              <w:t>宣传事务</w:t>
            </w:r>
          </w:p>
        </w:tc>
        <w:tc>
          <w:tcPr>
            <w:tcW w:w="1134" w:type="dxa"/>
            <w:vAlign w:val="center"/>
          </w:tcPr>
          <w:p>
            <w:pPr>
              <w:pStyle w:val="13"/>
            </w:pPr>
            <w:r>
              <w:t>762.65</w:t>
            </w:r>
          </w:p>
        </w:tc>
        <w:tc>
          <w:tcPr>
            <w:tcW w:w="1134" w:type="dxa"/>
            <w:vAlign w:val="center"/>
          </w:tcPr>
          <w:p>
            <w:pPr>
              <w:pStyle w:val="13"/>
            </w:pPr>
            <w:r>
              <w:t>762.65</w:t>
            </w:r>
          </w:p>
        </w:tc>
        <w:tc>
          <w:tcPr>
            <w:tcW w:w="1134" w:type="dxa"/>
            <w:vAlign w:val="center"/>
          </w:tcPr>
          <w:p>
            <w:pPr>
              <w:pStyle w:val="13"/>
            </w:pPr>
            <w:r>
              <w:t>762.65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2013301</w:t>
            </w:r>
          </w:p>
        </w:tc>
        <w:tc>
          <w:tcPr>
            <w:tcW w:w="1559" w:type="dxa"/>
            <w:vAlign w:val="center"/>
          </w:tcPr>
          <w:p>
            <w:pPr>
              <w:pStyle w:val="14"/>
            </w:pPr>
            <w:r>
              <w:t>行政运行</w:t>
            </w:r>
          </w:p>
        </w:tc>
        <w:tc>
          <w:tcPr>
            <w:tcW w:w="1134" w:type="dxa"/>
            <w:vAlign w:val="center"/>
          </w:tcPr>
          <w:p>
            <w:pPr>
              <w:pStyle w:val="13"/>
            </w:pPr>
            <w:r>
              <w:t>535.05</w:t>
            </w:r>
          </w:p>
        </w:tc>
        <w:tc>
          <w:tcPr>
            <w:tcW w:w="1134" w:type="dxa"/>
            <w:vAlign w:val="center"/>
          </w:tcPr>
          <w:p>
            <w:pPr>
              <w:pStyle w:val="13"/>
            </w:pPr>
            <w:r>
              <w:t>535.05</w:t>
            </w:r>
          </w:p>
        </w:tc>
        <w:tc>
          <w:tcPr>
            <w:tcW w:w="1134" w:type="dxa"/>
            <w:vAlign w:val="center"/>
          </w:tcPr>
          <w:p>
            <w:pPr>
              <w:pStyle w:val="13"/>
            </w:pPr>
            <w:r>
              <w:t>535.05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2013302</w:t>
            </w:r>
          </w:p>
        </w:tc>
        <w:tc>
          <w:tcPr>
            <w:tcW w:w="1559" w:type="dxa"/>
            <w:vAlign w:val="center"/>
          </w:tcPr>
          <w:p>
            <w:pPr>
              <w:pStyle w:val="14"/>
            </w:pPr>
            <w:r>
              <w:t>一般行政管理事务</w:t>
            </w:r>
          </w:p>
        </w:tc>
        <w:tc>
          <w:tcPr>
            <w:tcW w:w="1134" w:type="dxa"/>
            <w:vAlign w:val="center"/>
          </w:tcPr>
          <w:p>
            <w:pPr>
              <w:pStyle w:val="13"/>
            </w:pPr>
            <w:r>
              <w:t>227.60</w:t>
            </w:r>
          </w:p>
        </w:tc>
        <w:tc>
          <w:tcPr>
            <w:tcW w:w="1134" w:type="dxa"/>
            <w:vAlign w:val="center"/>
          </w:tcPr>
          <w:p>
            <w:pPr>
              <w:pStyle w:val="13"/>
            </w:pPr>
            <w:r>
              <w:t>227.60</w:t>
            </w:r>
          </w:p>
        </w:tc>
        <w:tc>
          <w:tcPr>
            <w:tcW w:w="1134" w:type="dxa"/>
            <w:vAlign w:val="center"/>
          </w:tcPr>
          <w:p>
            <w:pPr>
              <w:pStyle w:val="13"/>
            </w:pPr>
            <w:r>
              <w:t>227.60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177.62</w:t>
            </w:r>
          </w:p>
        </w:tc>
        <w:tc>
          <w:tcPr>
            <w:tcW w:w="1134" w:type="dxa"/>
            <w:vAlign w:val="center"/>
          </w:tcPr>
          <w:p>
            <w:pPr>
              <w:pStyle w:val="13"/>
            </w:pPr>
            <w:r>
              <w:t>131.04</w:t>
            </w:r>
          </w:p>
        </w:tc>
        <w:tc>
          <w:tcPr>
            <w:tcW w:w="1134" w:type="dxa"/>
            <w:vAlign w:val="center"/>
          </w:tcPr>
          <w:p>
            <w:pPr>
              <w:pStyle w:val="13"/>
            </w:pPr>
            <w:r>
              <w:t>131.04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20706</w:t>
            </w:r>
          </w:p>
        </w:tc>
        <w:tc>
          <w:tcPr>
            <w:tcW w:w="1559" w:type="dxa"/>
            <w:vAlign w:val="center"/>
          </w:tcPr>
          <w:p>
            <w:pPr>
              <w:pStyle w:val="14"/>
            </w:pPr>
            <w:r>
              <w:t>新闻出版电影</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2070606</w:t>
            </w:r>
          </w:p>
        </w:tc>
        <w:tc>
          <w:tcPr>
            <w:tcW w:w="1559" w:type="dxa"/>
            <w:vAlign w:val="center"/>
          </w:tcPr>
          <w:p>
            <w:pPr>
              <w:pStyle w:val="14"/>
            </w:pPr>
            <w:r>
              <w:t>版权管理</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20707</w:t>
            </w:r>
          </w:p>
        </w:tc>
        <w:tc>
          <w:tcPr>
            <w:tcW w:w="1559" w:type="dxa"/>
            <w:vAlign w:val="center"/>
          </w:tcPr>
          <w:p>
            <w:pPr>
              <w:pStyle w:val="14"/>
            </w:pPr>
            <w:r>
              <w:t>国家电影事业发展专项资金安排的支出</w:t>
            </w:r>
          </w:p>
        </w:tc>
        <w:tc>
          <w:tcPr>
            <w:tcW w:w="1134" w:type="dxa"/>
            <w:vAlign w:val="center"/>
          </w:tcPr>
          <w:p>
            <w:pPr>
              <w:pStyle w:val="13"/>
            </w:pPr>
            <w:r>
              <w:t>60.00</w:t>
            </w:r>
          </w:p>
        </w:tc>
        <w:tc>
          <w:tcPr>
            <w:tcW w:w="1134" w:type="dxa"/>
            <w:vAlign w:val="center"/>
          </w:tcPr>
          <w:p>
            <w:pPr>
              <w:pStyle w:val="13"/>
            </w:pPr>
            <w:r>
              <w:t>48.00</w:t>
            </w:r>
          </w:p>
        </w:tc>
        <w:tc>
          <w:tcPr>
            <w:tcW w:w="1134" w:type="dxa"/>
            <w:vAlign w:val="center"/>
          </w:tcPr>
          <w:p>
            <w:pPr>
              <w:pStyle w:val="13"/>
            </w:pPr>
            <w:r>
              <w:t>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2070799</w:t>
            </w:r>
          </w:p>
        </w:tc>
        <w:tc>
          <w:tcPr>
            <w:tcW w:w="1559" w:type="dxa"/>
            <w:vAlign w:val="center"/>
          </w:tcPr>
          <w:p>
            <w:pPr>
              <w:pStyle w:val="14"/>
            </w:pPr>
            <w:r>
              <w:t>其他国家电影事业发展专项资金支出</w:t>
            </w:r>
          </w:p>
        </w:tc>
        <w:tc>
          <w:tcPr>
            <w:tcW w:w="1134" w:type="dxa"/>
            <w:vAlign w:val="center"/>
          </w:tcPr>
          <w:p>
            <w:pPr>
              <w:pStyle w:val="13"/>
            </w:pPr>
            <w:r>
              <w:t>60.00</w:t>
            </w:r>
          </w:p>
        </w:tc>
        <w:tc>
          <w:tcPr>
            <w:tcW w:w="1134" w:type="dxa"/>
            <w:vAlign w:val="center"/>
          </w:tcPr>
          <w:p>
            <w:pPr>
              <w:pStyle w:val="13"/>
            </w:pPr>
            <w:r>
              <w:t>48.00</w:t>
            </w:r>
          </w:p>
        </w:tc>
        <w:tc>
          <w:tcPr>
            <w:tcW w:w="1134" w:type="dxa"/>
            <w:vAlign w:val="center"/>
          </w:tcPr>
          <w:p>
            <w:pPr>
              <w:pStyle w:val="13"/>
            </w:pPr>
            <w:r>
              <w:t>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20708</w:t>
            </w:r>
          </w:p>
        </w:tc>
        <w:tc>
          <w:tcPr>
            <w:tcW w:w="1559" w:type="dxa"/>
            <w:vAlign w:val="center"/>
          </w:tcPr>
          <w:p>
            <w:pPr>
              <w:pStyle w:val="14"/>
            </w:pPr>
            <w:r>
              <w:t>广播电视</w:t>
            </w:r>
          </w:p>
        </w:tc>
        <w:tc>
          <w:tcPr>
            <w:tcW w:w="1134" w:type="dxa"/>
            <w:vAlign w:val="center"/>
          </w:tcPr>
          <w:p>
            <w:pPr>
              <w:pStyle w:val="13"/>
            </w:pPr>
            <w:r>
              <w:t>36.28</w:t>
            </w:r>
          </w:p>
        </w:tc>
        <w:tc>
          <w:tcPr>
            <w:tcW w:w="1134" w:type="dxa"/>
            <w:vAlign w:val="center"/>
          </w:tcPr>
          <w:p>
            <w:pPr>
              <w:pStyle w:val="13"/>
            </w:pPr>
            <w:r>
              <w:t>36.28</w:t>
            </w:r>
          </w:p>
        </w:tc>
        <w:tc>
          <w:tcPr>
            <w:tcW w:w="1134" w:type="dxa"/>
            <w:vAlign w:val="center"/>
          </w:tcPr>
          <w:p>
            <w:pPr>
              <w:pStyle w:val="13"/>
            </w:pPr>
            <w:r>
              <w:t>36.28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2070899</w:t>
            </w:r>
          </w:p>
        </w:tc>
        <w:tc>
          <w:tcPr>
            <w:tcW w:w="1559" w:type="dxa"/>
            <w:vAlign w:val="center"/>
          </w:tcPr>
          <w:p>
            <w:pPr>
              <w:pStyle w:val="14"/>
            </w:pPr>
            <w:r>
              <w:t>其他广播电视支出</w:t>
            </w:r>
          </w:p>
        </w:tc>
        <w:tc>
          <w:tcPr>
            <w:tcW w:w="1134" w:type="dxa"/>
            <w:vAlign w:val="center"/>
          </w:tcPr>
          <w:p>
            <w:pPr>
              <w:pStyle w:val="13"/>
            </w:pPr>
            <w:r>
              <w:t>36.28</w:t>
            </w:r>
          </w:p>
        </w:tc>
        <w:tc>
          <w:tcPr>
            <w:tcW w:w="1134" w:type="dxa"/>
            <w:vAlign w:val="center"/>
          </w:tcPr>
          <w:p>
            <w:pPr>
              <w:pStyle w:val="13"/>
            </w:pPr>
            <w:r>
              <w:t>36.28</w:t>
            </w:r>
          </w:p>
        </w:tc>
        <w:tc>
          <w:tcPr>
            <w:tcW w:w="1134" w:type="dxa"/>
            <w:vAlign w:val="center"/>
          </w:tcPr>
          <w:p>
            <w:pPr>
              <w:pStyle w:val="13"/>
            </w:pPr>
            <w:r>
              <w:t>36.28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20799</w:t>
            </w:r>
          </w:p>
        </w:tc>
        <w:tc>
          <w:tcPr>
            <w:tcW w:w="1559" w:type="dxa"/>
            <w:vAlign w:val="center"/>
          </w:tcPr>
          <w:p>
            <w:pPr>
              <w:pStyle w:val="14"/>
            </w:pPr>
            <w:r>
              <w:t>其他文化旅游体育与传媒支出</w:t>
            </w:r>
          </w:p>
        </w:tc>
        <w:tc>
          <w:tcPr>
            <w:tcW w:w="1134" w:type="dxa"/>
            <w:vAlign w:val="center"/>
          </w:tcPr>
          <w:p>
            <w:pPr>
              <w:pStyle w:val="13"/>
            </w:pPr>
            <w:r>
              <w:t>55.34</w:t>
            </w:r>
          </w:p>
        </w:tc>
        <w:tc>
          <w:tcPr>
            <w:tcW w:w="1134" w:type="dxa"/>
            <w:vAlign w:val="center"/>
          </w:tcPr>
          <w:p>
            <w:pPr>
              <w:pStyle w:val="13"/>
            </w:pPr>
            <w:r>
              <w:t>20.76</w:t>
            </w:r>
          </w:p>
        </w:tc>
        <w:tc>
          <w:tcPr>
            <w:tcW w:w="1134" w:type="dxa"/>
            <w:vAlign w:val="center"/>
          </w:tcPr>
          <w:p>
            <w:pPr>
              <w:pStyle w:val="13"/>
            </w:pPr>
            <w:r>
              <w:t>20.76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2079999</w:t>
            </w:r>
          </w:p>
        </w:tc>
        <w:tc>
          <w:tcPr>
            <w:tcW w:w="1559" w:type="dxa"/>
            <w:vAlign w:val="center"/>
          </w:tcPr>
          <w:p>
            <w:pPr>
              <w:pStyle w:val="14"/>
            </w:pPr>
            <w:r>
              <w:t>其他文化旅游体育与传媒支出</w:t>
            </w:r>
          </w:p>
        </w:tc>
        <w:tc>
          <w:tcPr>
            <w:tcW w:w="1134" w:type="dxa"/>
            <w:vAlign w:val="center"/>
          </w:tcPr>
          <w:p>
            <w:pPr>
              <w:pStyle w:val="13"/>
            </w:pPr>
            <w:r>
              <w:t>55.34</w:t>
            </w:r>
          </w:p>
        </w:tc>
        <w:tc>
          <w:tcPr>
            <w:tcW w:w="1134" w:type="dxa"/>
            <w:vAlign w:val="center"/>
          </w:tcPr>
          <w:p>
            <w:pPr>
              <w:pStyle w:val="13"/>
            </w:pPr>
            <w:r>
              <w:t>20.76</w:t>
            </w:r>
          </w:p>
        </w:tc>
        <w:tc>
          <w:tcPr>
            <w:tcW w:w="1134" w:type="dxa"/>
            <w:vAlign w:val="center"/>
          </w:tcPr>
          <w:p>
            <w:pPr>
              <w:pStyle w:val="13"/>
            </w:pPr>
            <w:r>
              <w:t>20.76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34.58</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211中共莲池区委宣传部</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940.27</w:t>
            </w:r>
          </w:p>
        </w:tc>
        <w:tc>
          <w:tcPr>
            <w:tcW w:w="1361" w:type="dxa"/>
            <w:vAlign w:val="center"/>
          </w:tcPr>
          <w:p>
            <w:pPr>
              <w:pStyle w:val="17"/>
            </w:pPr>
            <w:r>
              <w:t>535.05</w:t>
            </w:r>
          </w:p>
        </w:tc>
        <w:tc>
          <w:tcPr>
            <w:tcW w:w="1361" w:type="dxa"/>
            <w:vAlign w:val="center"/>
          </w:tcPr>
          <w:p>
            <w:pPr>
              <w:pStyle w:val="17"/>
            </w:pPr>
            <w:r>
              <w:t>405.22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762.65</w:t>
            </w:r>
          </w:p>
        </w:tc>
        <w:tc>
          <w:tcPr>
            <w:tcW w:w="1361" w:type="dxa"/>
            <w:vAlign w:val="center"/>
          </w:tcPr>
          <w:p>
            <w:pPr>
              <w:pStyle w:val="13"/>
            </w:pPr>
            <w:r>
              <w:t>535.05</w:t>
            </w:r>
          </w:p>
        </w:tc>
        <w:tc>
          <w:tcPr>
            <w:tcW w:w="1361" w:type="dxa"/>
            <w:vAlign w:val="center"/>
          </w:tcPr>
          <w:p>
            <w:pPr>
              <w:pStyle w:val="13"/>
            </w:pPr>
            <w:r>
              <w:t>227.60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20133</w:t>
            </w:r>
          </w:p>
        </w:tc>
        <w:tc>
          <w:tcPr>
            <w:tcW w:w="4535" w:type="dxa"/>
            <w:vAlign w:val="center"/>
          </w:tcPr>
          <w:p>
            <w:pPr>
              <w:pStyle w:val="14"/>
            </w:pPr>
            <w:r>
              <w:t>宣传事务</w:t>
            </w:r>
          </w:p>
        </w:tc>
        <w:tc>
          <w:tcPr>
            <w:tcW w:w="1361" w:type="dxa"/>
            <w:vAlign w:val="center"/>
          </w:tcPr>
          <w:p>
            <w:pPr>
              <w:pStyle w:val="13"/>
            </w:pPr>
            <w:r>
              <w:t>762.65</w:t>
            </w:r>
          </w:p>
        </w:tc>
        <w:tc>
          <w:tcPr>
            <w:tcW w:w="1361" w:type="dxa"/>
            <w:vAlign w:val="center"/>
          </w:tcPr>
          <w:p>
            <w:pPr>
              <w:pStyle w:val="13"/>
            </w:pPr>
            <w:r>
              <w:t>535.05</w:t>
            </w:r>
          </w:p>
        </w:tc>
        <w:tc>
          <w:tcPr>
            <w:tcW w:w="1361" w:type="dxa"/>
            <w:vAlign w:val="center"/>
          </w:tcPr>
          <w:p>
            <w:pPr>
              <w:pStyle w:val="13"/>
            </w:pPr>
            <w:r>
              <w:t>227.60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2013301</w:t>
            </w:r>
          </w:p>
        </w:tc>
        <w:tc>
          <w:tcPr>
            <w:tcW w:w="4535" w:type="dxa"/>
            <w:vAlign w:val="center"/>
          </w:tcPr>
          <w:p>
            <w:pPr>
              <w:pStyle w:val="14"/>
            </w:pPr>
            <w:r>
              <w:t>行政运行</w:t>
            </w:r>
          </w:p>
        </w:tc>
        <w:tc>
          <w:tcPr>
            <w:tcW w:w="1361" w:type="dxa"/>
            <w:vAlign w:val="center"/>
          </w:tcPr>
          <w:p>
            <w:pPr>
              <w:pStyle w:val="13"/>
            </w:pPr>
            <w:r>
              <w:t>535.05</w:t>
            </w:r>
          </w:p>
        </w:tc>
        <w:tc>
          <w:tcPr>
            <w:tcW w:w="1361" w:type="dxa"/>
            <w:vAlign w:val="center"/>
          </w:tcPr>
          <w:p>
            <w:pPr>
              <w:pStyle w:val="13"/>
            </w:pPr>
            <w:r>
              <w:t>535.05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2013302</w:t>
            </w:r>
          </w:p>
        </w:tc>
        <w:tc>
          <w:tcPr>
            <w:tcW w:w="4535" w:type="dxa"/>
            <w:vAlign w:val="center"/>
          </w:tcPr>
          <w:p>
            <w:pPr>
              <w:pStyle w:val="14"/>
            </w:pPr>
            <w:r>
              <w:t>一般行政管理事务</w:t>
            </w:r>
          </w:p>
        </w:tc>
        <w:tc>
          <w:tcPr>
            <w:tcW w:w="1361" w:type="dxa"/>
            <w:vAlign w:val="center"/>
          </w:tcPr>
          <w:p>
            <w:pPr>
              <w:pStyle w:val="13"/>
            </w:pPr>
            <w:r>
              <w:t>227.60</w:t>
            </w:r>
          </w:p>
        </w:tc>
        <w:tc>
          <w:tcPr>
            <w:tcW w:w="1361" w:type="dxa"/>
            <w:vAlign w:val="center"/>
          </w:tcPr>
          <w:p>
            <w:pPr>
              <w:pStyle w:val="13"/>
            </w:pPr>
          </w:p>
        </w:tc>
        <w:tc>
          <w:tcPr>
            <w:tcW w:w="1361" w:type="dxa"/>
            <w:vAlign w:val="center"/>
          </w:tcPr>
          <w:p>
            <w:pPr>
              <w:pStyle w:val="13"/>
            </w:pPr>
            <w:r>
              <w:t>227.60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177.62</w:t>
            </w:r>
          </w:p>
        </w:tc>
        <w:tc>
          <w:tcPr>
            <w:tcW w:w="1361" w:type="dxa"/>
            <w:vAlign w:val="center"/>
          </w:tcPr>
          <w:p>
            <w:pPr>
              <w:pStyle w:val="13"/>
            </w:pPr>
          </w:p>
        </w:tc>
        <w:tc>
          <w:tcPr>
            <w:tcW w:w="1361" w:type="dxa"/>
            <w:vAlign w:val="center"/>
          </w:tcPr>
          <w:p>
            <w:pPr>
              <w:pStyle w:val="13"/>
            </w:pPr>
            <w:r>
              <w:t>177.62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20706</w:t>
            </w:r>
          </w:p>
        </w:tc>
        <w:tc>
          <w:tcPr>
            <w:tcW w:w="4535" w:type="dxa"/>
            <w:vAlign w:val="center"/>
          </w:tcPr>
          <w:p>
            <w:pPr>
              <w:pStyle w:val="14"/>
            </w:pPr>
            <w:r>
              <w:t>新闻出版电影</w:t>
            </w:r>
          </w:p>
        </w:tc>
        <w:tc>
          <w:tcPr>
            <w:tcW w:w="1361" w:type="dxa"/>
            <w:vAlign w:val="center"/>
          </w:tcPr>
          <w:p>
            <w:pPr>
              <w:pStyle w:val="13"/>
            </w:pPr>
            <w:r>
              <w:t>26.00</w:t>
            </w:r>
          </w:p>
        </w:tc>
        <w:tc>
          <w:tcPr>
            <w:tcW w:w="1361" w:type="dxa"/>
            <w:vAlign w:val="center"/>
          </w:tcPr>
          <w:p>
            <w:pPr>
              <w:pStyle w:val="13"/>
            </w:pPr>
          </w:p>
        </w:tc>
        <w:tc>
          <w:tcPr>
            <w:tcW w:w="1361" w:type="dxa"/>
            <w:vAlign w:val="center"/>
          </w:tcPr>
          <w:p>
            <w:pPr>
              <w:pStyle w:val="13"/>
            </w:pPr>
            <w:r>
              <w:t>26.00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2070606</w:t>
            </w:r>
          </w:p>
        </w:tc>
        <w:tc>
          <w:tcPr>
            <w:tcW w:w="4535" w:type="dxa"/>
            <w:vAlign w:val="center"/>
          </w:tcPr>
          <w:p>
            <w:pPr>
              <w:pStyle w:val="14"/>
            </w:pPr>
            <w:r>
              <w:t>版权管理</w:t>
            </w:r>
          </w:p>
        </w:tc>
        <w:tc>
          <w:tcPr>
            <w:tcW w:w="1361" w:type="dxa"/>
            <w:vAlign w:val="center"/>
          </w:tcPr>
          <w:p>
            <w:pPr>
              <w:pStyle w:val="13"/>
            </w:pPr>
            <w:r>
              <w:t>26.00</w:t>
            </w:r>
          </w:p>
        </w:tc>
        <w:tc>
          <w:tcPr>
            <w:tcW w:w="1361" w:type="dxa"/>
            <w:vAlign w:val="center"/>
          </w:tcPr>
          <w:p>
            <w:pPr>
              <w:pStyle w:val="13"/>
            </w:pPr>
          </w:p>
        </w:tc>
        <w:tc>
          <w:tcPr>
            <w:tcW w:w="1361" w:type="dxa"/>
            <w:vAlign w:val="center"/>
          </w:tcPr>
          <w:p>
            <w:pPr>
              <w:pStyle w:val="13"/>
            </w:pPr>
            <w:r>
              <w:t>26.00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20707</w:t>
            </w:r>
          </w:p>
        </w:tc>
        <w:tc>
          <w:tcPr>
            <w:tcW w:w="4535" w:type="dxa"/>
            <w:vAlign w:val="center"/>
          </w:tcPr>
          <w:p>
            <w:pPr>
              <w:pStyle w:val="14"/>
            </w:pPr>
            <w:r>
              <w:t>国家电影事业发展专项资金安排的支出</w:t>
            </w:r>
          </w:p>
        </w:tc>
        <w:tc>
          <w:tcPr>
            <w:tcW w:w="1361" w:type="dxa"/>
            <w:vAlign w:val="center"/>
          </w:tcPr>
          <w:p>
            <w:pPr>
              <w:pStyle w:val="13"/>
            </w:pPr>
            <w:r>
              <w:t>60.00</w:t>
            </w:r>
          </w:p>
        </w:tc>
        <w:tc>
          <w:tcPr>
            <w:tcW w:w="1361" w:type="dxa"/>
            <w:vAlign w:val="center"/>
          </w:tcPr>
          <w:p>
            <w:pPr>
              <w:pStyle w:val="13"/>
            </w:pPr>
          </w:p>
        </w:tc>
        <w:tc>
          <w:tcPr>
            <w:tcW w:w="1361" w:type="dxa"/>
            <w:vAlign w:val="center"/>
          </w:tcPr>
          <w:p>
            <w:pPr>
              <w:pStyle w:val="13"/>
            </w:pPr>
            <w:r>
              <w:t>60.00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2070799</w:t>
            </w:r>
          </w:p>
        </w:tc>
        <w:tc>
          <w:tcPr>
            <w:tcW w:w="4535" w:type="dxa"/>
            <w:vAlign w:val="center"/>
          </w:tcPr>
          <w:p>
            <w:pPr>
              <w:pStyle w:val="14"/>
            </w:pPr>
            <w:r>
              <w:t>其他国家电影事业发展专项资金支出</w:t>
            </w:r>
          </w:p>
        </w:tc>
        <w:tc>
          <w:tcPr>
            <w:tcW w:w="1361" w:type="dxa"/>
            <w:vAlign w:val="center"/>
          </w:tcPr>
          <w:p>
            <w:pPr>
              <w:pStyle w:val="13"/>
            </w:pPr>
            <w:r>
              <w:t>60.00</w:t>
            </w:r>
          </w:p>
        </w:tc>
        <w:tc>
          <w:tcPr>
            <w:tcW w:w="1361" w:type="dxa"/>
            <w:vAlign w:val="center"/>
          </w:tcPr>
          <w:p>
            <w:pPr>
              <w:pStyle w:val="13"/>
            </w:pPr>
          </w:p>
        </w:tc>
        <w:tc>
          <w:tcPr>
            <w:tcW w:w="1361" w:type="dxa"/>
            <w:vAlign w:val="center"/>
          </w:tcPr>
          <w:p>
            <w:pPr>
              <w:pStyle w:val="13"/>
            </w:pPr>
            <w:r>
              <w:t>60.00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20708</w:t>
            </w:r>
          </w:p>
        </w:tc>
        <w:tc>
          <w:tcPr>
            <w:tcW w:w="4535" w:type="dxa"/>
            <w:vAlign w:val="center"/>
          </w:tcPr>
          <w:p>
            <w:pPr>
              <w:pStyle w:val="14"/>
            </w:pPr>
            <w:r>
              <w:t>广播电视</w:t>
            </w:r>
          </w:p>
        </w:tc>
        <w:tc>
          <w:tcPr>
            <w:tcW w:w="1361" w:type="dxa"/>
            <w:vAlign w:val="center"/>
          </w:tcPr>
          <w:p>
            <w:pPr>
              <w:pStyle w:val="13"/>
            </w:pPr>
            <w:r>
              <w:t>36.28</w:t>
            </w:r>
          </w:p>
        </w:tc>
        <w:tc>
          <w:tcPr>
            <w:tcW w:w="1361" w:type="dxa"/>
            <w:vAlign w:val="center"/>
          </w:tcPr>
          <w:p>
            <w:pPr>
              <w:pStyle w:val="13"/>
            </w:pPr>
          </w:p>
        </w:tc>
        <w:tc>
          <w:tcPr>
            <w:tcW w:w="1361" w:type="dxa"/>
            <w:vAlign w:val="center"/>
          </w:tcPr>
          <w:p>
            <w:pPr>
              <w:pStyle w:val="13"/>
            </w:pPr>
            <w:r>
              <w:t>36.28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2070899</w:t>
            </w:r>
          </w:p>
        </w:tc>
        <w:tc>
          <w:tcPr>
            <w:tcW w:w="4535" w:type="dxa"/>
            <w:vAlign w:val="center"/>
          </w:tcPr>
          <w:p>
            <w:pPr>
              <w:pStyle w:val="14"/>
            </w:pPr>
            <w:r>
              <w:t>其他广播电视支出</w:t>
            </w:r>
          </w:p>
        </w:tc>
        <w:tc>
          <w:tcPr>
            <w:tcW w:w="1361" w:type="dxa"/>
            <w:vAlign w:val="center"/>
          </w:tcPr>
          <w:p>
            <w:pPr>
              <w:pStyle w:val="13"/>
            </w:pPr>
            <w:r>
              <w:t>36.28</w:t>
            </w:r>
          </w:p>
        </w:tc>
        <w:tc>
          <w:tcPr>
            <w:tcW w:w="1361" w:type="dxa"/>
            <w:vAlign w:val="center"/>
          </w:tcPr>
          <w:p>
            <w:pPr>
              <w:pStyle w:val="13"/>
            </w:pPr>
          </w:p>
        </w:tc>
        <w:tc>
          <w:tcPr>
            <w:tcW w:w="1361" w:type="dxa"/>
            <w:vAlign w:val="center"/>
          </w:tcPr>
          <w:p>
            <w:pPr>
              <w:pStyle w:val="13"/>
            </w:pPr>
            <w:r>
              <w:t>36.28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20799</w:t>
            </w:r>
          </w:p>
        </w:tc>
        <w:tc>
          <w:tcPr>
            <w:tcW w:w="4535" w:type="dxa"/>
            <w:vAlign w:val="center"/>
          </w:tcPr>
          <w:p>
            <w:pPr>
              <w:pStyle w:val="14"/>
            </w:pPr>
            <w:r>
              <w:t>其他文化旅游体育与传媒支出</w:t>
            </w:r>
          </w:p>
        </w:tc>
        <w:tc>
          <w:tcPr>
            <w:tcW w:w="1361" w:type="dxa"/>
            <w:vAlign w:val="center"/>
          </w:tcPr>
          <w:p>
            <w:pPr>
              <w:pStyle w:val="13"/>
            </w:pPr>
            <w:r>
              <w:t>55.34</w:t>
            </w:r>
          </w:p>
        </w:tc>
        <w:tc>
          <w:tcPr>
            <w:tcW w:w="1361" w:type="dxa"/>
            <w:vAlign w:val="center"/>
          </w:tcPr>
          <w:p>
            <w:pPr>
              <w:pStyle w:val="13"/>
            </w:pPr>
          </w:p>
        </w:tc>
        <w:tc>
          <w:tcPr>
            <w:tcW w:w="1361" w:type="dxa"/>
            <w:vAlign w:val="center"/>
          </w:tcPr>
          <w:p>
            <w:pPr>
              <w:pStyle w:val="13"/>
            </w:pPr>
            <w:r>
              <w:t>55.34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2079999</w:t>
            </w:r>
          </w:p>
        </w:tc>
        <w:tc>
          <w:tcPr>
            <w:tcW w:w="4535" w:type="dxa"/>
            <w:vAlign w:val="center"/>
          </w:tcPr>
          <w:p>
            <w:pPr>
              <w:pStyle w:val="14"/>
            </w:pPr>
            <w:r>
              <w:t>其他文化旅游体育与传媒支出</w:t>
            </w:r>
          </w:p>
        </w:tc>
        <w:tc>
          <w:tcPr>
            <w:tcW w:w="1361" w:type="dxa"/>
            <w:vAlign w:val="center"/>
          </w:tcPr>
          <w:p>
            <w:pPr>
              <w:pStyle w:val="13"/>
            </w:pPr>
            <w:r>
              <w:t>55.34</w:t>
            </w:r>
          </w:p>
        </w:tc>
        <w:tc>
          <w:tcPr>
            <w:tcW w:w="1361" w:type="dxa"/>
            <w:vAlign w:val="center"/>
          </w:tcPr>
          <w:p>
            <w:pPr>
              <w:pStyle w:val="13"/>
            </w:pPr>
          </w:p>
        </w:tc>
        <w:tc>
          <w:tcPr>
            <w:tcW w:w="1361" w:type="dxa"/>
            <w:vAlign w:val="center"/>
          </w:tcPr>
          <w:p>
            <w:pPr>
              <w:pStyle w:val="13"/>
            </w:pPr>
            <w:r>
              <w:t>55.34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211中共莲池区委宣传部</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845.69</w:t>
            </w:r>
          </w:p>
        </w:tc>
        <w:tc>
          <w:tcPr>
            <w:tcW w:w="3402" w:type="dxa"/>
            <w:vAlign w:val="center"/>
          </w:tcPr>
          <w:p>
            <w:pPr>
              <w:pStyle w:val="14"/>
            </w:pPr>
            <w:r>
              <w:t>一、一般公共服务支出</w:t>
            </w:r>
          </w:p>
        </w:tc>
        <w:tc>
          <w:tcPr>
            <w:tcW w:w="1474" w:type="dxa"/>
            <w:vAlign w:val="center"/>
          </w:tcPr>
          <w:p>
            <w:pPr>
              <w:pStyle w:val="13"/>
            </w:pPr>
            <w:r>
              <w:t>762.65</w:t>
            </w:r>
          </w:p>
        </w:tc>
        <w:tc>
          <w:tcPr>
            <w:tcW w:w="1474" w:type="dxa"/>
            <w:vAlign w:val="center"/>
          </w:tcPr>
          <w:p>
            <w:pPr>
              <w:pStyle w:val="13"/>
            </w:pPr>
            <w:r>
              <w:t>762.65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48.00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177.62</w:t>
            </w:r>
          </w:p>
        </w:tc>
        <w:tc>
          <w:tcPr>
            <w:tcW w:w="1474" w:type="dxa"/>
            <w:vAlign w:val="center"/>
          </w:tcPr>
          <w:p>
            <w:pPr>
              <w:pStyle w:val="13"/>
            </w:pPr>
            <w:r>
              <w:t>117.62</w:t>
            </w:r>
          </w:p>
        </w:tc>
        <w:tc>
          <w:tcPr>
            <w:tcW w:w="1474" w:type="dxa"/>
            <w:vAlign w:val="center"/>
          </w:tcPr>
          <w:p>
            <w:pPr>
              <w:pStyle w:val="13"/>
            </w:pPr>
            <w:r>
              <w:t>60.00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893.69</w:t>
            </w:r>
          </w:p>
        </w:tc>
        <w:tc>
          <w:tcPr>
            <w:tcW w:w="3402" w:type="dxa"/>
            <w:vAlign w:val="center"/>
          </w:tcPr>
          <w:p>
            <w:pPr>
              <w:pStyle w:val="16"/>
            </w:pPr>
            <w:r>
              <w:t>本年支出合计</w:t>
            </w:r>
          </w:p>
        </w:tc>
        <w:tc>
          <w:tcPr>
            <w:tcW w:w="1474" w:type="dxa"/>
            <w:vAlign w:val="center"/>
          </w:tcPr>
          <w:p>
            <w:pPr>
              <w:pStyle w:val="17"/>
            </w:pPr>
            <w:r>
              <w:t>940.27</w:t>
            </w:r>
          </w:p>
        </w:tc>
        <w:tc>
          <w:tcPr>
            <w:tcW w:w="1474" w:type="dxa"/>
            <w:vAlign w:val="center"/>
          </w:tcPr>
          <w:p>
            <w:pPr>
              <w:pStyle w:val="17"/>
            </w:pPr>
            <w:r>
              <w:t>880.27</w:t>
            </w:r>
          </w:p>
        </w:tc>
        <w:tc>
          <w:tcPr>
            <w:tcW w:w="1474" w:type="dxa"/>
            <w:vAlign w:val="center"/>
          </w:tcPr>
          <w:p>
            <w:pPr>
              <w:pStyle w:val="17"/>
            </w:pPr>
            <w:r>
              <w:t>60.00</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46.58</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34.58</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12.00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940.27</w:t>
            </w:r>
          </w:p>
        </w:tc>
        <w:tc>
          <w:tcPr>
            <w:tcW w:w="3402" w:type="dxa"/>
            <w:vAlign w:val="center"/>
          </w:tcPr>
          <w:p>
            <w:pPr>
              <w:pStyle w:val="16"/>
            </w:pPr>
            <w:r>
              <w:t>支出总计</w:t>
            </w:r>
          </w:p>
        </w:tc>
        <w:tc>
          <w:tcPr>
            <w:tcW w:w="1474" w:type="dxa"/>
            <w:vAlign w:val="center"/>
          </w:tcPr>
          <w:p>
            <w:pPr>
              <w:pStyle w:val="17"/>
            </w:pPr>
            <w:r>
              <w:t>940.27</w:t>
            </w:r>
          </w:p>
        </w:tc>
        <w:tc>
          <w:tcPr>
            <w:tcW w:w="1474" w:type="dxa"/>
            <w:vAlign w:val="center"/>
          </w:tcPr>
          <w:p>
            <w:pPr>
              <w:pStyle w:val="17"/>
            </w:pPr>
            <w:r>
              <w:t>880.27</w:t>
            </w:r>
          </w:p>
        </w:tc>
        <w:tc>
          <w:tcPr>
            <w:tcW w:w="1474" w:type="dxa"/>
            <w:vAlign w:val="center"/>
          </w:tcPr>
          <w:p>
            <w:pPr>
              <w:pStyle w:val="17"/>
            </w:pPr>
            <w:r>
              <w:t>60.00</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211中共莲池区委宣传部</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880.27</w:t>
            </w:r>
          </w:p>
        </w:tc>
        <w:tc>
          <w:tcPr>
            <w:tcW w:w="2551" w:type="dxa"/>
            <w:vAlign w:val="center"/>
          </w:tcPr>
          <w:p>
            <w:pPr>
              <w:pStyle w:val="17"/>
            </w:pPr>
            <w:r>
              <w:t>535.05</w:t>
            </w:r>
          </w:p>
        </w:tc>
        <w:tc>
          <w:tcPr>
            <w:tcW w:w="2551" w:type="dxa"/>
            <w:vAlign w:val="center"/>
          </w:tcPr>
          <w:p>
            <w:pPr>
              <w:pStyle w:val="17"/>
            </w:pPr>
            <w:r>
              <w:t>345.22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762.65</w:t>
            </w:r>
          </w:p>
        </w:tc>
        <w:tc>
          <w:tcPr>
            <w:tcW w:w="2551" w:type="dxa"/>
            <w:vAlign w:val="center"/>
          </w:tcPr>
          <w:p>
            <w:pPr>
              <w:pStyle w:val="13"/>
            </w:pPr>
            <w:r>
              <w:t>535.05</w:t>
            </w:r>
          </w:p>
        </w:tc>
        <w:tc>
          <w:tcPr>
            <w:tcW w:w="2551" w:type="dxa"/>
            <w:vAlign w:val="center"/>
          </w:tcPr>
          <w:p>
            <w:pPr>
              <w:pStyle w:val="13"/>
            </w:pPr>
            <w:r>
              <w:t>227.60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20133</w:t>
            </w:r>
          </w:p>
        </w:tc>
        <w:tc>
          <w:tcPr>
            <w:tcW w:w="4535" w:type="dxa"/>
            <w:vAlign w:val="center"/>
          </w:tcPr>
          <w:p>
            <w:pPr>
              <w:pStyle w:val="14"/>
            </w:pPr>
            <w:r>
              <w:t>宣传事务</w:t>
            </w:r>
          </w:p>
        </w:tc>
        <w:tc>
          <w:tcPr>
            <w:tcW w:w="2551" w:type="dxa"/>
            <w:vAlign w:val="center"/>
          </w:tcPr>
          <w:p>
            <w:pPr>
              <w:pStyle w:val="13"/>
            </w:pPr>
            <w:r>
              <w:t>762.65</w:t>
            </w:r>
          </w:p>
        </w:tc>
        <w:tc>
          <w:tcPr>
            <w:tcW w:w="2551" w:type="dxa"/>
            <w:vAlign w:val="center"/>
          </w:tcPr>
          <w:p>
            <w:pPr>
              <w:pStyle w:val="13"/>
            </w:pPr>
            <w:r>
              <w:t>535.05</w:t>
            </w:r>
          </w:p>
        </w:tc>
        <w:tc>
          <w:tcPr>
            <w:tcW w:w="2551" w:type="dxa"/>
            <w:vAlign w:val="center"/>
          </w:tcPr>
          <w:p>
            <w:pPr>
              <w:pStyle w:val="13"/>
            </w:pPr>
            <w:r>
              <w:t>227.60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2013301</w:t>
            </w:r>
          </w:p>
        </w:tc>
        <w:tc>
          <w:tcPr>
            <w:tcW w:w="4535" w:type="dxa"/>
            <w:vAlign w:val="center"/>
          </w:tcPr>
          <w:p>
            <w:pPr>
              <w:pStyle w:val="14"/>
            </w:pPr>
            <w:r>
              <w:t>行政运行</w:t>
            </w:r>
          </w:p>
        </w:tc>
        <w:tc>
          <w:tcPr>
            <w:tcW w:w="2551" w:type="dxa"/>
            <w:vAlign w:val="center"/>
          </w:tcPr>
          <w:p>
            <w:pPr>
              <w:pStyle w:val="13"/>
            </w:pPr>
            <w:r>
              <w:t>535.05</w:t>
            </w:r>
          </w:p>
        </w:tc>
        <w:tc>
          <w:tcPr>
            <w:tcW w:w="2551" w:type="dxa"/>
            <w:vAlign w:val="center"/>
          </w:tcPr>
          <w:p>
            <w:pPr>
              <w:pStyle w:val="13"/>
            </w:pPr>
            <w:r>
              <w:t>535.05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2013302</w:t>
            </w:r>
          </w:p>
        </w:tc>
        <w:tc>
          <w:tcPr>
            <w:tcW w:w="4535" w:type="dxa"/>
            <w:vAlign w:val="center"/>
          </w:tcPr>
          <w:p>
            <w:pPr>
              <w:pStyle w:val="14"/>
            </w:pPr>
            <w:r>
              <w:t>一般行政管理事务</w:t>
            </w:r>
          </w:p>
        </w:tc>
        <w:tc>
          <w:tcPr>
            <w:tcW w:w="2551" w:type="dxa"/>
            <w:vAlign w:val="center"/>
          </w:tcPr>
          <w:p>
            <w:pPr>
              <w:pStyle w:val="13"/>
            </w:pPr>
            <w:r>
              <w:t>227.60</w:t>
            </w:r>
          </w:p>
        </w:tc>
        <w:tc>
          <w:tcPr>
            <w:tcW w:w="2551" w:type="dxa"/>
            <w:vAlign w:val="center"/>
          </w:tcPr>
          <w:p>
            <w:pPr>
              <w:pStyle w:val="13"/>
            </w:pPr>
          </w:p>
        </w:tc>
        <w:tc>
          <w:tcPr>
            <w:tcW w:w="2551" w:type="dxa"/>
            <w:vAlign w:val="center"/>
          </w:tcPr>
          <w:p>
            <w:pPr>
              <w:pStyle w:val="13"/>
            </w:pPr>
            <w:r>
              <w:t>227.60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117.62</w:t>
            </w:r>
          </w:p>
        </w:tc>
        <w:tc>
          <w:tcPr>
            <w:tcW w:w="2551" w:type="dxa"/>
            <w:vAlign w:val="center"/>
          </w:tcPr>
          <w:p>
            <w:pPr>
              <w:pStyle w:val="13"/>
            </w:pPr>
          </w:p>
        </w:tc>
        <w:tc>
          <w:tcPr>
            <w:tcW w:w="2551" w:type="dxa"/>
            <w:vAlign w:val="center"/>
          </w:tcPr>
          <w:p>
            <w:pPr>
              <w:pStyle w:val="13"/>
            </w:pPr>
            <w:r>
              <w:t>117.62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20706</w:t>
            </w:r>
          </w:p>
        </w:tc>
        <w:tc>
          <w:tcPr>
            <w:tcW w:w="4535" w:type="dxa"/>
            <w:vAlign w:val="center"/>
          </w:tcPr>
          <w:p>
            <w:pPr>
              <w:pStyle w:val="14"/>
            </w:pPr>
            <w:r>
              <w:t>新闻出版电影</w:t>
            </w:r>
          </w:p>
        </w:tc>
        <w:tc>
          <w:tcPr>
            <w:tcW w:w="2551" w:type="dxa"/>
            <w:vAlign w:val="center"/>
          </w:tcPr>
          <w:p>
            <w:pPr>
              <w:pStyle w:val="13"/>
            </w:pPr>
            <w:r>
              <w:t>26.00</w:t>
            </w:r>
          </w:p>
        </w:tc>
        <w:tc>
          <w:tcPr>
            <w:tcW w:w="2551" w:type="dxa"/>
            <w:vAlign w:val="center"/>
          </w:tcPr>
          <w:p>
            <w:pPr>
              <w:pStyle w:val="13"/>
            </w:pPr>
          </w:p>
        </w:tc>
        <w:tc>
          <w:tcPr>
            <w:tcW w:w="2551" w:type="dxa"/>
            <w:vAlign w:val="center"/>
          </w:tcPr>
          <w:p>
            <w:pPr>
              <w:pStyle w:val="13"/>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2070606</w:t>
            </w:r>
          </w:p>
        </w:tc>
        <w:tc>
          <w:tcPr>
            <w:tcW w:w="4535" w:type="dxa"/>
            <w:vAlign w:val="center"/>
          </w:tcPr>
          <w:p>
            <w:pPr>
              <w:pStyle w:val="14"/>
            </w:pPr>
            <w:r>
              <w:t>版权管理</w:t>
            </w:r>
          </w:p>
        </w:tc>
        <w:tc>
          <w:tcPr>
            <w:tcW w:w="2551" w:type="dxa"/>
            <w:vAlign w:val="center"/>
          </w:tcPr>
          <w:p>
            <w:pPr>
              <w:pStyle w:val="13"/>
            </w:pPr>
            <w:r>
              <w:t>26.00</w:t>
            </w:r>
          </w:p>
        </w:tc>
        <w:tc>
          <w:tcPr>
            <w:tcW w:w="2551" w:type="dxa"/>
            <w:vAlign w:val="center"/>
          </w:tcPr>
          <w:p>
            <w:pPr>
              <w:pStyle w:val="13"/>
            </w:pPr>
          </w:p>
        </w:tc>
        <w:tc>
          <w:tcPr>
            <w:tcW w:w="2551" w:type="dxa"/>
            <w:vAlign w:val="center"/>
          </w:tcPr>
          <w:p>
            <w:pPr>
              <w:pStyle w:val="13"/>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20708</w:t>
            </w:r>
          </w:p>
        </w:tc>
        <w:tc>
          <w:tcPr>
            <w:tcW w:w="4535" w:type="dxa"/>
            <w:vAlign w:val="center"/>
          </w:tcPr>
          <w:p>
            <w:pPr>
              <w:pStyle w:val="14"/>
            </w:pPr>
            <w:r>
              <w:t>广播电视</w:t>
            </w:r>
          </w:p>
        </w:tc>
        <w:tc>
          <w:tcPr>
            <w:tcW w:w="2551" w:type="dxa"/>
            <w:vAlign w:val="center"/>
          </w:tcPr>
          <w:p>
            <w:pPr>
              <w:pStyle w:val="13"/>
            </w:pPr>
            <w:r>
              <w:t>36.28</w:t>
            </w:r>
          </w:p>
        </w:tc>
        <w:tc>
          <w:tcPr>
            <w:tcW w:w="2551" w:type="dxa"/>
            <w:vAlign w:val="center"/>
          </w:tcPr>
          <w:p>
            <w:pPr>
              <w:pStyle w:val="13"/>
            </w:pPr>
          </w:p>
        </w:tc>
        <w:tc>
          <w:tcPr>
            <w:tcW w:w="2551" w:type="dxa"/>
            <w:vAlign w:val="center"/>
          </w:tcPr>
          <w:p>
            <w:pPr>
              <w:pStyle w:val="13"/>
            </w:pPr>
            <w:r>
              <w:t>36.28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2070899</w:t>
            </w:r>
          </w:p>
        </w:tc>
        <w:tc>
          <w:tcPr>
            <w:tcW w:w="4535" w:type="dxa"/>
            <w:vAlign w:val="center"/>
          </w:tcPr>
          <w:p>
            <w:pPr>
              <w:pStyle w:val="14"/>
            </w:pPr>
            <w:r>
              <w:t>其他广播电视支出</w:t>
            </w:r>
          </w:p>
        </w:tc>
        <w:tc>
          <w:tcPr>
            <w:tcW w:w="2551" w:type="dxa"/>
            <w:vAlign w:val="center"/>
          </w:tcPr>
          <w:p>
            <w:pPr>
              <w:pStyle w:val="13"/>
            </w:pPr>
            <w:r>
              <w:t>36.28</w:t>
            </w:r>
          </w:p>
        </w:tc>
        <w:tc>
          <w:tcPr>
            <w:tcW w:w="2551" w:type="dxa"/>
            <w:vAlign w:val="center"/>
          </w:tcPr>
          <w:p>
            <w:pPr>
              <w:pStyle w:val="13"/>
            </w:pPr>
          </w:p>
        </w:tc>
        <w:tc>
          <w:tcPr>
            <w:tcW w:w="2551" w:type="dxa"/>
            <w:vAlign w:val="center"/>
          </w:tcPr>
          <w:p>
            <w:pPr>
              <w:pStyle w:val="13"/>
            </w:pPr>
            <w:r>
              <w:t>36.28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20799</w:t>
            </w:r>
          </w:p>
        </w:tc>
        <w:tc>
          <w:tcPr>
            <w:tcW w:w="4535" w:type="dxa"/>
            <w:vAlign w:val="center"/>
          </w:tcPr>
          <w:p>
            <w:pPr>
              <w:pStyle w:val="14"/>
            </w:pPr>
            <w:r>
              <w:t>其他文化旅游体育与传媒支出</w:t>
            </w:r>
          </w:p>
        </w:tc>
        <w:tc>
          <w:tcPr>
            <w:tcW w:w="2551" w:type="dxa"/>
            <w:vAlign w:val="center"/>
          </w:tcPr>
          <w:p>
            <w:pPr>
              <w:pStyle w:val="13"/>
            </w:pPr>
            <w:r>
              <w:t>55.34</w:t>
            </w:r>
          </w:p>
        </w:tc>
        <w:tc>
          <w:tcPr>
            <w:tcW w:w="2551" w:type="dxa"/>
            <w:vAlign w:val="center"/>
          </w:tcPr>
          <w:p>
            <w:pPr>
              <w:pStyle w:val="13"/>
            </w:pPr>
          </w:p>
        </w:tc>
        <w:tc>
          <w:tcPr>
            <w:tcW w:w="2551" w:type="dxa"/>
            <w:vAlign w:val="center"/>
          </w:tcPr>
          <w:p>
            <w:pPr>
              <w:pStyle w:val="13"/>
            </w:pPr>
            <w:r>
              <w:t>55.34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2079999</w:t>
            </w:r>
          </w:p>
        </w:tc>
        <w:tc>
          <w:tcPr>
            <w:tcW w:w="4535" w:type="dxa"/>
            <w:vAlign w:val="center"/>
          </w:tcPr>
          <w:p>
            <w:pPr>
              <w:pStyle w:val="14"/>
            </w:pPr>
            <w:r>
              <w:t>其他文化旅游体育与传媒支出</w:t>
            </w:r>
          </w:p>
        </w:tc>
        <w:tc>
          <w:tcPr>
            <w:tcW w:w="2551" w:type="dxa"/>
            <w:vAlign w:val="center"/>
          </w:tcPr>
          <w:p>
            <w:pPr>
              <w:pStyle w:val="13"/>
            </w:pPr>
            <w:r>
              <w:t>55.34</w:t>
            </w:r>
          </w:p>
        </w:tc>
        <w:tc>
          <w:tcPr>
            <w:tcW w:w="2551" w:type="dxa"/>
            <w:vAlign w:val="center"/>
          </w:tcPr>
          <w:p>
            <w:pPr>
              <w:pStyle w:val="13"/>
            </w:pPr>
          </w:p>
        </w:tc>
        <w:tc>
          <w:tcPr>
            <w:tcW w:w="2551" w:type="dxa"/>
            <w:vAlign w:val="center"/>
          </w:tcPr>
          <w:p>
            <w:pPr>
              <w:pStyle w:val="13"/>
            </w:pPr>
            <w:r>
              <w:t>55.34</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211中共莲池区委宣传部</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535.05</w:t>
            </w:r>
          </w:p>
        </w:tc>
        <w:tc>
          <w:tcPr>
            <w:tcW w:w="2551" w:type="dxa"/>
            <w:vAlign w:val="center"/>
          </w:tcPr>
          <w:p>
            <w:pPr>
              <w:pStyle w:val="17"/>
            </w:pPr>
            <w:r>
              <w:t>497.21</w:t>
            </w:r>
          </w:p>
        </w:tc>
        <w:tc>
          <w:tcPr>
            <w:tcW w:w="2551" w:type="dxa"/>
            <w:vAlign w:val="center"/>
          </w:tcPr>
          <w:p>
            <w:pPr>
              <w:pStyle w:val="17"/>
            </w:pPr>
            <w:r>
              <w:t>37.84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484.21</w:t>
            </w:r>
          </w:p>
        </w:tc>
        <w:tc>
          <w:tcPr>
            <w:tcW w:w="2551" w:type="dxa"/>
            <w:vAlign w:val="center"/>
          </w:tcPr>
          <w:p>
            <w:pPr>
              <w:pStyle w:val="13"/>
            </w:pPr>
            <w:r>
              <w:t>484.21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146.00</w:t>
            </w:r>
          </w:p>
        </w:tc>
        <w:tc>
          <w:tcPr>
            <w:tcW w:w="2551" w:type="dxa"/>
            <w:vAlign w:val="center"/>
          </w:tcPr>
          <w:p>
            <w:pPr>
              <w:pStyle w:val="13"/>
            </w:pPr>
            <w:r>
              <w:t>146.00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81.01</w:t>
            </w:r>
          </w:p>
        </w:tc>
        <w:tc>
          <w:tcPr>
            <w:tcW w:w="2551" w:type="dxa"/>
            <w:vAlign w:val="center"/>
          </w:tcPr>
          <w:p>
            <w:pPr>
              <w:pStyle w:val="13"/>
            </w:pPr>
            <w:r>
              <w:t>81.01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54.00</w:t>
            </w:r>
          </w:p>
        </w:tc>
        <w:tc>
          <w:tcPr>
            <w:tcW w:w="2551" w:type="dxa"/>
            <w:vAlign w:val="center"/>
          </w:tcPr>
          <w:p>
            <w:pPr>
              <w:pStyle w:val="13"/>
            </w:pPr>
            <w:r>
              <w:t>54.00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85.00</w:t>
            </w:r>
          </w:p>
        </w:tc>
        <w:tc>
          <w:tcPr>
            <w:tcW w:w="2551" w:type="dxa"/>
            <w:vAlign w:val="center"/>
          </w:tcPr>
          <w:p>
            <w:pPr>
              <w:pStyle w:val="13"/>
            </w:pPr>
            <w:r>
              <w:t>85.00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49.00</w:t>
            </w:r>
          </w:p>
        </w:tc>
        <w:tc>
          <w:tcPr>
            <w:tcW w:w="2551" w:type="dxa"/>
            <w:vAlign w:val="center"/>
          </w:tcPr>
          <w:p>
            <w:pPr>
              <w:pStyle w:val="13"/>
            </w:pPr>
            <w:r>
              <w:t>49.00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17.20</w:t>
            </w:r>
          </w:p>
        </w:tc>
        <w:tc>
          <w:tcPr>
            <w:tcW w:w="2551" w:type="dxa"/>
            <w:vAlign w:val="center"/>
          </w:tcPr>
          <w:p>
            <w:pPr>
              <w:pStyle w:val="13"/>
            </w:pPr>
            <w:r>
              <w:t>17.20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9.00</w:t>
            </w:r>
          </w:p>
        </w:tc>
        <w:tc>
          <w:tcPr>
            <w:tcW w:w="2551" w:type="dxa"/>
            <w:vAlign w:val="center"/>
          </w:tcPr>
          <w:p>
            <w:pPr>
              <w:pStyle w:val="13"/>
            </w:pPr>
            <w:r>
              <w:t>9.00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3.00</w:t>
            </w:r>
          </w:p>
        </w:tc>
        <w:tc>
          <w:tcPr>
            <w:tcW w:w="2551" w:type="dxa"/>
            <w:vAlign w:val="center"/>
          </w:tcPr>
          <w:p>
            <w:pPr>
              <w:pStyle w:val="13"/>
            </w:pPr>
            <w:r>
              <w:t>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40.00</w:t>
            </w:r>
          </w:p>
        </w:tc>
        <w:tc>
          <w:tcPr>
            <w:tcW w:w="2551" w:type="dxa"/>
            <w:vAlign w:val="center"/>
          </w:tcPr>
          <w:p>
            <w:pPr>
              <w:pStyle w:val="13"/>
            </w:pPr>
            <w:r>
              <w:t>40.00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37.84</w:t>
            </w:r>
          </w:p>
        </w:tc>
        <w:tc>
          <w:tcPr>
            <w:tcW w:w="2551" w:type="dxa"/>
            <w:vAlign w:val="center"/>
          </w:tcPr>
          <w:p>
            <w:pPr>
              <w:pStyle w:val="13"/>
            </w:pPr>
          </w:p>
        </w:tc>
        <w:tc>
          <w:tcPr>
            <w:tcW w:w="2551" w:type="dxa"/>
            <w:vAlign w:val="center"/>
          </w:tcPr>
          <w:p>
            <w:pPr>
              <w:pStyle w:val="13"/>
            </w:pPr>
            <w:r>
              <w:t>37.84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5.40</w:t>
            </w:r>
          </w:p>
        </w:tc>
        <w:tc>
          <w:tcPr>
            <w:tcW w:w="2551" w:type="dxa"/>
            <w:vAlign w:val="center"/>
          </w:tcPr>
          <w:p>
            <w:pPr>
              <w:pStyle w:val="13"/>
            </w:pPr>
          </w:p>
        </w:tc>
        <w:tc>
          <w:tcPr>
            <w:tcW w:w="2551" w:type="dxa"/>
            <w:vAlign w:val="center"/>
          </w:tcPr>
          <w:p>
            <w:pPr>
              <w:pStyle w:val="13"/>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10.94</w:t>
            </w:r>
          </w:p>
        </w:tc>
        <w:tc>
          <w:tcPr>
            <w:tcW w:w="2551" w:type="dxa"/>
            <w:vAlign w:val="center"/>
          </w:tcPr>
          <w:p>
            <w:pPr>
              <w:pStyle w:val="13"/>
            </w:pPr>
          </w:p>
        </w:tc>
        <w:tc>
          <w:tcPr>
            <w:tcW w:w="2551" w:type="dxa"/>
            <w:vAlign w:val="center"/>
          </w:tcPr>
          <w:p>
            <w:pPr>
              <w:pStyle w:val="13"/>
            </w:pPr>
            <w:r>
              <w:t>10.94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2.70</w:t>
            </w:r>
          </w:p>
        </w:tc>
        <w:tc>
          <w:tcPr>
            <w:tcW w:w="2551" w:type="dxa"/>
            <w:vAlign w:val="center"/>
          </w:tcPr>
          <w:p>
            <w:pPr>
              <w:pStyle w:val="13"/>
            </w:pPr>
          </w:p>
        </w:tc>
        <w:tc>
          <w:tcPr>
            <w:tcW w:w="2551" w:type="dxa"/>
            <w:vAlign w:val="center"/>
          </w:tcPr>
          <w:p>
            <w:pPr>
              <w:pStyle w:val="13"/>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2.91</w:t>
            </w:r>
          </w:p>
        </w:tc>
        <w:tc>
          <w:tcPr>
            <w:tcW w:w="2551" w:type="dxa"/>
            <w:vAlign w:val="center"/>
          </w:tcPr>
          <w:p>
            <w:pPr>
              <w:pStyle w:val="13"/>
            </w:pPr>
          </w:p>
        </w:tc>
        <w:tc>
          <w:tcPr>
            <w:tcW w:w="2551" w:type="dxa"/>
            <w:vAlign w:val="center"/>
          </w:tcPr>
          <w:p>
            <w:pPr>
              <w:pStyle w:val="13"/>
            </w:pPr>
            <w:r>
              <w:t>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12.00</w:t>
            </w:r>
          </w:p>
        </w:tc>
        <w:tc>
          <w:tcPr>
            <w:tcW w:w="2551" w:type="dxa"/>
            <w:vAlign w:val="center"/>
          </w:tcPr>
          <w:p>
            <w:pPr>
              <w:pStyle w:val="13"/>
            </w:pPr>
          </w:p>
        </w:tc>
        <w:tc>
          <w:tcPr>
            <w:tcW w:w="2551"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3.89</w:t>
            </w:r>
          </w:p>
        </w:tc>
        <w:tc>
          <w:tcPr>
            <w:tcW w:w="2551" w:type="dxa"/>
            <w:vAlign w:val="center"/>
          </w:tcPr>
          <w:p>
            <w:pPr>
              <w:pStyle w:val="13"/>
            </w:pPr>
          </w:p>
        </w:tc>
        <w:tc>
          <w:tcPr>
            <w:tcW w:w="2551" w:type="dxa"/>
            <w:vAlign w:val="center"/>
          </w:tcPr>
          <w:p>
            <w:pPr>
              <w:pStyle w:val="13"/>
            </w:pPr>
            <w:r>
              <w:t>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13.00</w:t>
            </w:r>
          </w:p>
        </w:tc>
        <w:tc>
          <w:tcPr>
            <w:tcW w:w="2551" w:type="dxa"/>
            <w:vAlign w:val="center"/>
          </w:tcPr>
          <w:p>
            <w:pPr>
              <w:pStyle w:val="13"/>
            </w:pPr>
            <w:r>
              <w:t>13.00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13.00</w:t>
            </w:r>
          </w:p>
        </w:tc>
        <w:tc>
          <w:tcPr>
            <w:tcW w:w="2551" w:type="dxa"/>
            <w:vAlign w:val="center"/>
          </w:tcPr>
          <w:p>
            <w:pPr>
              <w:pStyle w:val="13"/>
            </w:pPr>
            <w:r>
              <w:t>13.00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211中共莲池区委宣传部</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60.00</w:t>
            </w:r>
          </w:p>
        </w:tc>
        <w:tc>
          <w:tcPr>
            <w:tcW w:w="2551" w:type="dxa"/>
            <w:vAlign w:val="center"/>
          </w:tcPr>
          <w:p>
            <w:pPr>
              <w:pStyle w:val="17"/>
            </w:pPr>
          </w:p>
        </w:tc>
        <w:tc>
          <w:tcPr>
            <w:tcW w:w="2551" w:type="dxa"/>
            <w:vAlign w:val="center"/>
          </w:tcPr>
          <w:p>
            <w:pPr>
              <w:pStyle w:val="17"/>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60.00</w:t>
            </w:r>
          </w:p>
        </w:tc>
        <w:tc>
          <w:tcPr>
            <w:tcW w:w="2551" w:type="dxa"/>
            <w:vAlign w:val="center"/>
          </w:tcPr>
          <w:p>
            <w:pPr>
              <w:pStyle w:val="13"/>
            </w:pPr>
          </w:p>
        </w:tc>
        <w:tc>
          <w:tcPr>
            <w:tcW w:w="2551"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20707</w:t>
            </w:r>
          </w:p>
        </w:tc>
        <w:tc>
          <w:tcPr>
            <w:tcW w:w="4535" w:type="dxa"/>
            <w:vAlign w:val="center"/>
          </w:tcPr>
          <w:p>
            <w:pPr>
              <w:pStyle w:val="14"/>
            </w:pPr>
            <w:r>
              <w:t>国家电影事业发展专项资金安排的支出</w:t>
            </w:r>
          </w:p>
        </w:tc>
        <w:tc>
          <w:tcPr>
            <w:tcW w:w="2551" w:type="dxa"/>
            <w:vAlign w:val="center"/>
          </w:tcPr>
          <w:p>
            <w:pPr>
              <w:pStyle w:val="13"/>
            </w:pPr>
            <w:r>
              <w:t>60.00</w:t>
            </w:r>
          </w:p>
        </w:tc>
        <w:tc>
          <w:tcPr>
            <w:tcW w:w="2551" w:type="dxa"/>
            <w:vAlign w:val="center"/>
          </w:tcPr>
          <w:p>
            <w:pPr>
              <w:pStyle w:val="13"/>
            </w:pPr>
          </w:p>
        </w:tc>
        <w:tc>
          <w:tcPr>
            <w:tcW w:w="2551"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2070799</w:t>
            </w:r>
          </w:p>
        </w:tc>
        <w:tc>
          <w:tcPr>
            <w:tcW w:w="4535" w:type="dxa"/>
            <w:vAlign w:val="center"/>
          </w:tcPr>
          <w:p>
            <w:pPr>
              <w:pStyle w:val="14"/>
            </w:pPr>
            <w:r>
              <w:t>其他国家电影事业发展专项资金支出</w:t>
            </w:r>
          </w:p>
        </w:tc>
        <w:tc>
          <w:tcPr>
            <w:tcW w:w="2551" w:type="dxa"/>
            <w:vAlign w:val="center"/>
          </w:tcPr>
          <w:p>
            <w:pPr>
              <w:pStyle w:val="13"/>
            </w:pPr>
            <w:r>
              <w:t>60.00</w:t>
            </w:r>
          </w:p>
        </w:tc>
        <w:tc>
          <w:tcPr>
            <w:tcW w:w="2551" w:type="dxa"/>
            <w:vAlign w:val="center"/>
          </w:tcPr>
          <w:p>
            <w:pPr>
              <w:pStyle w:val="13"/>
            </w:pPr>
          </w:p>
        </w:tc>
        <w:tc>
          <w:tcPr>
            <w:tcW w:w="2551" w:type="dxa"/>
            <w:vAlign w:val="center"/>
          </w:tcPr>
          <w:p>
            <w:pPr>
              <w:pStyle w:val="13"/>
            </w:pPr>
            <w:r>
              <w:t>60.00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211中共莲池区委宣传部</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211中共莲池区委宣传部</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rPr>
                <w:lang w:eastAsia="zh-CN"/>
              </w:rPr>
            </w:pPr>
            <w:r>
              <w:rPr>
                <w:rFonts w:hint="eastAsia"/>
                <w:lang w:eastAsia="zh-CN"/>
              </w:rPr>
              <w:t>1</w:t>
            </w:r>
          </w:p>
        </w:tc>
        <w:tc>
          <w:tcPr>
            <w:tcW w:w="3798" w:type="dxa"/>
            <w:shd w:val="clear" w:color="auto" w:fill="auto"/>
            <w:vAlign w:val="center"/>
          </w:tcPr>
          <w:p>
            <w:pPr>
              <w:pStyle w:val="16"/>
            </w:pPr>
            <w:r>
              <w:t>合计</w:t>
            </w:r>
          </w:p>
        </w:tc>
        <w:tc>
          <w:tcPr>
            <w:tcW w:w="2381" w:type="dxa"/>
            <w:shd w:val="clear" w:color="auto" w:fill="auto"/>
            <w:vAlign w:val="center"/>
          </w:tcPr>
          <w:p>
            <w:pPr>
              <w:pStyle w:val="17"/>
              <w:rPr>
                <w:lang w:eastAsia="zh-CN"/>
              </w:rPr>
            </w:pPr>
            <w:r>
              <w:rPr>
                <w:rFonts w:hint="eastAsia"/>
                <w:lang w:eastAsia="zh-CN"/>
              </w:rPr>
              <w:t>2.91</w:t>
            </w:r>
          </w:p>
        </w:tc>
        <w:tc>
          <w:tcPr>
            <w:tcW w:w="2381" w:type="dxa"/>
            <w:shd w:val="clear" w:color="auto" w:fill="auto"/>
            <w:vAlign w:val="center"/>
          </w:tcPr>
          <w:p>
            <w:pPr>
              <w:pStyle w:val="17"/>
            </w:pPr>
            <w:r>
              <w:rPr>
                <w:rFonts w:hint="eastAsia"/>
                <w:lang w:eastAsia="zh-CN"/>
              </w:rPr>
              <w:t>2.91</w:t>
            </w:r>
          </w:p>
        </w:tc>
        <w:tc>
          <w:tcPr>
            <w:tcW w:w="2381" w:type="dxa"/>
            <w:shd w:val="clear" w:color="auto" w:fill="auto"/>
            <w:vAlign w:val="center"/>
          </w:tcPr>
          <w:p>
            <w:pPr>
              <w:pStyle w:val="17"/>
            </w:pPr>
          </w:p>
        </w:tc>
        <w:tc>
          <w:tcPr>
            <w:tcW w:w="2381" w:type="dxa"/>
            <w:shd w:val="clear" w:color="auto" w:fill="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Pr>
          <w:p>
            <w:pPr>
              <w:pStyle w:val="15"/>
              <w:rPr>
                <w:lang w:eastAsia="zh-CN"/>
              </w:rPr>
            </w:pPr>
            <w:r>
              <w:rPr>
                <w:rFonts w:hint="eastAsia"/>
                <w:lang w:eastAsia="zh-CN"/>
              </w:rPr>
              <w:t>2</w:t>
            </w:r>
          </w:p>
        </w:tc>
        <w:tc>
          <w:tcPr>
            <w:tcW w:w="3798" w:type="dxa"/>
            <w:shd w:val="clear" w:color="auto" w:fill="auto"/>
            <w:vAlign w:val="center"/>
          </w:tcPr>
          <w:p>
            <w:pPr>
              <w:pStyle w:val="14"/>
            </w:pPr>
            <w:r>
              <w:t>“三公”经费小计</w:t>
            </w:r>
          </w:p>
        </w:tc>
        <w:tc>
          <w:tcPr>
            <w:tcW w:w="2381" w:type="dxa"/>
            <w:shd w:val="clear" w:color="auto" w:fill="auto"/>
            <w:vAlign w:val="center"/>
          </w:tcPr>
          <w:p>
            <w:pPr>
              <w:pStyle w:val="13"/>
            </w:pPr>
            <w:r>
              <w:rPr>
                <w:rFonts w:hint="eastAsia"/>
                <w:lang w:eastAsia="zh-CN"/>
              </w:rPr>
              <w:t>2.91</w:t>
            </w:r>
          </w:p>
        </w:tc>
        <w:tc>
          <w:tcPr>
            <w:tcW w:w="2381" w:type="dxa"/>
            <w:shd w:val="clear" w:color="auto" w:fill="auto"/>
            <w:vAlign w:val="center"/>
          </w:tcPr>
          <w:p>
            <w:pPr>
              <w:pStyle w:val="13"/>
            </w:pPr>
            <w:r>
              <w:rPr>
                <w:rFonts w:hint="eastAsia"/>
                <w:lang w:eastAsia="zh-CN"/>
              </w:rPr>
              <w:t>2.91</w:t>
            </w: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Pr>
          <w:p>
            <w:pPr>
              <w:pStyle w:val="15"/>
              <w:rPr>
                <w:lang w:eastAsia="zh-CN"/>
              </w:rPr>
            </w:pPr>
            <w:r>
              <w:rPr>
                <w:rFonts w:hint="eastAsia"/>
                <w:lang w:eastAsia="zh-CN"/>
              </w:rPr>
              <w:t>3</w:t>
            </w:r>
          </w:p>
        </w:tc>
        <w:tc>
          <w:tcPr>
            <w:tcW w:w="3798" w:type="dxa"/>
            <w:shd w:val="clear" w:color="auto" w:fill="auto"/>
            <w:vAlign w:val="center"/>
          </w:tcPr>
          <w:p>
            <w:pPr>
              <w:pStyle w:val="14"/>
            </w:pPr>
            <w:r>
              <w:t>一、因公出国（境）费</w:t>
            </w: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Pr>
          <w:p>
            <w:pPr>
              <w:pStyle w:val="15"/>
              <w:rPr>
                <w:lang w:eastAsia="zh-CN"/>
              </w:rPr>
            </w:pPr>
            <w:r>
              <w:rPr>
                <w:rFonts w:hint="eastAsia"/>
                <w:lang w:eastAsia="zh-CN"/>
              </w:rPr>
              <w:t>4</w:t>
            </w:r>
          </w:p>
        </w:tc>
        <w:tc>
          <w:tcPr>
            <w:tcW w:w="3798" w:type="dxa"/>
            <w:shd w:val="clear" w:color="auto" w:fill="auto"/>
            <w:vAlign w:val="center"/>
          </w:tcPr>
          <w:p>
            <w:pPr>
              <w:pStyle w:val="14"/>
            </w:pPr>
            <w:r>
              <w:t xml:space="preserve">    其中：教学科研人员因公出国（境）费</w:t>
            </w: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Pr>
          <w:p>
            <w:pPr>
              <w:pStyle w:val="15"/>
              <w:rPr>
                <w:lang w:eastAsia="zh-CN"/>
              </w:rPr>
            </w:pPr>
            <w:r>
              <w:rPr>
                <w:rFonts w:hint="eastAsia"/>
                <w:lang w:eastAsia="zh-CN"/>
              </w:rPr>
              <w:t>5</w:t>
            </w:r>
          </w:p>
        </w:tc>
        <w:tc>
          <w:tcPr>
            <w:tcW w:w="3798" w:type="dxa"/>
            <w:shd w:val="clear" w:color="auto" w:fill="auto"/>
            <w:vAlign w:val="center"/>
          </w:tcPr>
          <w:p>
            <w:pPr>
              <w:pStyle w:val="14"/>
            </w:pPr>
            <w:r>
              <w:t xml:space="preserve">          其他因公出国（境）费</w:t>
            </w: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Pr>
          <w:p>
            <w:pPr>
              <w:pStyle w:val="15"/>
              <w:rPr>
                <w:lang w:eastAsia="zh-CN"/>
              </w:rPr>
            </w:pPr>
            <w:r>
              <w:rPr>
                <w:rFonts w:hint="eastAsia"/>
                <w:lang w:eastAsia="zh-CN"/>
              </w:rPr>
              <w:t>6</w:t>
            </w:r>
          </w:p>
        </w:tc>
        <w:tc>
          <w:tcPr>
            <w:tcW w:w="3798" w:type="dxa"/>
            <w:shd w:val="clear" w:color="auto" w:fill="auto"/>
            <w:vAlign w:val="center"/>
          </w:tcPr>
          <w:p>
            <w:pPr>
              <w:pStyle w:val="14"/>
            </w:pPr>
            <w:r>
              <w:t>二、公务用车购置及运维费</w:t>
            </w:r>
          </w:p>
        </w:tc>
        <w:tc>
          <w:tcPr>
            <w:tcW w:w="2381" w:type="dxa"/>
            <w:shd w:val="clear" w:color="auto" w:fill="auto"/>
            <w:vAlign w:val="center"/>
          </w:tcPr>
          <w:p>
            <w:pPr>
              <w:pStyle w:val="13"/>
            </w:pPr>
            <w:r>
              <w:rPr>
                <w:rFonts w:hint="eastAsia"/>
                <w:lang w:eastAsia="zh-CN"/>
              </w:rPr>
              <w:t>2.91</w:t>
            </w:r>
          </w:p>
        </w:tc>
        <w:tc>
          <w:tcPr>
            <w:tcW w:w="2381" w:type="dxa"/>
            <w:shd w:val="clear" w:color="auto" w:fill="auto"/>
            <w:vAlign w:val="center"/>
          </w:tcPr>
          <w:p>
            <w:pPr>
              <w:pStyle w:val="13"/>
            </w:pPr>
            <w:r>
              <w:rPr>
                <w:rFonts w:hint="eastAsia"/>
                <w:lang w:eastAsia="zh-CN"/>
              </w:rPr>
              <w:t>2.91</w:t>
            </w: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Pr>
          <w:p>
            <w:pPr>
              <w:pStyle w:val="15"/>
              <w:rPr>
                <w:lang w:eastAsia="zh-CN"/>
              </w:rPr>
            </w:pPr>
            <w:r>
              <w:rPr>
                <w:rFonts w:hint="eastAsia"/>
                <w:lang w:eastAsia="zh-CN"/>
              </w:rPr>
              <w:t>7</w:t>
            </w:r>
          </w:p>
        </w:tc>
        <w:tc>
          <w:tcPr>
            <w:tcW w:w="3798" w:type="dxa"/>
            <w:shd w:val="clear" w:color="auto" w:fill="auto"/>
            <w:vAlign w:val="center"/>
          </w:tcPr>
          <w:p>
            <w:pPr>
              <w:pStyle w:val="14"/>
            </w:pPr>
            <w:r>
              <w:t xml:space="preserve">    其中：公务用车购置费</w:t>
            </w: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Pr>
          <w:p>
            <w:pPr>
              <w:pStyle w:val="15"/>
              <w:rPr>
                <w:lang w:eastAsia="zh-CN"/>
              </w:rPr>
            </w:pPr>
            <w:r>
              <w:rPr>
                <w:rFonts w:hint="eastAsia"/>
                <w:lang w:eastAsia="zh-CN"/>
              </w:rPr>
              <w:t>8</w:t>
            </w:r>
          </w:p>
        </w:tc>
        <w:tc>
          <w:tcPr>
            <w:tcW w:w="3798" w:type="dxa"/>
            <w:shd w:val="clear" w:color="auto" w:fill="auto"/>
            <w:vAlign w:val="center"/>
          </w:tcPr>
          <w:p>
            <w:pPr>
              <w:pStyle w:val="14"/>
            </w:pPr>
            <w:r>
              <w:t xml:space="preserve">          公务用车运行维护费</w:t>
            </w:r>
          </w:p>
        </w:tc>
        <w:tc>
          <w:tcPr>
            <w:tcW w:w="2381" w:type="dxa"/>
            <w:shd w:val="clear" w:color="auto" w:fill="auto"/>
            <w:vAlign w:val="center"/>
          </w:tcPr>
          <w:p>
            <w:pPr>
              <w:pStyle w:val="13"/>
            </w:pPr>
            <w:r>
              <w:rPr>
                <w:rFonts w:hint="eastAsia"/>
                <w:lang w:eastAsia="zh-CN"/>
              </w:rPr>
              <w:t>2.91</w:t>
            </w:r>
          </w:p>
        </w:tc>
        <w:tc>
          <w:tcPr>
            <w:tcW w:w="2381" w:type="dxa"/>
            <w:shd w:val="clear" w:color="auto" w:fill="auto"/>
            <w:vAlign w:val="center"/>
          </w:tcPr>
          <w:p>
            <w:pPr>
              <w:pStyle w:val="13"/>
            </w:pPr>
            <w:r>
              <w:rPr>
                <w:rFonts w:hint="eastAsia"/>
                <w:lang w:eastAsia="zh-CN"/>
              </w:rPr>
              <w:t>2.91</w:t>
            </w: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Pr>
          <w:p>
            <w:pPr>
              <w:pStyle w:val="15"/>
              <w:rPr>
                <w:lang w:eastAsia="zh-CN"/>
              </w:rPr>
            </w:pPr>
            <w:r>
              <w:rPr>
                <w:rFonts w:hint="eastAsia"/>
                <w:lang w:eastAsia="zh-CN"/>
              </w:rPr>
              <w:t>9</w:t>
            </w:r>
          </w:p>
        </w:tc>
        <w:tc>
          <w:tcPr>
            <w:tcW w:w="3798" w:type="dxa"/>
            <w:shd w:val="clear" w:color="auto" w:fill="auto"/>
            <w:vAlign w:val="center"/>
          </w:tcPr>
          <w:p>
            <w:pPr>
              <w:pStyle w:val="14"/>
            </w:pPr>
            <w:r>
              <w:t>三、公务接待费</w:t>
            </w: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r>
    </w:tbl>
    <w:p>
      <w:pPr>
        <w:ind w:firstLine="420"/>
      </w:pPr>
      <w:r>
        <w:rPr>
          <w:rFonts w:ascii="方正书宋_GBK" w:hAnsi="方正书宋_GBK" w:eastAsia="方正书宋_GBK" w:cs="方正书宋_GBK"/>
          <w:color w:val="000000"/>
          <w:sz w:val="21"/>
        </w:rPr>
        <w:t>注：无财政拨款“三公”经费支出预算，空表列示。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中共莲池区委宣传部2026年部门预算信息公开情况说明</w:t>
      </w:r>
    </w:p>
    <w:p>
      <w:pPr>
        <w:jc w:val="center"/>
      </w:pPr>
      <w:r>
        <w:rPr>
          <w:rFonts w:ascii="方正小标宋_GBK" w:hAnsi="方正小标宋_GBK" w:eastAsia="方正小标宋_GBK" w:cs="方正小标宋_GBK"/>
          <w:color w:val="000000"/>
          <w:sz w:val="44"/>
        </w:rPr>
        <w:t>中共莲池区委宣传部2026年部门预算信息公开情况说明</w:t>
      </w:r>
    </w:p>
    <w:p>
      <w:pPr>
        <w:spacing w:line="500" w:lineRule="exact"/>
        <w:ind w:firstLine="560"/>
      </w:pPr>
      <w:r>
        <w:rPr>
          <w:rFonts w:eastAsia="方正仿宋_GBK" w:cs="Times New Roman"/>
          <w:color w:val="000000"/>
          <w:sz w:val="28"/>
        </w:rPr>
        <w:t>按照《中华人民共和国预算法</w:t>
      </w:r>
      <w:r>
        <w:rPr>
          <w:rFonts w:hint="eastAsia" w:eastAsia="方正仿宋_GBK" w:cs="Times New Roman"/>
          <w:color w:val="000000"/>
          <w:sz w:val="28"/>
          <w:lang w:eastAsia="zh-CN"/>
        </w:rPr>
        <w:t>》《</w:t>
      </w:r>
      <w:r>
        <w:rPr>
          <w:rFonts w:eastAsia="方正仿宋_GBK" w:cs="Times New Roman"/>
          <w:color w:val="000000"/>
          <w:sz w:val="28"/>
        </w:rPr>
        <w:t>地方预决算公开操作规程》和《关于进一步推进预算公开工作的实施意见》规定，现将中共莲池区委宣传部2026年部门预算公开如下：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31"/>
      </w:pPr>
      <w:r>
        <w:t>（一）拟订全区宣传思想文化工作重大方针政策和事业发展总体规划，按照区委统一部署，协调宣传思想文化系统各部门之间的工作。</w:t>
      </w:r>
    </w:p>
    <w:p>
      <w:pPr>
        <w:pStyle w:val="31"/>
      </w:pPr>
      <w:r>
        <w:t>（二）统筹协调全区党的意识形态工作，贯彻落实区委关于意识形态工作决策部署，组织协调意识形态工作责任制落实和日常监督检查，结合巡视巡察工作开展专项检查。</w:t>
      </w:r>
    </w:p>
    <w:p>
      <w:pPr>
        <w:pStyle w:val="31"/>
      </w:pPr>
      <w:r>
        <w:t>（三）统筹指导协调全区理论研究、理论学习、理论宣传工作，组织推动理论武装工作，负责区委理论学习中心组理论学习的有关工作。</w:t>
      </w:r>
    </w:p>
    <w:p>
      <w:pPr>
        <w:pStyle w:val="31"/>
      </w:pPr>
      <w:r>
        <w:t>（四）负责规划组织全区全局性思想政治工作任务，组织对全区先进典型的学习推广。会同有关部门研究和改进群众思想教育工作。</w:t>
      </w:r>
    </w:p>
    <w:p>
      <w:pPr>
        <w:pStyle w:val="31"/>
      </w:pPr>
      <w:r>
        <w:t>（五）统筹分析研判和引导全区社会舆论，负责全区融媒体中心的建设和管理工作，组织全区突发公共事件应急新闻工作。</w:t>
      </w:r>
    </w:p>
    <w:p>
      <w:pPr>
        <w:pStyle w:val="31"/>
      </w:pPr>
      <w:r>
        <w:t>（六）负责全区印刷业的监督管理，图书发行行业、音像店、电子出版物的行业管理，著作权管理以及出版物市场的管理。组织开展“扫黄打非”工作。</w:t>
      </w:r>
    </w:p>
    <w:p>
      <w:pPr>
        <w:pStyle w:val="31"/>
      </w:pPr>
      <w:r>
        <w:t>（七）从宏观上统筹指导协调全区互联网宣传和信息内容管理工作。统筹数字新媒体的建设和管理。</w:t>
      </w:r>
    </w:p>
    <w:p>
      <w:pPr>
        <w:pStyle w:val="31"/>
      </w:pPr>
      <w:r>
        <w:t>（八）从宏观上统筹指导协调推动全区精神文化产品的创作和生产，协调组织中华优秀传统文化传承发展有关工作，指导协调推动群众文化建设。</w:t>
      </w:r>
    </w:p>
    <w:p>
      <w:pPr>
        <w:pStyle w:val="31"/>
      </w:pPr>
      <w:r>
        <w:t>（九）统筹指导全区舆情信息工作，组织协调开展区内外舆情信息收集分析研判工作，跟踪了解、研究掌握宣传舆情动态。</w:t>
      </w:r>
    </w:p>
    <w:p>
      <w:pPr>
        <w:pStyle w:val="31"/>
      </w:pPr>
      <w:r>
        <w:t>（十）统筹协调组织开展新闻发布工作。承担区委新闻发布有关组织协调工作，负责区政府新闻发布组织实施工作。指导协调区政府各部门和各乡（镇）、街道的新闻发布工作，拟定区重大问题对外宣传口径。</w:t>
      </w:r>
    </w:p>
    <w:p>
      <w:pPr>
        <w:pStyle w:val="31"/>
        <w:sectPr>
          <w:pgSz w:w="11900" w:h="16840"/>
          <w:pgMar w:top="1361" w:right="1020" w:bottom="1361" w:left="1020" w:header="720" w:footer="720" w:gutter="0"/>
          <w:pgNumType w:start="1"/>
          <w:cols w:space="720" w:num="1"/>
        </w:sectPr>
      </w:pPr>
      <w:r>
        <w:t>（十一）完成区委交办的其他任务。</w:t>
      </w:r>
    </w:p>
    <w:p>
      <w:pPr>
        <w:pStyle w:val="19"/>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中共莲池区委宣传部本级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numPr>
          <w:ilvl w:val="0"/>
          <w:numId w:val="1"/>
        </w:numPr>
        <w:spacing w:before="10" w:after="10" w:line="360" w:lineRule="auto"/>
        <w:ind w:firstLine="640"/>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pPr>
        <w:spacing w:line="560" w:lineRule="exact"/>
        <w:ind w:firstLine="560"/>
      </w:pPr>
      <w:r>
        <w:rPr>
          <w:rFonts w:eastAsia="方正仿宋_GBK"/>
          <w:color w:val="000000"/>
          <w:sz w:val="28"/>
        </w:rPr>
        <w:t>按照预算管理有关规定，目前我省部门预算的编制实行综合预算管理，即全部收入和支出都反映在预算中。中共莲池区委宣传部机关及所属事业单位的收支包含在部门预算中。</w:t>
      </w:r>
    </w:p>
    <w:p>
      <w:pPr>
        <w:spacing w:line="560" w:lineRule="exact"/>
        <w:ind w:firstLine="560" w:firstLineChars="200"/>
        <w:rPr>
          <w:rFonts w:eastAsia="方正仿宋_GBK"/>
          <w:color w:val="000000"/>
          <w:sz w:val="28"/>
        </w:rPr>
      </w:pPr>
      <w:r>
        <w:rPr>
          <w:rFonts w:eastAsia="方正仿宋_GBK"/>
          <w:color w:val="000000"/>
          <w:sz w:val="28"/>
        </w:rPr>
        <w:t>（一）</w:t>
      </w:r>
      <w:r>
        <w:rPr>
          <w:rFonts w:hint="eastAsia" w:eastAsia="方正仿宋_GBK"/>
          <w:color w:val="000000"/>
          <w:sz w:val="28"/>
        </w:rPr>
        <w:t>收入说明</w:t>
      </w:r>
    </w:p>
    <w:p>
      <w:pPr>
        <w:spacing w:line="560" w:lineRule="exact"/>
        <w:ind w:firstLine="560" w:firstLineChars="200"/>
        <w:rPr>
          <w:rFonts w:eastAsia="方正仿宋_GBK"/>
          <w:color w:val="000000"/>
          <w:sz w:val="28"/>
          <w:lang w:eastAsia="zh-CN"/>
        </w:rPr>
      </w:pPr>
      <w:r>
        <w:rPr>
          <w:rFonts w:hint="eastAsia" w:eastAsia="方正仿宋_GBK"/>
          <w:color w:val="000000"/>
          <w:sz w:val="28"/>
        </w:rPr>
        <w:t>202</w:t>
      </w:r>
      <w:r>
        <w:rPr>
          <w:rFonts w:hint="eastAsia" w:eastAsia="方正仿宋_GBK"/>
          <w:color w:val="000000"/>
          <w:sz w:val="28"/>
          <w:lang w:eastAsia="zh-CN"/>
        </w:rPr>
        <w:t>6</w:t>
      </w:r>
      <w:r>
        <w:rPr>
          <w:rFonts w:hint="eastAsia" w:eastAsia="方正仿宋_GBK"/>
          <w:color w:val="000000"/>
          <w:sz w:val="28"/>
        </w:rPr>
        <w:t>年预算收入为</w:t>
      </w:r>
      <w:r>
        <w:rPr>
          <w:rFonts w:hint="eastAsia" w:eastAsia="方正仿宋_GBK"/>
          <w:color w:val="000000"/>
          <w:sz w:val="28"/>
          <w:lang w:eastAsia="zh-CN"/>
        </w:rPr>
        <w:t>940.27</w:t>
      </w:r>
      <w:r>
        <w:rPr>
          <w:rFonts w:hint="eastAsia" w:eastAsia="方正仿宋_GBK"/>
          <w:color w:val="000000"/>
          <w:sz w:val="28"/>
        </w:rPr>
        <w:t>万元,其中：一般公共预算拨款收入</w:t>
      </w:r>
      <w:r>
        <w:rPr>
          <w:rFonts w:hint="eastAsia" w:eastAsia="方正仿宋_GBK"/>
          <w:color w:val="000000"/>
          <w:sz w:val="28"/>
          <w:lang w:eastAsia="zh-CN"/>
        </w:rPr>
        <w:t>845.69</w:t>
      </w:r>
      <w:r>
        <w:rPr>
          <w:rFonts w:hint="eastAsia" w:eastAsia="方正仿宋_GBK"/>
          <w:color w:val="000000"/>
          <w:sz w:val="28"/>
        </w:rPr>
        <w:t>万元，基金预算收入</w:t>
      </w:r>
      <w:r>
        <w:rPr>
          <w:rFonts w:hint="eastAsia" w:eastAsia="方正仿宋_GBK"/>
          <w:color w:val="000000"/>
          <w:sz w:val="28"/>
          <w:lang w:eastAsia="zh-CN"/>
        </w:rPr>
        <w:t>48</w:t>
      </w:r>
      <w:r>
        <w:rPr>
          <w:rFonts w:hint="eastAsia" w:eastAsia="方正仿宋_GBK"/>
          <w:color w:val="000000"/>
          <w:sz w:val="28"/>
        </w:rPr>
        <w:t>万元，</w:t>
      </w:r>
      <w:r>
        <w:rPr>
          <w:rFonts w:hint="eastAsia" w:eastAsia="方正仿宋_GBK"/>
          <w:color w:val="000000"/>
          <w:sz w:val="28"/>
          <w:lang w:eastAsia="zh-CN"/>
        </w:rPr>
        <w:t>上年结转结余46.58万元。</w:t>
      </w:r>
    </w:p>
    <w:p>
      <w:pPr>
        <w:spacing w:line="560" w:lineRule="exact"/>
        <w:ind w:firstLine="560" w:firstLineChars="200"/>
        <w:rPr>
          <w:rFonts w:eastAsia="方正仿宋_GBK"/>
          <w:color w:val="000000"/>
          <w:sz w:val="28"/>
        </w:rPr>
      </w:pPr>
      <w:r>
        <w:rPr>
          <w:rFonts w:eastAsia="方正仿宋_GBK"/>
          <w:color w:val="000000"/>
          <w:sz w:val="28"/>
        </w:rPr>
        <w:t>（二）</w:t>
      </w:r>
      <w:r>
        <w:rPr>
          <w:rFonts w:hint="eastAsia" w:eastAsia="方正仿宋_GBK"/>
          <w:color w:val="000000"/>
          <w:sz w:val="28"/>
        </w:rPr>
        <w:t>支出说明</w:t>
      </w:r>
    </w:p>
    <w:p>
      <w:pPr>
        <w:spacing w:line="560" w:lineRule="exact"/>
        <w:ind w:firstLine="560" w:firstLineChars="200"/>
        <w:rPr>
          <w:rFonts w:eastAsia="方正仿宋_GBK"/>
          <w:color w:val="000000"/>
          <w:sz w:val="28"/>
        </w:rPr>
      </w:pPr>
      <w:r>
        <w:rPr>
          <w:rFonts w:hint="eastAsia" w:eastAsia="方正仿宋_GBK"/>
          <w:color w:val="000000"/>
          <w:sz w:val="28"/>
        </w:rPr>
        <w:t>202</w:t>
      </w:r>
      <w:r>
        <w:rPr>
          <w:rFonts w:hint="eastAsia" w:eastAsia="方正仿宋_GBK"/>
          <w:color w:val="000000"/>
          <w:sz w:val="28"/>
          <w:lang w:eastAsia="zh-CN"/>
        </w:rPr>
        <w:t>6</w:t>
      </w:r>
      <w:r>
        <w:rPr>
          <w:rFonts w:hint="eastAsia" w:eastAsia="方正仿宋_GBK"/>
          <w:color w:val="000000"/>
          <w:sz w:val="28"/>
        </w:rPr>
        <w:t>年部门支出预算：</w:t>
      </w:r>
      <w:r>
        <w:rPr>
          <w:rFonts w:hint="eastAsia" w:eastAsia="方正仿宋_GBK"/>
          <w:color w:val="000000"/>
          <w:sz w:val="28"/>
          <w:lang w:eastAsia="zh-CN"/>
        </w:rPr>
        <w:t>940.27</w:t>
      </w:r>
      <w:r>
        <w:rPr>
          <w:rFonts w:hint="eastAsia" w:eastAsia="方正仿宋_GBK"/>
          <w:color w:val="000000"/>
          <w:sz w:val="28"/>
        </w:rPr>
        <w:t>万元</w:t>
      </w:r>
      <w:r>
        <w:rPr>
          <w:rFonts w:eastAsia="方正仿宋_GBK"/>
          <w:color w:val="000000"/>
          <w:sz w:val="28"/>
        </w:rPr>
        <w:t>。</w:t>
      </w:r>
    </w:p>
    <w:p>
      <w:pPr>
        <w:spacing w:line="560" w:lineRule="exact"/>
        <w:ind w:firstLine="560" w:firstLineChars="200"/>
        <w:rPr>
          <w:rFonts w:eastAsia="方正仿宋_GBK"/>
          <w:color w:val="000000"/>
          <w:sz w:val="28"/>
        </w:rPr>
      </w:pPr>
      <w:r>
        <w:rPr>
          <w:rFonts w:hint="eastAsia" w:eastAsia="方正仿宋_GBK"/>
          <w:color w:val="000000"/>
          <w:sz w:val="28"/>
        </w:rPr>
        <w:t>基本支出</w:t>
      </w:r>
      <w:r>
        <w:rPr>
          <w:rFonts w:hint="eastAsia" w:eastAsia="方正仿宋_GBK"/>
          <w:color w:val="000000"/>
          <w:sz w:val="28"/>
          <w:lang w:eastAsia="zh-CN"/>
        </w:rPr>
        <w:t>535.05</w:t>
      </w:r>
      <w:r>
        <w:rPr>
          <w:rFonts w:hint="eastAsia" w:eastAsia="方正仿宋_GBK"/>
          <w:color w:val="000000"/>
          <w:sz w:val="28"/>
        </w:rPr>
        <w:t>万元</w:t>
      </w:r>
      <w:r>
        <w:rPr>
          <w:rFonts w:eastAsia="方正仿宋_GBK"/>
          <w:color w:val="000000"/>
          <w:sz w:val="28"/>
        </w:rPr>
        <w:t>。</w:t>
      </w:r>
      <w:r>
        <w:rPr>
          <w:rFonts w:hint="eastAsia" w:eastAsia="方正仿宋_GBK"/>
          <w:color w:val="000000"/>
          <w:sz w:val="28"/>
        </w:rPr>
        <w:t>其中：人员经费</w:t>
      </w:r>
      <w:r>
        <w:rPr>
          <w:rFonts w:hint="eastAsia" w:eastAsia="方正仿宋_GBK"/>
          <w:color w:val="000000"/>
          <w:sz w:val="28"/>
          <w:lang w:eastAsia="zh-CN"/>
        </w:rPr>
        <w:t>497.21</w:t>
      </w:r>
      <w:r>
        <w:rPr>
          <w:rFonts w:hint="eastAsia" w:eastAsia="方正仿宋_GBK"/>
          <w:color w:val="000000"/>
          <w:sz w:val="28"/>
        </w:rPr>
        <w:t>万元</w:t>
      </w:r>
      <w:r>
        <w:rPr>
          <w:rFonts w:eastAsia="方正仿宋_GBK"/>
          <w:color w:val="000000"/>
          <w:sz w:val="28"/>
        </w:rPr>
        <w:t>，</w:t>
      </w:r>
      <w:r>
        <w:rPr>
          <w:rFonts w:hint="eastAsia" w:eastAsia="方正仿宋_GBK"/>
          <w:color w:val="000000"/>
          <w:sz w:val="28"/>
        </w:rPr>
        <w:t>日常公用经费</w:t>
      </w:r>
      <w:r>
        <w:rPr>
          <w:rFonts w:hint="eastAsia" w:eastAsia="方正仿宋_GBK"/>
          <w:color w:val="000000"/>
          <w:sz w:val="28"/>
          <w:lang w:eastAsia="zh-CN"/>
        </w:rPr>
        <w:t>37.84</w:t>
      </w:r>
      <w:r>
        <w:rPr>
          <w:rFonts w:hint="eastAsia" w:eastAsia="方正仿宋_GBK"/>
          <w:color w:val="000000"/>
          <w:sz w:val="28"/>
        </w:rPr>
        <w:t>万元</w:t>
      </w:r>
      <w:r>
        <w:rPr>
          <w:rFonts w:eastAsia="方正仿宋_GBK"/>
          <w:color w:val="000000"/>
          <w:sz w:val="28"/>
        </w:rPr>
        <w:t>。</w:t>
      </w:r>
    </w:p>
    <w:p>
      <w:pPr>
        <w:spacing w:line="560" w:lineRule="exact"/>
        <w:ind w:firstLine="560" w:firstLineChars="200"/>
        <w:rPr>
          <w:rFonts w:eastAsia="方正仿宋_GBK"/>
          <w:color w:val="000000"/>
          <w:sz w:val="28"/>
        </w:rPr>
      </w:pPr>
      <w:r>
        <w:rPr>
          <w:rFonts w:hint="eastAsia" w:eastAsia="方正仿宋_GBK"/>
          <w:color w:val="000000"/>
          <w:sz w:val="28"/>
        </w:rPr>
        <w:t>项目支出</w:t>
      </w:r>
      <w:r>
        <w:rPr>
          <w:rFonts w:hint="eastAsia" w:eastAsia="方正仿宋_GBK"/>
          <w:color w:val="000000"/>
          <w:sz w:val="28"/>
          <w:lang w:eastAsia="zh-CN"/>
        </w:rPr>
        <w:t>405.22</w:t>
      </w:r>
      <w:r>
        <w:rPr>
          <w:rFonts w:hint="eastAsia" w:eastAsia="方正仿宋_GBK"/>
          <w:color w:val="000000"/>
          <w:sz w:val="28"/>
        </w:rPr>
        <w:t>万元</w:t>
      </w:r>
      <w:r>
        <w:rPr>
          <w:rFonts w:eastAsia="方正仿宋_GBK"/>
          <w:color w:val="000000"/>
          <w:sz w:val="28"/>
        </w:rPr>
        <w:t>。</w:t>
      </w:r>
    </w:p>
    <w:p>
      <w:pPr>
        <w:spacing w:line="560" w:lineRule="exact"/>
        <w:ind w:firstLine="560" w:firstLineChars="200"/>
        <w:rPr>
          <w:rFonts w:eastAsia="方正仿宋_GBK"/>
          <w:color w:val="000000"/>
          <w:sz w:val="28"/>
        </w:rPr>
      </w:pPr>
      <w:r>
        <w:rPr>
          <w:rFonts w:eastAsia="方正仿宋_GBK"/>
          <w:color w:val="000000"/>
          <w:sz w:val="28"/>
        </w:rPr>
        <w:t>（三）</w:t>
      </w:r>
      <w:r>
        <w:rPr>
          <w:rFonts w:hint="eastAsia" w:eastAsia="方正仿宋_GBK"/>
          <w:color w:val="000000"/>
          <w:sz w:val="28"/>
        </w:rPr>
        <w:t>比上年增减情况</w:t>
      </w:r>
    </w:p>
    <w:p>
      <w:pPr>
        <w:spacing w:line="560" w:lineRule="exact"/>
        <w:ind w:firstLine="560" w:firstLineChars="200"/>
        <w:rPr>
          <w:rFonts w:ascii="黑体" w:hAnsi="黑体" w:eastAsia="黑体" w:cs="黑体"/>
          <w:color w:val="000000"/>
          <w:sz w:val="32"/>
        </w:rPr>
      </w:pPr>
      <w:r>
        <w:rPr>
          <w:rFonts w:hint="eastAsia" w:eastAsia="方正仿宋_GBK"/>
          <w:color w:val="000000"/>
          <w:sz w:val="28"/>
        </w:rPr>
        <w:t>本年度预算收支安排</w:t>
      </w:r>
      <w:r>
        <w:rPr>
          <w:rFonts w:hint="eastAsia" w:eastAsia="方正仿宋_GBK"/>
          <w:color w:val="000000"/>
          <w:sz w:val="28"/>
          <w:lang w:eastAsia="zh-CN"/>
        </w:rPr>
        <w:t>940.27</w:t>
      </w:r>
      <w:r>
        <w:rPr>
          <w:rFonts w:hint="eastAsia" w:eastAsia="方正仿宋_GBK"/>
          <w:color w:val="000000"/>
          <w:sz w:val="28"/>
        </w:rPr>
        <w:t>万元</w:t>
      </w:r>
      <w:r>
        <w:rPr>
          <w:rFonts w:eastAsia="方正仿宋_GBK"/>
          <w:color w:val="000000"/>
          <w:sz w:val="28"/>
        </w:rPr>
        <w:t>，</w:t>
      </w:r>
      <w:r>
        <w:rPr>
          <w:rFonts w:hint="eastAsia" w:eastAsia="方正仿宋_GBK"/>
          <w:color w:val="000000"/>
          <w:sz w:val="28"/>
        </w:rPr>
        <w:t>较上年</w:t>
      </w:r>
      <w:r>
        <w:rPr>
          <w:rFonts w:hint="eastAsia" w:eastAsia="方正仿宋_GBK"/>
          <w:color w:val="000000"/>
          <w:sz w:val="28"/>
          <w:lang w:eastAsia="zh-CN"/>
        </w:rPr>
        <w:t>增加17.44</w:t>
      </w:r>
      <w:r>
        <w:rPr>
          <w:rFonts w:hint="eastAsia" w:eastAsia="方正仿宋_GBK"/>
          <w:color w:val="000000"/>
          <w:sz w:val="28"/>
        </w:rPr>
        <w:t>万元。其中:基本支出</w:t>
      </w:r>
      <w:r>
        <w:rPr>
          <w:rFonts w:hint="eastAsia" w:eastAsia="方正仿宋_GBK"/>
          <w:color w:val="000000"/>
          <w:sz w:val="28"/>
          <w:lang w:eastAsia="zh-CN"/>
        </w:rPr>
        <w:t>增加36.11</w:t>
      </w:r>
      <w:r>
        <w:rPr>
          <w:rFonts w:hint="eastAsia" w:eastAsia="方正仿宋_GBK"/>
          <w:color w:val="000000"/>
          <w:sz w:val="28"/>
        </w:rPr>
        <w:t>万元，项目支出</w:t>
      </w:r>
      <w:r>
        <w:rPr>
          <w:rFonts w:hint="eastAsia" w:eastAsia="方正仿宋_GBK"/>
          <w:color w:val="000000"/>
          <w:sz w:val="28"/>
          <w:lang w:eastAsia="zh-CN"/>
        </w:rPr>
        <w:t>减少18.67</w:t>
      </w:r>
      <w:r>
        <w:rPr>
          <w:rFonts w:hint="eastAsia" w:eastAsia="方正仿宋_GBK"/>
          <w:color w:val="000000"/>
          <w:sz w:val="28"/>
        </w:rPr>
        <w:t>万元，主要是</w:t>
      </w:r>
      <w:r>
        <w:rPr>
          <w:rFonts w:hint="eastAsia" w:eastAsia="方正仿宋_GBK"/>
          <w:color w:val="000000"/>
          <w:sz w:val="28"/>
          <w:lang w:eastAsia="zh-CN"/>
        </w:rPr>
        <w:t>人员增加</w:t>
      </w:r>
      <w:r>
        <w:rPr>
          <w:rFonts w:hint="eastAsia" w:eastAsia="方正仿宋_GBK"/>
          <w:color w:val="000000"/>
          <w:sz w:val="28"/>
        </w:rPr>
        <w:t>。</w:t>
      </w:r>
    </w:p>
    <w:p>
      <w:pPr>
        <w:pStyle w:val="20"/>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1"/>
        <w:rPr>
          <w:lang w:eastAsia="zh-CN"/>
        </w:rPr>
      </w:pPr>
      <w:r>
        <w:rPr>
          <w:rFonts w:hint="eastAsia"/>
          <w:lang w:eastAsia="zh-CN"/>
        </w:rPr>
        <w:t>2026年，我部门机关运行经费共计安排37.84万元，主要用于办公费、邮电费、</w:t>
      </w:r>
      <w:r>
        <w:rPr>
          <w:rFonts w:hint="eastAsia"/>
        </w:rPr>
        <w:t>工会经费</w:t>
      </w:r>
      <w:r>
        <w:rPr>
          <w:rFonts w:hint="eastAsia"/>
          <w:lang w:eastAsia="zh-CN"/>
        </w:rPr>
        <w:t>、</w:t>
      </w:r>
      <w:r>
        <w:rPr>
          <w:rFonts w:hint="eastAsia"/>
        </w:rPr>
        <w:t>公务用车运行维护费</w:t>
      </w:r>
      <w:r>
        <w:rPr>
          <w:rFonts w:hint="eastAsia"/>
          <w:lang w:eastAsia="zh-CN"/>
        </w:rPr>
        <w:t>、</w:t>
      </w:r>
      <w:r>
        <w:rPr>
          <w:rFonts w:hint="eastAsia"/>
        </w:rPr>
        <w:t>公务交通补贴</w:t>
      </w:r>
      <w:r>
        <w:rPr>
          <w:rFonts w:hint="eastAsia"/>
          <w:lang w:eastAsia="zh-CN"/>
        </w:rPr>
        <w:t>等日常运行支出。</w:t>
      </w:r>
    </w:p>
    <w:p>
      <w:pPr>
        <w:pStyle w:val="21"/>
        <w:rPr>
          <w:lang w:eastAsia="zh-CN"/>
        </w:rPr>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tbl>
      <w:tblPr>
        <w:tblStyle w:val="6"/>
        <w:tblW w:w="14554" w:type="dxa"/>
        <w:tblInd w:w="108" w:type="dxa"/>
        <w:tblLayout w:type="fixed"/>
        <w:tblCellMar>
          <w:top w:w="0" w:type="dxa"/>
          <w:left w:w="108" w:type="dxa"/>
          <w:bottom w:w="0" w:type="dxa"/>
          <w:right w:w="108" w:type="dxa"/>
        </w:tblCellMar>
      </w:tblPr>
      <w:tblGrid>
        <w:gridCol w:w="4085"/>
        <w:gridCol w:w="2955"/>
        <w:gridCol w:w="2925"/>
        <w:gridCol w:w="2355"/>
        <w:gridCol w:w="2234"/>
      </w:tblGrid>
      <w:tr>
        <w:tblPrEx>
          <w:tblCellMar>
            <w:top w:w="0" w:type="dxa"/>
            <w:left w:w="108" w:type="dxa"/>
            <w:bottom w:w="0" w:type="dxa"/>
            <w:right w:w="108" w:type="dxa"/>
          </w:tblCellMar>
        </w:tblPrEx>
        <w:trPr>
          <w:trHeight w:val="405" w:hRule="atLeast"/>
        </w:trPr>
        <w:tc>
          <w:tcPr>
            <w:tcW w:w="14554" w:type="dxa"/>
            <w:gridSpan w:val="5"/>
            <w:tcBorders>
              <w:top w:val="nil"/>
              <w:left w:val="nil"/>
              <w:bottom w:val="nil"/>
              <w:right w:val="nil"/>
              <w:tl2br w:val="nil"/>
              <w:tr2bl w:val="nil"/>
            </w:tcBorders>
            <w:noWrap/>
            <w:vAlign w:val="center"/>
          </w:tcPr>
          <w:p>
            <w:pPr>
              <w:spacing w:line="560" w:lineRule="exact"/>
              <w:ind w:firstLine="560"/>
              <w:jc w:val="center"/>
              <w:rPr>
                <w:rFonts w:eastAsia="方正仿宋_GBK"/>
                <w:color w:val="000000"/>
                <w:sz w:val="28"/>
              </w:rPr>
            </w:pPr>
            <w:r>
              <w:rPr>
                <w:rFonts w:hint="eastAsia" w:eastAsia="方正仿宋_GBK"/>
                <w:color w:val="000000"/>
                <w:sz w:val="28"/>
              </w:rPr>
              <w:t>“三公”经费预算情况及增减变化原因</w:t>
            </w:r>
          </w:p>
        </w:tc>
      </w:tr>
      <w:tr>
        <w:tblPrEx>
          <w:tblCellMar>
            <w:top w:w="0" w:type="dxa"/>
            <w:left w:w="108" w:type="dxa"/>
            <w:bottom w:w="0" w:type="dxa"/>
            <w:right w:w="108" w:type="dxa"/>
          </w:tblCellMar>
        </w:tblPrEx>
        <w:trPr>
          <w:trHeight w:val="232" w:hRule="atLeast"/>
        </w:trPr>
        <w:tc>
          <w:tcPr>
            <w:tcW w:w="4085" w:type="dxa"/>
            <w:tcBorders>
              <w:top w:val="nil"/>
              <w:left w:val="nil"/>
              <w:bottom w:val="nil"/>
              <w:right w:val="nil"/>
              <w:tl2br w:val="nil"/>
              <w:tr2bl w:val="nil"/>
            </w:tcBorders>
            <w:noWrap/>
            <w:vAlign w:val="center"/>
          </w:tcPr>
          <w:p>
            <w:pPr>
              <w:spacing w:line="560" w:lineRule="exact"/>
              <w:ind w:firstLine="560"/>
              <w:rPr>
                <w:rFonts w:eastAsia="方正仿宋_GBK"/>
                <w:color w:val="000000"/>
                <w:sz w:val="28"/>
              </w:rPr>
            </w:pPr>
          </w:p>
        </w:tc>
        <w:tc>
          <w:tcPr>
            <w:tcW w:w="2955" w:type="dxa"/>
            <w:tcBorders>
              <w:top w:val="nil"/>
              <w:left w:val="nil"/>
              <w:bottom w:val="nil"/>
              <w:right w:val="nil"/>
              <w:tl2br w:val="nil"/>
              <w:tr2bl w:val="nil"/>
            </w:tcBorders>
            <w:noWrap/>
            <w:vAlign w:val="center"/>
          </w:tcPr>
          <w:p>
            <w:pPr>
              <w:spacing w:line="560" w:lineRule="exact"/>
              <w:ind w:firstLine="560"/>
              <w:rPr>
                <w:rFonts w:eastAsia="方正仿宋_GBK"/>
                <w:color w:val="000000"/>
                <w:sz w:val="28"/>
              </w:rPr>
            </w:pPr>
          </w:p>
        </w:tc>
        <w:tc>
          <w:tcPr>
            <w:tcW w:w="2925" w:type="dxa"/>
            <w:tcBorders>
              <w:top w:val="nil"/>
              <w:left w:val="nil"/>
              <w:bottom w:val="nil"/>
              <w:right w:val="nil"/>
              <w:tl2br w:val="nil"/>
              <w:tr2bl w:val="nil"/>
            </w:tcBorders>
            <w:noWrap/>
            <w:vAlign w:val="center"/>
          </w:tcPr>
          <w:p>
            <w:pPr>
              <w:spacing w:line="560" w:lineRule="exact"/>
              <w:ind w:firstLine="560"/>
              <w:rPr>
                <w:rFonts w:eastAsia="方正仿宋_GBK"/>
                <w:color w:val="000000"/>
                <w:sz w:val="28"/>
              </w:rPr>
            </w:pPr>
          </w:p>
        </w:tc>
        <w:tc>
          <w:tcPr>
            <w:tcW w:w="2355" w:type="dxa"/>
            <w:tcBorders>
              <w:top w:val="nil"/>
              <w:left w:val="nil"/>
              <w:bottom w:val="nil"/>
              <w:right w:val="nil"/>
              <w:tl2br w:val="nil"/>
              <w:tr2bl w:val="nil"/>
            </w:tcBorders>
            <w:noWrap/>
            <w:vAlign w:val="center"/>
          </w:tcPr>
          <w:p>
            <w:pPr>
              <w:spacing w:line="560" w:lineRule="exact"/>
              <w:ind w:firstLine="560"/>
              <w:rPr>
                <w:rFonts w:eastAsia="方正仿宋_GBK"/>
                <w:color w:val="000000"/>
                <w:sz w:val="28"/>
              </w:rPr>
            </w:pPr>
          </w:p>
        </w:tc>
        <w:tc>
          <w:tcPr>
            <w:tcW w:w="2234" w:type="dxa"/>
            <w:tcBorders>
              <w:top w:val="nil"/>
              <w:left w:val="nil"/>
              <w:bottom w:val="nil"/>
              <w:right w:val="nil"/>
              <w:tl2br w:val="nil"/>
              <w:tr2bl w:val="nil"/>
            </w:tcBorders>
            <w:noWrap/>
            <w:vAlign w:val="center"/>
          </w:tcPr>
          <w:p>
            <w:pPr>
              <w:spacing w:line="560" w:lineRule="exact"/>
              <w:ind w:firstLine="560"/>
              <w:rPr>
                <w:rFonts w:eastAsia="方正仿宋_GBK"/>
                <w:color w:val="000000"/>
                <w:sz w:val="28"/>
              </w:rPr>
            </w:pPr>
            <w:r>
              <w:rPr>
                <w:rFonts w:hint="eastAsia" w:eastAsia="方正仿宋_GBK"/>
                <w:color w:val="000000"/>
                <w:sz w:val="28"/>
              </w:rPr>
              <w:t>单位：万元</w:t>
            </w:r>
          </w:p>
        </w:tc>
      </w:tr>
      <w:tr>
        <w:tblPrEx>
          <w:tblCellMar>
            <w:top w:w="0" w:type="dxa"/>
            <w:left w:w="108" w:type="dxa"/>
            <w:bottom w:w="0" w:type="dxa"/>
            <w:right w:w="108" w:type="dxa"/>
          </w:tblCellMar>
        </w:tblPrEx>
        <w:trPr>
          <w:trHeight w:val="675" w:hRule="atLeast"/>
        </w:trPr>
        <w:tc>
          <w:tcPr>
            <w:tcW w:w="40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项目名称</w:t>
            </w:r>
          </w:p>
        </w:tc>
        <w:tc>
          <w:tcPr>
            <w:tcW w:w="2955" w:type="dxa"/>
            <w:tcBorders>
              <w:top w:val="single" w:color="auto" w:sz="4" w:space="0"/>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202</w:t>
            </w:r>
            <w:r>
              <w:rPr>
                <w:rFonts w:hint="eastAsia" w:eastAsia="方正仿宋_GBK"/>
                <w:color w:val="000000"/>
                <w:sz w:val="28"/>
                <w:lang w:eastAsia="zh-CN"/>
              </w:rPr>
              <w:t>5</w:t>
            </w:r>
            <w:r>
              <w:rPr>
                <w:rFonts w:hint="eastAsia" w:eastAsia="方正仿宋_GBK"/>
                <w:color w:val="000000"/>
                <w:sz w:val="28"/>
              </w:rPr>
              <w:t>年度预算</w:t>
            </w:r>
          </w:p>
        </w:tc>
        <w:tc>
          <w:tcPr>
            <w:tcW w:w="2925" w:type="dxa"/>
            <w:tcBorders>
              <w:top w:val="single" w:color="auto" w:sz="4" w:space="0"/>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202</w:t>
            </w:r>
            <w:r>
              <w:rPr>
                <w:rFonts w:hint="eastAsia" w:eastAsia="方正仿宋_GBK"/>
                <w:color w:val="000000"/>
                <w:sz w:val="28"/>
                <w:lang w:eastAsia="zh-CN"/>
              </w:rPr>
              <w:t>6</w:t>
            </w:r>
            <w:r>
              <w:rPr>
                <w:rFonts w:hint="eastAsia" w:eastAsia="方正仿宋_GBK"/>
                <w:color w:val="000000"/>
                <w:sz w:val="28"/>
              </w:rPr>
              <w:t>年度预算</w:t>
            </w:r>
          </w:p>
        </w:tc>
        <w:tc>
          <w:tcPr>
            <w:tcW w:w="2355" w:type="dxa"/>
            <w:tcBorders>
              <w:top w:val="single" w:color="auto" w:sz="4" w:space="0"/>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增减金额</w:t>
            </w:r>
          </w:p>
        </w:tc>
        <w:tc>
          <w:tcPr>
            <w:tcW w:w="2234" w:type="dxa"/>
            <w:tcBorders>
              <w:top w:val="single" w:color="auto" w:sz="4" w:space="0"/>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变化原因</w:t>
            </w:r>
          </w:p>
        </w:tc>
      </w:tr>
      <w:tr>
        <w:tblPrEx>
          <w:tblCellMar>
            <w:top w:w="0" w:type="dxa"/>
            <w:left w:w="108" w:type="dxa"/>
            <w:bottom w:w="0" w:type="dxa"/>
            <w:right w:w="108" w:type="dxa"/>
          </w:tblCellMar>
        </w:tblPrEx>
        <w:trPr>
          <w:trHeight w:val="687" w:hRule="atLeast"/>
        </w:trPr>
        <w:tc>
          <w:tcPr>
            <w:tcW w:w="4085" w:type="dxa"/>
            <w:tcBorders>
              <w:top w:val="nil"/>
              <w:left w:val="single" w:color="auto" w:sz="4" w:space="0"/>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因公出国经费</w:t>
            </w:r>
          </w:p>
        </w:tc>
        <w:tc>
          <w:tcPr>
            <w:tcW w:w="29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92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3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234" w:type="dxa"/>
            <w:tcBorders>
              <w:top w:val="nil"/>
              <w:left w:val="nil"/>
              <w:bottom w:val="single" w:color="auto" w:sz="4" w:space="0"/>
              <w:right w:val="single" w:color="auto" w:sz="4" w:space="0"/>
              <w:tl2br w:val="nil"/>
              <w:tr2bl w:val="nil"/>
            </w:tcBorders>
            <w:vAlign w:val="center"/>
          </w:tcPr>
          <w:p>
            <w:pPr>
              <w:spacing w:line="560" w:lineRule="exact"/>
              <w:jc w:val="center"/>
              <w:rPr>
                <w:rFonts w:eastAsia="方正仿宋_GBK"/>
                <w:color w:val="000000"/>
                <w:sz w:val="28"/>
              </w:rPr>
            </w:pPr>
            <w:r>
              <w:rPr>
                <w:rFonts w:hint="eastAsia" w:eastAsia="方正仿宋_GBK"/>
                <w:color w:val="000000"/>
                <w:sz w:val="28"/>
              </w:rPr>
              <w:t>无增减变化</w:t>
            </w:r>
          </w:p>
        </w:tc>
      </w:tr>
      <w:tr>
        <w:tblPrEx>
          <w:tblCellMar>
            <w:top w:w="0" w:type="dxa"/>
            <w:left w:w="108" w:type="dxa"/>
            <w:bottom w:w="0" w:type="dxa"/>
            <w:right w:w="108" w:type="dxa"/>
          </w:tblCellMar>
        </w:tblPrEx>
        <w:trPr>
          <w:trHeight w:val="711" w:hRule="atLeast"/>
        </w:trPr>
        <w:tc>
          <w:tcPr>
            <w:tcW w:w="4085" w:type="dxa"/>
            <w:tcBorders>
              <w:top w:val="nil"/>
              <w:left w:val="single" w:color="auto" w:sz="4" w:space="0"/>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公务用车购置经费</w:t>
            </w:r>
          </w:p>
        </w:tc>
        <w:tc>
          <w:tcPr>
            <w:tcW w:w="29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92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3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234" w:type="dxa"/>
            <w:tcBorders>
              <w:top w:val="nil"/>
              <w:left w:val="nil"/>
              <w:bottom w:val="single" w:color="auto" w:sz="4" w:space="0"/>
              <w:right w:val="single" w:color="auto" w:sz="4" w:space="0"/>
              <w:tl2br w:val="nil"/>
              <w:tr2bl w:val="nil"/>
            </w:tcBorders>
            <w:vAlign w:val="center"/>
          </w:tcPr>
          <w:p>
            <w:pPr>
              <w:spacing w:line="560" w:lineRule="exact"/>
              <w:jc w:val="center"/>
              <w:rPr>
                <w:rFonts w:eastAsia="方正仿宋_GBK"/>
                <w:color w:val="000000"/>
                <w:sz w:val="28"/>
              </w:rPr>
            </w:pPr>
            <w:r>
              <w:rPr>
                <w:rFonts w:hint="eastAsia" w:eastAsia="方正仿宋_GBK"/>
                <w:color w:val="000000"/>
                <w:sz w:val="28"/>
              </w:rPr>
              <w:t>无增减变化</w:t>
            </w:r>
          </w:p>
        </w:tc>
      </w:tr>
      <w:tr>
        <w:tblPrEx>
          <w:tblCellMar>
            <w:top w:w="0" w:type="dxa"/>
            <w:left w:w="108" w:type="dxa"/>
            <w:bottom w:w="0" w:type="dxa"/>
            <w:right w:w="108" w:type="dxa"/>
          </w:tblCellMar>
        </w:tblPrEx>
        <w:trPr>
          <w:trHeight w:val="705" w:hRule="atLeast"/>
        </w:trPr>
        <w:tc>
          <w:tcPr>
            <w:tcW w:w="4085" w:type="dxa"/>
            <w:tcBorders>
              <w:top w:val="nil"/>
              <w:left w:val="single" w:color="auto" w:sz="4" w:space="0"/>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公务用车运行经费</w:t>
            </w:r>
          </w:p>
        </w:tc>
        <w:tc>
          <w:tcPr>
            <w:tcW w:w="29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3.00</w:t>
            </w:r>
          </w:p>
        </w:tc>
        <w:tc>
          <w:tcPr>
            <w:tcW w:w="292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lang w:eastAsia="zh-CN"/>
              </w:rPr>
              <w:t>2.91</w:t>
            </w:r>
          </w:p>
        </w:tc>
        <w:tc>
          <w:tcPr>
            <w:tcW w:w="23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lang w:eastAsia="zh-CN"/>
              </w:rPr>
            </w:pPr>
            <w:r>
              <w:rPr>
                <w:rFonts w:hint="eastAsia" w:eastAsia="方正仿宋_GBK"/>
                <w:color w:val="000000"/>
                <w:sz w:val="28"/>
                <w:lang w:eastAsia="zh-CN"/>
              </w:rPr>
              <w:t>减少</w:t>
            </w:r>
            <w:r>
              <w:rPr>
                <w:rFonts w:hint="eastAsia" w:eastAsia="方正仿宋_GBK"/>
                <w:color w:val="000000"/>
                <w:sz w:val="28"/>
              </w:rPr>
              <w:t>0.0</w:t>
            </w:r>
            <w:r>
              <w:rPr>
                <w:rFonts w:hint="eastAsia" w:eastAsia="方正仿宋_GBK"/>
                <w:color w:val="000000"/>
                <w:sz w:val="28"/>
                <w:lang w:eastAsia="zh-CN"/>
              </w:rPr>
              <w:t>3</w:t>
            </w:r>
          </w:p>
        </w:tc>
        <w:tc>
          <w:tcPr>
            <w:tcW w:w="2234" w:type="dxa"/>
            <w:tcBorders>
              <w:top w:val="nil"/>
              <w:left w:val="nil"/>
              <w:bottom w:val="single" w:color="auto" w:sz="4" w:space="0"/>
              <w:right w:val="single" w:color="auto" w:sz="4" w:space="0"/>
              <w:tl2br w:val="nil"/>
              <w:tr2bl w:val="nil"/>
            </w:tcBorders>
            <w:vAlign w:val="center"/>
          </w:tcPr>
          <w:p>
            <w:pPr>
              <w:spacing w:line="560" w:lineRule="exact"/>
              <w:jc w:val="center"/>
              <w:rPr>
                <w:rFonts w:eastAsia="方正仿宋_GBK"/>
                <w:color w:val="000000"/>
                <w:sz w:val="28"/>
                <w:lang w:eastAsia="zh-CN"/>
              </w:rPr>
            </w:pPr>
            <w:r>
              <w:rPr>
                <w:rFonts w:hint="eastAsia" w:eastAsia="方正仿宋_GBK"/>
                <w:color w:val="000000"/>
                <w:sz w:val="28"/>
                <w:lang w:eastAsia="zh-CN"/>
              </w:rPr>
              <w:t>压减日常支出</w:t>
            </w:r>
          </w:p>
        </w:tc>
      </w:tr>
      <w:tr>
        <w:tblPrEx>
          <w:tblCellMar>
            <w:top w:w="0" w:type="dxa"/>
            <w:left w:w="108" w:type="dxa"/>
            <w:bottom w:w="0" w:type="dxa"/>
            <w:right w:w="108" w:type="dxa"/>
          </w:tblCellMar>
        </w:tblPrEx>
        <w:trPr>
          <w:trHeight w:val="587" w:hRule="atLeast"/>
        </w:trPr>
        <w:tc>
          <w:tcPr>
            <w:tcW w:w="4085" w:type="dxa"/>
            <w:tcBorders>
              <w:top w:val="nil"/>
              <w:left w:val="single" w:color="auto" w:sz="4" w:space="0"/>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公务接待费支出</w:t>
            </w:r>
          </w:p>
        </w:tc>
        <w:tc>
          <w:tcPr>
            <w:tcW w:w="29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92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3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234" w:type="dxa"/>
            <w:tcBorders>
              <w:top w:val="nil"/>
              <w:left w:val="nil"/>
              <w:bottom w:val="single" w:color="auto" w:sz="4" w:space="0"/>
              <w:right w:val="single" w:color="auto" w:sz="4" w:space="0"/>
              <w:tl2br w:val="nil"/>
              <w:tr2bl w:val="nil"/>
            </w:tcBorders>
            <w:vAlign w:val="center"/>
          </w:tcPr>
          <w:p>
            <w:pPr>
              <w:spacing w:line="560" w:lineRule="exact"/>
              <w:jc w:val="center"/>
              <w:rPr>
                <w:rFonts w:eastAsia="方正仿宋_GBK"/>
                <w:color w:val="000000"/>
                <w:sz w:val="28"/>
              </w:rPr>
            </w:pPr>
            <w:r>
              <w:rPr>
                <w:rFonts w:hint="eastAsia" w:eastAsia="方正仿宋_GBK"/>
                <w:color w:val="000000"/>
                <w:sz w:val="28"/>
              </w:rPr>
              <w:t>无增减变化</w:t>
            </w:r>
          </w:p>
        </w:tc>
      </w:tr>
      <w:tr>
        <w:tblPrEx>
          <w:tblCellMar>
            <w:top w:w="0" w:type="dxa"/>
            <w:left w:w="108" w:type="dxa"/>
            <w:bottom w:w="0" w:type="dxa"/>
            <w:right w:w="108" w:type="dxa"/>
          </w:tblCellMar>
        </w:tblPrEx>
        <w:trPr>
          <w:trHeight w:val="553" w:hRule="atLeast"/>
        </w:trPr>
        <w:tc>
          <w:tcPr>
            <w:tcW w:w="4085" w:type="dxa"/>
            <w:tcBorders>
              <w:top w:val="nil"/>
              <w:left w:val="single" w:color="auto" w:sz="4" w:space="0"/>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合计</w:t>
            </w:r>
          </w:p>
        </w:tc>
        <w:tc>
          <w:tcPr>
            <w:tcW w:w="29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3.00</w:t>
            </w:r>
          </w:p>
        </w:tc>
        <w:tc>
          <w:tcPr>
            <w:tcW w:w="292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lang w:eastAsia="zh-CN"/>
              </w:rPr>
              <w:t>2.91</w:t>
            </w:r>
          </w:p>
        </w:tc>
        <w:tc>
          <w:tcPr>
            <w:tcW w:w="23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lang w:eastAsia="zh-CN"/>
              </w:rPr>
              <w:t>减少</w:t>
            </w:r>
            <w:r>
              <w:rPr>
                <w:rFonts w:hint="eastAsia" w:eastAsia="方正仿宋_GBK"/>
                <w:color w:val="000000"/>
                <w:sz w:val="28"/>
              </w:rPr>
              <w:t>0.0</w:t>
            </w:r>
            <w:r>
              <w:rPr>
                <w:rFonts w:hint="eastAsia" w:eastAsia="方正仿宋_GBK"/>
                <w:color w:val="000000"/>
                <w:sz w:val="28"/>
                <w:lang w:eastAsia="zh-CN"/>
              </w:rPr>
              <w:t>3</w:t>
            </w:r>
          </w:p>
        </w:tc>
        <w:tc>
          <w:tcPr>
            <w:tcW w:w="2234" w:type="dxa"/>
            <w:tcBorders>
              <w:top w:val="nil"/>
              <w:left w:val="nil"/>
              <w:bottom w:val="single" w:color="auto" w:sz="4" w:space="0"/>
              <w:right w:val="single" w:color="auto" w:sz="4" w:space="0"/>
              <w:tl2br w:val="nil"/>
              <w:tr2bl w:val="nil"/>
            </w:tcBorders>
            <w:vAlign w:val="center"/>
          </w:tcPr>
          <w:p>
            <w:pPr>
              <w:spacing w:line="560" w:lineRule="exact"/>
              <w:jc w:val="center"/>
              <w:rPr>
                <w:rFonts w:eastAsia="方正仿宋_GBK"/>
                <w:color w:val="000000"/>
                <w:sz w:val="28"/>
              </w:rPr>
            </w:pPr>
            <w:r>
              <w:rPr>
                <w:rFonts w:hint="eastAsia" w:eastAsia="方正仿宋_GBK"/>
                <w:color w:val="000000"/>
                <w:sz w:val="28"/>
                <w:lang w:eastAsia="zh-CN"/>
              </w:rPr>
              <w:t>压减日常支出</w:t>
            </w:r>
          </w:p>
        </w:tc>
      </w:tr>
    </w:tbl>
    <w:p>
      <w:pPr>
        <w:pStyle w:val="22"/>
      </w:pP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s="Times New Roman"/>
          <w:color w:val="000000"/>
          <w:sz w:val="28"/>
        </w:rPr>
        <w:t>（一）总体绩效目标</w:t>
      </w:r>
    </w:p>
    <w:p>
      <w:pPr>
        <w:pStyle w:val="23"/>
      </w:pPr>
      <w:r>
        <w:t>坚持以习近平新时代中国特色社会主义思想为指导，认真贯彻落实习近平文化思想和习近平总书记对宣传思想文化工作作出的重要指示精神，高举旗帜、围绕中心、服务大局，聚焦中央、省、市、区工作重点，精心做好宣传思想文化各项工作，为全力打造京雄保一体化创新发展先行区，加快建设新颜值、高品质、有韧性的幸福宜居示范区提供有力思想保证、舆论支撑和精神动力。</w:t>
      </w:r>
    </w:p>
    <w:p>
      <w:pPr>
        <w:spacing w:line="500" w:lineRule="exact"/>
        <w:ind w:firstLine="560"/>
      </w:pPr>
      <w:r>
        <w:rPr>
          <w:rFonts w:eastAsia="方正仿宋_GBK" w:cs="Times New Roman"/>
          <w:color w:val="000000"/>
          <w:sz w:val="28"/>
        </w:rPr>
        <w:t>（二）分项绩效目标</w:t>
      </w:r>
    </w:p>
    <w:p>
      <w:pPr>
        <w:pStyle w:val="24"/>
      </w:pPr>
      <w:r>
        <w:rPr>
          <w:rFonts w:hint="eastAsia"/>
          <w:lang w:eastAsia="zh-CN"/>
        </w:rPr>
        <w:t>1.</w:t>
      </w:r>
      <w:r>
        <w:t>夯实意识形态工作责任制</w:t>
      </w:r>
    </w:p>
    <w:p>
      <w:pPr>
        <w:pStyle w:val="24"/>
      </w:pPr>
      <w:r>
        <w:t>绩效目标：一是牢牢把握深入学习贯彻习近平新时代中国特色社会主义思想这一主题主线和根本任务，持续深化区委理论学习中心组服务，加强对各级党委（党组）理论学习中心组督促指导。二是丰富基层宣讲形式，强化宣讲队伍建设，广泛开展群众宣讲活动，开展靶向式宣讲，切实提高宣讲实效性。三是组织开展好“扫黄打非”工作。推进“护苗”专项行动，为学生健康成长护航。加强跨部门执法合作，开展好电商平台销售非法出版物、网上制售涉政有害电子出版物和社交平台传播淫秽色情信息三个专项整治工作。加大对电影院、书店和印刷企业的安全生产检查，强化监督管理，净化文化环境。</w:t>
      </w:r>
    </w:p>
    <w:p>
      <w:pPr>
        <w:pStyle w:val="24"/>
      </w:pPr>
      <w:r>
        <w:t>绩效指标：组织区委理论学习中心组集中学习每月不少于1次，全年开展</w:t>
      </w:r>
      <w:r>
        <w:rPr>
          <w:rFonts w:hint="eastAsia"/>
          <w:lang w:eastAsia="zh-CN"/>
        </w:rPr>
        <w:t>“扫黄打非”</w:t>
      </w:r>
      <w:r>
        <w:t>联合执法行动不少于4次。</w:t>
      </w:r>
    </w:p>
    <w:p>
      <w:pPr>
        <w:pStyle w:val="24"/>
      </w:pPr>
      <w:r>
        <w:rPr>
          <w:rFonts w:hint="eastAsia"/>
          <w:lang w:eastAsia="zh-CN"/>
        </w:rPr>
        <w:t>2.</w:t>
      </w:r>
      <w:r>
        <w:t>开创宣传工作新局面</w:t>
      </w:r>
    </w:p>
    <w:p>
      <w:pPr>
        <w:pStyle w:val="24"/>
      </w:pPr>
      <w:r>
        <w:t>绩效目标：一是坚持围绕突出主题宣传。持续</w:t>
      </w:r>
      <w:r>
        <w:rPr>
          <w:rFonts w:hint="eastAsia"/>
          <w:lang w:eastAsia="zh-CN"/>
        </w:rPr>
        <w:t>深入学习贯彻党的二十大精神</w:t>
      </w:r>
      <w:r>
        <w:t>和习近平总书记考察河北重要讲话精神，切实以群众喜闻乐见的形式向群众传达好政策、传播好声音。围绕区委、区政府决策部署统筹开展各类主题宣传，营造贯彻落实区委、区政府各项决策部署的浓厚社会氛围，持续弘扬和践行新时代莲池精神。二是积极推进区融媒体中心改革。从支撑保障、宣传力量、体制机制、传播力度等方面深化改革。加强业务培训和能力提高，深化“四力”教育，在坚持正确导向、握准宣传节奏、营造浓厚氛围上发力使劲，推动全区宣传思想工作再上新台阶。</w:t>
      </w:r>
    </w:p>
    <w:p>
      <w:pPr>
        <w:pStyle w:val="24"/>
      </w:pPr>
      <w:r>
        <w:t>绩效指标：全年市级以上媒体刊稿100篇以上，组织业务培训不少于3场，扎实推进区融媒体中心改革工作。</w:t>
      </w:r>
    </w:p>
    <w:p>
      <w:pPr>
        <w:pStyle w:val="24"/>
      </w:pPr>
      <w:r>
        <w:rPr>
          <w:rFonts w:hint="eastAsia"/>
          <w:lang w:eastAsia="zh-CN"/>
        </w:rPr>
        <w:t>3.</w:t>
      </w:r>
      <w:r>
        <w:t>繁荣文化事业和文化产业</w:t>
      </w:r>
    </w:p>
    <w:p>
      <w:pPr>
        <w:pStyle w:val="24"/>
      </w:pPr>
      <w:r>
        <w:t>绩效目标：一是持续打造文化惠民品牌。全力打造“乐享品质莲池 领航文化生活”莲池区主题文化惠民品牌，依托莲池文化惠民品牌和非遗项目，组织好重大节庆期间的文艺展演，推出一批本土特色文化活动。二是培育新型文化产业业态。推进文创产品开发和数字化形式转化，加快发展数字创意、数字娱乐、网络视听、线上演播、数字艺术展示、沉浸式体验等新业态,大力支持虚拟现实、交互娱乐、智慧旅游、文化新媒体推广等文化企业发展。三是加大文艺精品创作力度。着力打造高水平公共文化空间。推出更多文艺精品和原创文学作品，提升莲池区文化美誉度。</w:t>
      </w:r>
    </w:p>
    <w:p>
      <w:pPr>
        <w:pStyle w:val="24"/>
      </w:pPr>
      <w:r>
        <w:t>绩效指标：全年组织文艺展演10场以上，组织文艺家协会创作文艺作品5件以上。</w:t>
      </w:r>
    </w:p>
    <w:p>
      <w:pPr>
        <w:pStyle w:val="24"/>
      </w:pPr>
      <w:r>
        <w:rPr>
          <w:rFonts w:hint="eastAsia"/>
          <w:lang w:eastAsia="zh-CN"/>
        </w:rPr>
        <w:t>4.</w:t>
      </w:r>
      <w:r>
        <w:t>着力加强精神文明建设</w:t>
      </w:r>
    </w:p>
    <w:p>
      <w:pPr>
        <w:pStyle w:val="24"/>
      </w:pPr>
      <w:r>
        <w:t>绩效目标：一是统筹推进“双争”活动深入开展。持续推动各类志愿服务活动常态化长效化。加强</w:t>
      </w:r>
      <w:r>
        <w:rPr>
          <w:rFonts w:hint="eastAsia"/>
          <w:lang w:eastAsia="zh-CN"/>
        </w:rPr>
        <w:t>中央、省级</w:t>
      </w:r>
      <w:r>
        <w:t>文明单位、文明校园、文明村镇、文明家庭的</w:t>
      </w:r>
      <w:r>
        <w:rPr>
          <w:rFonts w:hint="eastAsia"/>
          <w:lang w:eastAsia="zh-CN"/>
        </w:rPr>
        <w:t>申报工作</w:t>
      </w:r>
      <w:r>
        <w:t>，深化“道德模范”“身边好人”“新时代好少年”的学习宣传活动。二是</w:t>
      </w:r>
      <w:r>
        <w:rPr>
          <w:rFonts w:hint="eastAsia"/>
          <w:lang w:eastAsia="zh-CN"/>
        </w:rPr>
        <w:t>配合</w:t>
      </w:r>
      <w:r>
        <w:t>做好创建</w:t>
      </w:r>
      <w:r>
        <w:rPr>
          <w:rFonts w:hint="eastAsia"/>
          <w:lang w:eastAsia="zh-CN"/>
        </w:rPr>
        <w:t>全国</w:t>
      </w:r>
      <w:r>
        <w:t>文明</w:t>
      </w:r>
      <w:r>
        <w:rPr>
          <w:rFonts w:hint="eastAsia"/>
          <w:lang w:eastAsia="zh-CN"/>
        </w:rPr>
        <w:t>城市</w:t>
      </w:r>
      <w:r>
        <w:t>工作。</w:t>
      </w:r>
    </w:p>
    <w:p>
      <w:pPr>
        <w:pStyle w:val="24"/>
      </w:pPr>
      <w:r>
        <w:t>绩效指标：全年开展志愿服务活动10场以上。</w:t>
      </w:r>
    </w:p>
    <w:p>
      <w:pPr>
        <w:spacing w:line="500" w:lineRule="exact"/>
        <w:ind w:firstLine="560"/>
      </w:pPr>
      <w:r>
        <w:rPr>
          <w:rFonts w:eastAsia="方正仿宋_GBK" w:cs="Times New Roman"/>
          <w:color w:val="000000"/>
          <w:sz w:val="28"/>
        </w:rPr>
        <w:t>（三）工作保障措施</w:t>
      </w:r>
    </w:p>
    <w:p>
      <w:pPr>
        <w:pStyle w:val="25"/>
      </w:pPr>
      <w:bookmarkStart w:id="14" w:name="_Toc_3_3_0000000015"/>
      <w:r>
        <w:t>202</w:t>
      </w:r>
      <w:r>
        <w:rPr>
          <w:rFonts w:hint="eastAsia"/>
          <w:lang w:eastAsia="zh-CN"/>
        </w:rPr>
        <w:t>6</w:t>
      </w:r>
      <w:r>
        <w:t>年，区委宣传部将坚持以深入开展学习贯彻习近平新时代中国特色社会主义思想主题教育为契机，落实好习近平总书记对宣传思想文化工作的重要指示精神和习近平文化思想，统筹推进各项工作开花结果、落细落实。</w:t>
      </w:r>
    </w:p>
    <w:p>
      <w:pPr>
        <w:pStyle w:val="25"/>
        <w:rPr>
          <w:lang w:eastAsia="zh-CN"/>
        </w:rPr>
      </w:pPr>
      <w:r>
        <w:rPr>
          <w:rFonts w:hint="eastAsia"/>
          <w:lang w:eastAsia="zh-CN"/>
        </w:rPr>
        <w:t>一是抓好中心任务，深入学习贯彻党的二十届四中全会精神。</w:t>
      </w:r>
    </w:p>
    <w:p>
      <w:pPr>
        <w:pStyle w:val="25"/>
        <w:rPr>
          <w:lang w:eastAsia="zh-CN"/>
        </w:rPr>
      </w:pPr>
      <w:r>
        <w:rPr>
          <w:rFonts w:hint="eastAsia"/>
          <w:lang w:eastAsia="zh-CN"/>
        </w:rPr>
        <w:t>严格按照学习贯彻党的二十届四中全会精神安排部署，进一步加强思想政治引领，把学好用好习近平新时代中国特色社会主义思想作为必修课，持续落实好习近平总书记对宣传思想文化工作的重要指示精神，统筹推进理论武装、内宣外宣、文艺文化、精神文明建设等各项工作，全面奏响宣传最强音。</w:t>
      </w:r>
    </w:p>
    <w:p>
      <w:pPr>
        <w:pStyle w:val="25"/>
        <w:rPr>
          <w:lang w:eastAsia="zh-CN"/>
        </w:rPr>
      </w:pPr>
      <w:r>
        <w:rPr>
          <w:rFonts w:hint="eastAsia"/>
          <w:lang w:eastAsia="zh-CN"/>
        </w:rPr>
        <w:t>二是抓好意识形态，不断增强党的领导力。严格落实《河北省党委（党组）意识形态工作责任制实施细则》《意识形态工作联席</w:t>
      </w:r>
      <w:bookmarkStart w:id="21" w:name="_GoBack"/>
      <w:bookmarkEnd w:id="21"/>
      <w:r>
        <w:rPr>
          <w:rFonts w:hint="eastAsia"/>
          <w:lang w:eastAsia="zh-CN"/>
        </w:rPr>
        <w:t>会议机制（试行）》要求，深化对农村、社区、企业、学校的常态化督促和指导，按照主管主办和属地管理原则，</w:t>
      </w:r>
      <w:r>
        <w:rPr>
          <w:rFonts w:hint="eastAsia"/>
        </w:rPr>
        <w:t>确保理论武装走深走实、各类阵地可管可控、各级责任</w:t>
      </w:r>
      <w:r>
        <w:rPr>
          <w:rFonts w:hint="eastAsia"/>
          <w:lang w:eastAsia="zh-CN"/>
        </w:rPr>
        <w:t>压紧压实。进一步加强与区直部门沟通协调，年初印发工作提示，就意识形态工作责任制职责清单进行分解，确保各项任务落实到位。</w:t>
      </w:r>
    </w:p>
    <w:p>
      <w:pPr>
        <w:pStyle w:val="25"/>
        <w:rPr>
          <w:lang w:eastAsia="zh-CN"/>
        </w:rPr>
      </w:pPr>
      <w:r>
        <w:rPr>
          <w:rFonts w:hint="eastAsia"/>
          <w:lang w:eastAsia="zh-CN"/>
        </w:rPr>
        <w:t>三是抓好理论武装，让学习氛围更加浓厚。深入开展理论学习，推动区委理论学习中心组规范化，提升</w:t>
      </w:r>
      <w:r>
        <w:rPr>
          <w:rFonts w:hint="eastAsia"/>
          <w:lang w:val="zh-TW" w:eastAsia="zh-CN"/>
        </w:rPr>
        <w:t>理论学习安排前瞻性计划性，</w:t>
      </w:r>
      <w:r>
        <w:rPr>
          <w:rFonts w:hint="eastAsia"/>
          <w:lang w:eastAsia="zh-CN"/>
        </w:rPr>
        <w:t>进一步完善党委（党组）理论学习中心组列席旁听制度；强化与驻区高校沟通联系，共同推出专业性强、实用性强的理论精品文章。</w:t>
      </w:r>
    </w:p>
    <w:p>
      <w:pPr>
        <w:pStyle w:val="25"/>
        <w:rPr>
          <w:lang w:eastAsia="zh-CN"/>
        </w:rPr>
      </w:pPr>
      <w:r>
        <w:rPr>
          <w:rFonts w:hint="eastAsia"/>
          <w:lang w:eastAsia="zh-CN"/>
        </w:rPr>
        <w:t>四是抓好舆论引导，让莲池形象更靓丽。不断深化内容创新，提高宣传质量，围绕</w:t>
      </w:r>
      <w:r>
        <w:rPr>
          <w:rFonts w:hint="eastAsia"/>
        </w:rPr>
        <w:t>党的二十届</w:t>
      </w:r>
      <w:r>
        <w:rPr>
          <w:rFonts w:hint="eastAsia"/>
          <w:lang w:eastAsia="zh-CN"/>
        </w:rPr>
        <w:t>四</w:t>
      </w:r>
      <w:r>
        <w:rPr>
          <w:rFonts w:hint="eastAsia"/>
        </w:rPr>
        <w:t>中全会精神，深入开展京津冀协同发展、现代化品质生活之城建设、数字莲池建设、和美乡村、“旅游+”等系列宣传报道，重点宣传新时代莲池经济社会发展的生动实践和崭新气象。</w:t>
      </w:r>
      <w:r>
        <w:rPr>
          <w:rFonts w:hint="eastAsia"/>
          <w:lang w:eastAsia="zh-CN"/>
        </w:rPr>
        <w:t>不断拓展宣传渠道，扩大影响力，</w:t>
      </w:r>
      <w:r>
        <w:rPr>
          <w:rFonts w:hint="eastAsia"/>
        </w:rPr>
        <w:t>加强与主流媒体的合作，积极投稿、交流经验。探索新的宣传方式和手段，如短</w:t>
      </w:r>
      <w:r>
        <w:rPr>
          <w:rFonts w:hint="eastAsia"/>
          <w:lang w:eastAsia="zh-CN"/>
        </w:rPr>
        <w:t>剧</w:t>
      </w:r>
      <w:r>
        <w:rPr>
          <w:rFonts w:hint="eastAsia"/>
        </w:rPr>
        <w:t>、直播等，吸引更多年轻受众。</w:t>
      </w:r>
      <w:r>
        <w:rPr>
          <w:rFonts w:hint="eastAsia"/>
          <w:lang w:eastAsia="zh-CN"/>
        </w:rPr>
        <w:t>不断加强团队建设，提升硬实力，</w:t>
      </w:r>
      <w:r>
        <w:rPr>
          <w:rFonts w:hint="eastAsia"/>
        </w:rPr>
        <w:t>建立更加科学合理的激励机制和考核机制，激发</w:t>
      </w:r>
      <w:r>
        <w:rPr>
          <w:rFonts w:hint="eastAsia"/>
          <w:lang w:eastAsia="zh-CN"/>
        </w:rPr>
        <w:t>人员</w:t>
      </w:r>
      <w:r>
        <w:rPr>
          <w:rFonts w:hint="eastAsia"/>
        </w:rPr>
        <w:t>积极性和创造力</w:t>
      </w:r>
      <w:r>
        <w:rPr>
          <w:rFonts w:hint="eastAsia"/>
          <w:lang w:eastAsia="zh-CN"/>
        </w:rPr>
        <w:t>，</w:t>
      </w:r>
      <w:r>
        <w:rPr>
          <w:rFonts w:hint="eastAsia"/>
        </w:rPr>
        <w:t>加强内部培训和学习交流活动，提高采编人员业务素质和综合能力。</w:t>
      </w:r>
      <w:r>
        <w:rPr>
          <w:rFonts w:hint="eastAsia"/>
          <w:lang w:eastAsia="zh-CN"/>
        </w:rPr>
        <w:t>严格落实突发事件舆情应对处置协调联动机制和重大舆情集中会商机制，通过密切部门协调联动、加强媒体服务保障、跟踪预设发声口径、争取上级指导支持等举措规范舆情应对处置流程。</w:t>
      </w:r>
    </w:p>
    <w:p>
      <w:pPr>
        <w:spacing w:line="520" w:lineRule="exact"/>
        <w:ind w:firstLine="560" w:firstLineChars="200"/>
        <w:jc w:val="both"/>
        <w:rPr>
          <w:rFonts w:eastAsia="方正仿宋_GBK" w:cs="Times New Roman"/>
          <w:sz w:val="28"/>
          <w:lang w:eastAsia="zh-CN"/>
        </w:rPr>
      </w:pPr>
      <w:r>
        <w:rPr>
          <w:rFonts w:hint="eastAsia" w:eastAsia="方正仿宋_GBK" w:cs="Times New Roman"/>
          <w:sz w:val="28"/>
          <w:lang w:eastAsia="zh-CN"/>
        </w:rPr>
        <w:t>五是繁荣文艺文化，厚植底蕴丰富精神。充分调动全区文艺文化阵地资源，</w:t>
      </w:r>
      <w:r>
        <w:rPr>
          <w:rFonts w:hint="eastAsia" w:eastAsia="方正仿宋_GBK" w:cs="Times New Roman"/>
          <w:sz w:val="28"/>
        </w:rPr>
        <w:t>组织开展双争系列文化惠民活动、“我们的中国梦·文化进万家”等系列主题文艺文化活动</w:t>
      </w:r>
      <w:r>
        <w:rPr>
          <w:rFonts w:hint="eastAsia" w:eastAsia="方正仿宋_GBK" w:cs="Times New Roman"/>
          <w:sz w:val="28"/>
          <w:lang w:eastAsia="zh-CN"/>
        </w:rPr>
        <w:t>，营造了</w:t>
      </w:r>
      <w:r>
        <w:rPr>
          <w:rFonts w:hint="eastAsia" w:eastAsia="方正仿宋_GBK" w:cs="Times New Roman"/>
          <w:sz w:val="28"/>
        </w:rPr>
        <w:t>全区</w:t>
      </w:r>
      <w:r>
        <w:rPr>
          <w:rFonts w:hint="eastAsia" w:eastAsia="方正仿宋_GBK" w:cs="Times New Roman"/>
          <w:sz w:val="28"/>
          <w:lang w:eastAsia="zh-CN"/>
        </w:rPr>
        <w:t>浓厚</w:t>
      </w:r>
      <w:r>
        <w:rPr>
          <w:rFonts w:hint="eastAsia" w:eastAsia="方正仿宋_GBK" w:cs="Times New Roman"/>
          <w:sz w:val="28"/>
        </w:rPr>
        <w:t>的文化艺术氛围。</w:t>
      </w:r>
      <w:r>
        <w:rPr>
          <w:rFonts w:hint="eastAsia" w:eastAsia="方正仿宋_GBK" w:cs="Times New Roman"/>
          <w:sz w:val="28"/>
          <w:lang w:eastAsia="zh-CN"/>
        </w:rPr>
        <w:t>重点瞄准微短剧领域精准发力，落实《保定市支持网络微短剧高质量发展的二十条措施》，成立区影视家协会，为我区微短剧发展注入核心动力，协调调度区文旅局、区文联等单位加强创作，摸底可拍题材和特色拍摄场景，鼓励各单位各部门结合自身工作职能拍摄微短剧。</w:t>
      </w:r>
    </w:p>
    <w:p>
      <w:pPr>
        <w:spacing w:line="520" w:lineRule="exact"/>
        <w:ind w:firstLine="560" w:firstLineChars="200"/>
        <w:jc w:val="both"/>
        <w:rPr>
          <w:rFonts w:eastAsia="方正仿宋_GBK" w:cs="Times New Roman"/>
          <w:sz w:val="28"/>
          <w:lang w:eastAsia="zh-CN"/>
        </w:rPr>
      </w:pPr>
      <w:r>
        <w:rPr>
          <w:rFonts w:hint="eastAsia" w:eastAsia="方正仿宋_GBK" w:cs="Times New Roman"/>
          <w:sz w:val="28"/>
          <w:lang w:eastAsia="zh-CN"/>
        </w:rPr>
        <w:t>六是深耕精神文明建设，积极培育新风正气。以提升城市文明程度、改善市民生活质量、增强城市综合竞争力为抓手，系统研究第八轮全国文明城市创建要求和测评体系，充分发挥保定市核心主城区优势，推动文明创建工作更加扎实有力。聚焦群众需求，让文明实践活动融入百姓日常生活，点亮群众文明生活底色。以为宣传为抓手，全方位推进移风易俗工作。</w:t>
      </w:r>
    </w:p>
    <w:p>
      <w:pPr>
        <w:numPr>
          <w:ilvl w:val="0"/>
          <w:numId w:val="2"/>
        </w:numPr>
        <w:spacing w:before="10" w:after="10" w:line="360" w:lineRule="auto"/>
        <w:ind w:firstLine="640"/>
        <w:outlineLvl w:val="2"/>
        <w:rPr>
          <w:rFonts w:ascii="黑体" w:hAnsi="黑体" w:eastAsia="黑体" w:cs="黑体"/>
          <w:color w:val="000000"/>
          <w:sz w:val="32"/>
        </w:rPr>
      </w:pPr>
      <w:r>
        <w:rPr>
          <w:rFonts w:ascii="黑体" w:hAnsi="黑体" w:eastAsia="黑体" w:cs="黑体"/>
          <w:color w:val="000000"/>
          <w:sz w:val="32"/>
        </w:rPr>
        <w:t>部门主管专项资金预算安排情况及绩效目标</w:t>
      </w:r>
      <w:bookmarkEnd w:id="14"/>
    </w:p>
    <w:p>
      <w:pPr>
        <w:spacing w:before="10" w:after="10" w:line="360" w:lineRule="auto"/>
        <w:ind w:firstLine="640" w:firstLineChars="200"/>
        <w:outlineLvl w:val="2"/>
        <w:rPr>
          <w:rFonts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1、(保财教【2024】55号）提前下达2025年中央补助地方国家电影事业发展专项资金绩效目标表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13060625P005044100060</w:t>
            </w:r>
          </w:p>
        </w:tc>
        <w:tc>
          <w:tcPr>
            <w:tcW w:w="2835" w:type="dxa"/>
            <w:vAlign w:val="center"/>
          </w:tcPr>
          <w:p>
            <w:pPr>
              <w:pStyle w:val="12"/>
            </w:pPr>
            <w:r>
              <w:t>项目名称</w:t>
            </w:r>
          </w:p>
        </w:tc>
        <w:tc>
          <w:tcPr>
            <w:tcW w:w="6095" w:type="dxa"/>
            <w:gridSpan w:val="3"/>
            <w:vAlign w:val="center"/>
          </w:tcPr>
          <w:p>
            <w:pPr>
              <w:pStyle w:val="14"/>
            </w:pPr>
            <w:r>
              <w:t>(保财教【2024】55号）提前下达2025年中央补助地方国家电影事业发展专项资金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w:t>
            </w:r>
          </w:p>
        </w:tc>
        <w:tc>
          <w:tcPr>
            <w:tcW w:w="2835" w:type="dxa"/>
            <w:vAlign w:val="center"/>
          </w:tcPr>
          <w:p>
            <w:pPr>
              <w:pStyle w:val="12"/>
            </w:pPr>
            <w:r>
              <w:t>其中：财政    资金</w:t>
            </w:r>
          </w:p>
        </w:tc>
        <w:tc>
          <w:tcPr>
            <w:tcW w:w="2551" w:type="dxa"/>
            <w:vAlign w:val="center"/>
          </w:tcPr>
          <w:p>
            <w:pPr>
              <w:pStyle w:val="14"/>
            </w:pPr>
            <w:r>
              <w:t>12.00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用于支持辖区影院国产影片放映工作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1.给莲池区电影院发放国产影片放映奖励资金，促进中国电影持续发展。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鼓励国产影片放映</w:t>
            </w:r>
          </w:p>
        </w:tc>
        <w:tc>
          <w:tcPr>
            <w:tcW w:w="5386" w:type="dxa"/>
            <w:vAlign w:val="center"/>
          </w:tcPr>
          <w:p>
            <w:pPr>
              <w:pStyle w:val="14"/>
            </w:pPr>
            <w:r>
              <w:t>鼓励国产影片放映</w:t>
            </w:r>
          </w:p>
        </w:tc>
        <w:tc>
          <w:tcPr>
            <w:tcW w:w="2268" w:type="dxa"/>
            <w:vAlign w:val="center"/>
          </w:tcPr>
          <w:p>
            <w:pPr>
              <w:pStyle w:val="14"/>
            </w:pPr>
            <w:r>
              <w:t>2家</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影院覆盖率</w:t>
            </w:r>
          </w:p>
        </w:tc>
        <w:tc>
          <w:tcPr>
            <w:tcW w:w="5386" w:type="dxa"/>
            <w:vAlign w:val="center"/>
          </w:tcPr>
          <w:p>
            <w:pPr>
              <w:pStyle w:val="14"/>
            </w:pPr>
            <w:r>
              <w:t>受资助的影院在莲池区的覆盖率≧95%</w:t>
            </w:r>
          </w:p>
        </w:tc>
        <w:tc>
          <w:tcPr>
            <w:tcW w:w="2268" w:type="dxa"/>
            <w:vAlign w:val="center"/>
          </w:tcPr>
          <w:p>
            <w:pPr>
              <w:pStyle w:val="14"/>
            </w:pPr>
            <w:r>
              <w:t>≥95百分比</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补助及时率</w:t>
            </w:r>
          </w:p>
        </w:tc>
        <w:tc>
          <w:tcPr>
            <w:tcW w:w="5386" w:type="dxa"/>
            <w:vAlign w:val="center"/>
          </w:tcPr>
          <w:p>
            <w:pPr>
              <w:pStyle w:val="14"/>
            </w:pPr>
            <w:r>
              <w:t>在规定时间内为受补助的影院发放补助</w:t>
            </w:r>
          </w:p>
        </w:tc>
        <w:tc>
          <w:tcPr>
            <w:tcW w:w="2268" w:type="dxa"/>
            <w:vAlign w:val="center"/>
          </w:tcPr>
          <w:p>
            <w:pPr>
              <w:pStyle w:val="14"/>
            </w:pPr>
            <w:r>
              <w:t>≥100百分比</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≤12万元</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促进电影放映质量提升</w:t>
            </w:r>
          </w:p>
        </w:tc>
        <w:tc>
          <w:tcPr>
            <w:tcW w:w="5386" w:type="dxa"/>
            <w:vAlign w:val="center"/>
          </w:tcPr>
          <w:p>
            <w:pPr>
              <w:pStyle w:val="14"/>
            </w:pPr>
            <w:r>
              <w:t>促进电影放映质量提升</w:t>
            </w:r>
          </w:p>
        </w:tc>
        <w:tc>
          <w:tcPr>
            <w:tcW w:w="2268" w:type="dxa"/>
            <w:vAlign w:val="center"/>
          </w:tcPr>
          <w:p>
            <w:pPr>
              <w:pStyle w:val="14"/>
            </w:pPr>
            <w:r>
              <w:t>≥90百分比</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提升影片放映质量</w:t>
            </w:r>
          </w:p>
        </w:tc>
        <w:tc>
          <w:tcPr>
            <w:tcW w:w="5386" w:type="dxa"/>
            <w:vAlign w:val="center"/>
          </w:tcPr>
          <w:p>
            <w:pPr>
              <w:pStyle w:val="14"/>
            </w:pPr>
            <w:r>
              <w:t>提升影片放映质量</w:t>
            </w:r>
          </w:p>
        </w:tc>
        <w:tc>
          <w:tcPr>
            <w:tcW w:w="2268" w:type="dxa"/>
            <w:vAlign w:val="center"/>
          </w:tcPr>
          <w:p>
            <w:pPr>
              <w:pStyle w:val="14"/>
            </w:pPr>
            <w:r>
              <w:t>≥90百分比</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营造良好观影风气</w:t>
            </w:r>
          </w:p>
        </w:tc>
        <w:tc>
          <w:tcPr>
            <w:tcW w:w="5386" w:type="dxa"/>
            <w:vAlign w:val="center"/>
          </w:tcPr>
          <w:p>
            <w:pPr>
              <w:pStyle w:val="14"/>
            </w:pPr>
            <w:r>
              <w:t>营造良好观影风气</w:t>
            </w:r>
          </w:p>
        </w:tc>
        <w:tc>
          <w:tcPr>
            <w:tcW w:w="2268" w:type="dxa"/>
            <w:vAlign w:val="center"/>
          </w:tcPr>
          <w:p>
            <w:pPr>
              <w:pStyle w:val="14"/>
            </w:pPr>
            <w:r>
              <w:t>≥90百分比</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观众满意度</w:t>
            </w:r>
          </w:p>
        </w:tc>
        <w:tc>
          <w:tcPr>
            <w:tcW w:w="5386" w:type="dxa"/>
            <w:vAlign w:val="center"/>
          </w:tcPr>
          <w:p>
            <w:pPr>
              <w:pStyle w:val="14"/>
            </w:pPr>
            <w:r>
              <w:t>观众对放映影片</w:t>
            </w:r>
            <w:r>
              <w:rPr>
                <w:rFonts w:hint="eastAsia"/>
                <w:lang w:eastAsia="zh-CN"/>
              </w:rPr>
              <w:t>的</w:t>
            </w:r>
            <w:r>
              <w:t>满意度</w:t>
            </w:r>
          </w:p>
        </w:tc>
        <w:tc>
          <w:tcPr>
            <w:tcW w:w="2268" w:type="dxa"/>
            <w:vAlign w:val="center"/>
          </w:tcPr>
          <w:p>
            <w:pPr>
              <w:pStyle w:val="14"/>
            </w:pPr>
            <w:r>
              <w:t>≥90百分比</w:t>
            </w:r>
          </w:p>
        </w:tc>
        <w:tc>
          <w:tcPr>
            <w:tcW w:w="1276" w:type="dxa"/>
            <w:vAlign w:val="center"/>
          </w:tcPr>
          <w:p>
            <w:pPr>
              <w:pStyle w:val="14"/>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2、(保财教【2024】65号）提前下达2025年中央支持地方公共文化服务体系建设补助资金绩效目标表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13060625P00504310397L</w:t>
            </w:r>
          </w:p>
        </w:tc>
        <w:tc>
          <w:tcPr>
            <w:tcW w:w="2835" w:type="dxa"/>
            <w:vAlign w:val="center"/>
          </w:tcPr>
          <w:p>
            <w:pPr>
              <w:pStyle w:val="12"/>
            </w:pPr>
            <w:r>
              <w:t>项目名称</w:t>
            </w:r>
          </w:p>
        </w:tc>
        <w:tc>
          <w:tcPr>
            <w:tcW w:w="6095" w:type="dxa"/>
            <w:gridSpan w:val="3"/>
            <w:vAlign w:val="center"/>
          </w:tcPr>
          <w:p>
            <w:pPr>
              <w:pStyle w:val="14"/>
            </w:pPr>
            <w:r>
              <w:t>(保财教【2024】65号）提前下达2025年中央支持地方公共文化服务体系建设补助资金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20.30</w:t>
            </w:r>
          </w:p>
        </w:tc>
        <w:tc>
          <w:tcPr>
            <w:tcW w:w="2835" w:type="dxa"/>
            <w:vAlign w:val="center"/>
          </w:tcPr>
          <w:p>
            <w:pPr>
              <w:pStyle w:val="12"/>
            </w:pPr>
            <w:r>
              <w:t>其中：财政    资金</w:t>
            </w:r>
          </w:p>
        </w:tc>
        <w:tc>
          <w:tcPr>
            <w:tcW w:w="2551" w:type="dxa"/>
            <w:vAlign w:val="center"/>
          </w:tcPr>
          <w:p>
            <w:pPr>
              <w:pStyle w:val="14"/>
            </w:pPr>
            <w:r>
              <w:t>20.30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用于新时代文明实践中心建设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1.合理安排财政资金支出计划，深化文明实践志愿服务，服务于单位全年目标任务。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新时代文明实践中心建设数量</w:t>
            </w:r>
          </w:p>
        </w:tc>
        <w:tc>
          <w:tcPr>
            <w:tcW w:w="5386" w:type="dxa"/>
            <w:vAlign w:val="center"/>
          </w:tcPr>
          <w:p>
            <w:pPr>
              <w:pStyle w:val="14"/>
            </w:pPr>
            <w:r>
              <w:t>新时代文明实践中心建设数量</w:t>
            </w:r>
          </w:p>
        </w:tc>
        <w:tc>
          <w:tcPr>
            <w:tcW w:w="2268" w:type="dxa"/>
            <w:vAlign w:val="center"/>
          </w:tcPr>
          <w:p>
            <w:pPr>
              <w:pStyle w:val="14"/>
            </w:pPr>
            <w:r>
              <w:t>≥1个</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有影响力的志愿服务活动品牌</w:t>
            </w:r>
          </w:p>
        </w:tc>
        <w:tc>
          <w:tcPr>
            <w:tcW w:w="5386" w:type="dxa"/>
            <w:vAlign w:val="center"/>
          </w:tcPr>
          <w:p>
            <w:pPr>
              <w:pStyle w:val="14"/>
            </w:pPr>
            <w:r>
              <w:t>有影响力的志愿服务活动品牌</w:t>
            </w:r>
          </w:p>
        </w:tc>
        <w:tc>
          <w:tcPr>
            <w:tcW w:w="2268" w:type="dxa"/>
            <w:vAlign w:val="center"/>
          </w:tcPr>
          <w:p>
            <w:pPr>
              <w:pStyle w:val="14"/>
            </w:pPr>
            <w:r>
              <w:t>≥5个</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形成富有地方特色工作经验</w:t>
            </w:r>
          </w:p>
        </w:tc>
        <w:tc>
          <w:tcPr>
            <w:tcW w:w="5386" w:type="dxa"/>
            <w:vAlign w:val="center"/>
          </w:tcPr>
          <w:p>
            <w:pPr>
              <w:pStyle w:val="14"/>
            </w:pPr>
            <w:r>
              <w:t>形成富有地方特色工作经验</w:t>
            </w:r>
          </w:p>
        </w:tc>
        <w:tc>
          <w:tcPr>
            <w:tcW w:w="2268" w:type="dxa"/>
            <w:vAlign w:val="center"/>
          </w:tcPr>
          <w:p>
            <w:pPr>
              <w:pStyle w:val="14"/>
            </w:pPr>
            <w:r>
              <w:t>效果显著</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≤25.25万元</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文明实践志愿者骨干培训覆盖率</w:t>
            </w:r>
          </w:p>
        </w:tc>
        <w:tc>
          <w:tcPr>
            <w:tcW w:w="5386" w:type="dxa"/>
            <w:vAlign w:val="center"/>
          </w:tcPr>
          <w:p>
            <w:pPr>
              <w:pStyle w:val="14"/>
            </w:pPr>
            <w:r>
              <w:t>文明实践志愿者骨干培训覆盖率</w:t>
            </w:r>
          </w:p>
        </w:tc>
        <w:tc>
          <w:tcPr>
            <w:tcW w:w="2268" w:type="dxa"/>
            <w:vAlign w:val="center"/>
          </w:tcPr>
          <w:p>
            <w:pPr>
              <w:pStyle w:val="14"/>
            </w:pPr>
            <w:r>
              <w:t>≥91百分比</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年度文明实践活动参与人数占比</w:t>
            </w:r>
          </w:p>
        </w:tc>
        <w:tc>
          <w:tcPr>
            <w:tcW w:w="5386" w:type="dxa"/>
            <w:vAlign w:val="center"/>
          </w:tcPr>
          <w:p>
            <w:pPr>
              <w:pStyle w:val="14"/>
            </w:pPr>
            <w:r>
              <w:t>年度文明实践活动参与人数占比</w:t>
            </w:r>
          </w:p>
        </w:tc>
        <w:tc>
          <w:tcPr>
            <w:tcW w:w="2268" w:type="dxa"/>
            <w:vAlign w:val="center"/>
          </w:tcPr>
          <w:p>
            <w:pPr>
              <w:pStyle w:val="14"/>
            </w:pPr>
            <w:r>
              <w:t>≥50百分比</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推动创建工作常态化</w:t>
            </w:r>
          </w:p>
        </w:tc>
        <w:tc>
          <w:tcPr>
            <w:tcW w:w="5386" w:type="dxa"/>
            <w:vAlign w:val="center"/>
          </w:tcPr>
          <w:p>
            <w:pPr>
              <w:pStyle w:val="14"/>
            </w:pPr>
            <w:r>
              <w:t>推动创建工作常态化</w:t>
            </w:r>
          </w:p>
        </w:tc>
        <w:tc>
          <w:tcPr>
            <w:tcW w:w="2268" w:type="dxa"/>
            <w:vAlign w:val="center"/>
          </w:tcPr>
          <w:p>
            <w:pPr>
              <w:pStyle w:val="14"/>
            </w:pPr>
            <w:r>
              <w:t>≥95百分比</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满意率达82%以上</w:t>
            </w:r>
          </w:p>
        </w:tc>
        <w:tc>
          <w:tcPr>
            <w:tcW w:w="2268" w:type="dxa"/>
            <w:vAlign w:val="center"/>
          </w:tcPr>
          <w:p>
            <w:pPr>
              <w:pStyle w:val="14"/>
            </w:pPr>
            <w:r>
              <w:t>≥82百分比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3、保财教【2025】29号提前下达2026年中央支持地方公共文化服务体系建设补助资金绩效目标表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13060626P00002210373U</w:t>
            </w:r>
          </w:p>
        </w:tc>
        <w:tc>
          <w:tcPr>
            <w:tcW w:w="2835" w:type="dxa"/>
            <w:vAlign w:val="center"/>
          </w:tcPr>
          <w:p>
            <w:pPr>
              <w:pStyle w:val="12"/>
            </w:pPr>
            <w:r>
              <w:t>项目名称</w:t>
            </w:r>
          </w:p>
        </w:tc>
        <w:tc>
          <w:tcPr>
            <w:tcW w:w="6095" w:type="dxa"/>
            <w:gridSpan w:val="3"/>
            <w:vAlign w:val="center"/>
          </w:tcPr>
          <w:p>
            <w:pPr>
              <w:pStyle w:val="14"/>
            </w:pPr>
            <w:r>
              <w:t>保财教【2025】29号提前下达2026年中央支持地方公共文化服务体系建设补助资金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合理安排财政资金支出计划，深化文明实践志愿服务，服务于单位全年目标任务。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1.目标内容1合理安排财政资金支出计划，深化文明实践志愿服务，服务于单位全年目标任务。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全年开展集中性活动数量</w:t>
            </w:r>
          </w:p>
        </w:tc>
        <w:tc>
          <w:tcPr>
            <w:tcW w:w="5386" w:type="dxa"/>
            <w:vAlign w:val="center"/>
          </w:tcPr>
          <w:p>
            <w:pPr>
              <w:pStyle w:val="14"/>
            </w:pPr>
            <w:r>
              <w:t>全年开展集中性活动数量</w:t>
            </w:r>
          </w:p>
        </w:tc>
        <w:tc>
          <w:tcPr>
            <w:tcW w:w="2268" w:type="dxa"/>
            <w:vAlign w:val="center"/>
          </w:tcPr>
          <w:p>
            <w:pPr>
              <w:pStyle w:val="14"/>
            </w:pPr>
            <w:r>
              <w:t>≥8场</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文明实践志愿服务活动品牌数量</w:t>
            </w:r>
          </w:p>
        </w:tc>
        <w:tc>
          <w:tcPr>
            <w:tcW w:w="5386" w:type="dxa"/>
            <w:vAlign w:val="center"/>
          </w:tcPr>
          <w:p>
            <w:pPr>
              <w:pStyle w:val="14"/>
            </w:pPr>
            <w:r>
              <w:t>参与文明实践志愿服务活动品牌数量</w:t>
            </w:r>
          </w:p>
        </w:tc>
        <w:tc>
          <w:tcPr>
            <w:tcW w:w="2268" w:type="dxa"/>
            <w:vAlign w:val="center"/>
          </w:tcPr>
          <w:p>
            <w:pPr>
              <w:pStyle w:val="14"/>
            </w:pPr>
            <w:r>
              <w:t>≥5个</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活动开展及时率</w:t>
            </w:r>
          </w:p>
        </w:tc>
        <w:tc>
          <w:tcPr>
            <w:tcW w:w="5386" w:type="dxa"/>
            <w:vAlign w:val="center"/>
          </w:tcPr>
          <w:p>
            <w:pPr>
              <w:pStyle w:val="14"/>
            </w:pPr>
            <w:r>
              <w:t>按时开展集中性活动</w:t>
            </w:r>
          </w:p>
        </w:tc>
        <w:tc>
          <w:tcPr>
            <w:tcW w:w="2268" w:type="dxa"/>
            <w:vAlign w:val="center"/>
          </w:tcPr>
          <w:p>
            <w:pPr>
              <w:pStyle w:val="14"/>
            </w:pPr>
            <w:r>
              <w:t>≥95百分比</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≤15万元</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群众文化活动参加人次增长率</w:t>
            </w:r>
          </w:p>
        </w:tc>
        <w:tc>
          <w:tcPr>
            <w:tcW w:w="5386" w:type="dxa"/>
            <w:vAlign w:val="center"/>
          </w:tcPr>
          <w:p>
            <w:pPr>
              <w:pStyle w:val="14"/>
            </w:pPr>
            <w:r>
              <w:t>群众文化活动参加人次对比往期是否增加</w:t>
            </w:r>
          </w:p>
        </w:tc>
        <w:tc>
          <w:tcPr>
            <w:tcW w:w="2268" w:type="dxa"/>
            <w:vAlign w:val="center"/>
          </w:tcPr>
          <w:p>
            <w:pPr>
              <w:pStyle w:val="14"/>
            </w:pPr>
            <w:r>
              <w:t>≥91百分比</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提高财政资金使用率</w:t>
            </w:r>
          </w:p>
        </w:tc>
        <w:tc>
          <w:tcPr>
            <w:tcW w:w="5386" w:type="dxa"/>
            <w:vAlign w:val="center"/>
          </w:tcPr>
          <w:p>
            <w:pPr>
              <w:pStyle w:val="14"/>
            </w:pPr>
            <w:r>
              <w:t>提高财政资金使用率，杜绝浪费、挪用</w:t>
            </w:r>
          </w:p>
        </w:tc>
        <w:tc>
          <w:tcPr>
            <w:tcW w:w="2268" w:type="dxa"/>
            <w:vAlign w:val="center"/>
          </w:tcPr>
          <w:p>
            <w:pPr>
              <w:pStyle w:val="14"/>
            </w:pPr>
            <w:r>
              <w:t>≥50百分比</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形成富有地方特色工作经验</w:t>
            </w:r>
          </w:p>
        </w:tc>
        <w:tc>
          <w:tcPr>
            <w:tcW w:w="5386" w:type="dxa"/>
            <w:vAlign w:val="center"/>
          </w:tcPr>
          <w:p>
            <w:pPr>
              <w:pStyle w:val="14"/>
            </w:pPr>
            <w:r>
              <w:t>持续促进文化事业发展</w:t>
            </w:r>
          </w:p>
        </w:tc>
        <w:tc>
          <w:tcPr>
            <w:tcW w:w="2268" w:type="dxa"/>
            <w:vAlign w:val="center"/>
          </w:tcPr>
          <w:p>
            <w:pPr>
              <w:pStyle w:val="14"/>
            </w:pPr>
            <w:r>
              <w:t>可持续性</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群众对国家基本公共文化服务满意度</w:t>
            </w:r>
          </w:p>
        </w:tc>
        <w:tc>
          <w:tcPr>
            <w:tcW w:w="2268" w:type="dxa"/>
            <w:vAlign w:val="center"/>
          </w:tcPr>
          <w:p>
            <w:pPr>
              <w:pStyle w:val="14"/>
            </w:pPr>
            <w:r>
              <w:t>≥82百分比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4、保财教【2025】30号提前下达2026年中央级国家电影事业发展专项资金绩效目标表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13060626P00002210446C</w:t>
            </w:r>
          </w:p>
        </w:tc>
        <w:tc>
          <w:tcPr>
            <w:tcW w:w="2835" w:type="dxa"/>
            <w:vAlign w:val="center"/>
          </w:tcPr>
          <w:p>
            <w:pPr>
              <w:pStyle w:val="12"/>
            </w:pPr>
            <w:r>
              <w:t>项目名称</w:t>
            </w:r>
          </w:p>
        </w:tc>
        <w:tc>
          <w:tcPr>
            <w:tcW w:w="6095" w:type="dxa"/>
            <w:gridSpan w:val="3"/>
            <w:vAlign w:val="center"/>
          </w:tcPr>
          <w:p>
            <w:pPr>
              <w:pStyle w:val="14"/>
            </w:pPr>
            <w:r>
              <w:t>保财教【2025】30号提前下达2026年中央级国家电影事业发展专项资金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26.00</w:t>
            </w:r>
          </w:p>
        </w:tc>
        <w:tc>
          <w:tcPr>
            <w:tcW w:w="2835" w:type="dxa"/>
            <w:vAlign w:val="center"/>
          </w:tcPr>
          <w:p>
            <w:pPr>
              <w:pStyle w:val="12"/>
            </w:pPr>
            <w:r>
              <w:t>其中：财政    资金</w:t>
            </w:r>
          </w:p>
        </w:tc>
        <w:tc>
          <w:tcPr>
            <w:tcW w:w="2551" w:type="dxa"/>
            <w:vAlign w:val="center"/>
          </w:tcPr>
          <w:p>
            <w:pPr>
              <w:pStyle w:val="14"/>
            </w:pPr>
            <w:r>
              <w:t>26.00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给莲池区电影院发放国产影片放映奖励资金，鼓励影院放映国产电影，促进中国电影持续发展。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1.目标内容1给莲池区电影院发放国产影片放映奖励资金，鼓励影院放映国产电影，促进中国电影持续发展。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奖励影院数量</w:t>
            </w:r>
          </w:p>
        </w:tc>
        <w:tc>
          <w:tcPr>
            <w:tcW w:w="5386" w:type="dxa"/>
            <w:vAlign w:val="center"/>
          </w:tcPr>
          <w:p>
            <w:pPr>
              <w:pStyle w:val="14"/>
            </w:pPr>
            <w:r>
              <w:t>为辖区影院发放国产影片放映奖励资金</w:t>
            </w:r>
          </w:p>
        </w:tc>
        <w:tc>
          <w:tcPr>
            <w:tcW w:w="2268" w:type="dxa"/>
            <w:vAlign w:val="center"/>
          </w:tcPr>
          <w:p>
            <w:pPr>
              <w:pStyle w:val="14"/>
            </w:pPr>
            <w:r>
              <w:t>5家</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奖励影院占比</w:t>
            </w:r>
          </w:p>
        </w:tc>
        <w:tc>
          <w:tcPr>
            <w:tcW w:w="5386" w:type="dxa"/>
            <w:vAlign w:val="center"/>
          </w:tcPr>
          <w:p>
            <w:pPr>
              <w:pStyle w:val="14"/>
            </w:pPr>
            <w:r>
              <w:t>受资助的影院在莲池区的覆盖率</w:t>
            </w:r>
          </w:p>
        </w:tc>
        <w:tc>
          <w:tcPr>
            <w:tcW w:w="2268" w:type="dxa"/>
            <w:vAlign w:val="center"/>
          </w:tcPr>
          <w:p>
            <w:pPr>
              <w:pStyle w:val="14"/>
            </w:pPr>
            <w:r>
              <w:t>≥95百分比</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补助及时率</w:t>
            </w:r>
          </w:p>
        </w:tc>
        <w:tc>
          <w:tcPr>
            <w:tcW w:w="5386" w:type="dxa"/>
            <w:vAlign w:val="center"/>
          </w:tcPr>
          <w:p>
            <w:pPr>
              <w:pStyle w:val="14"/>
            </w:pPr>
            <w:r>
              <w:t>在规定时间内为受补助的影院发放补助</w:t>
            </w:r>
          </w:p>
        </w:tc>
        <w:tc>
          <w:tcPr>
            <w:tcW w:w="2268" w:type="dxa"/>
            <w:vAlign w:val="center"/>
          </w:tcPr>
          <w:p>
            <w:pPr>
              <w:pStyle w:val="14"/>
            </w:pPr>
            <w:r>
              <w:t>100百分比</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≤26万元</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促进国产电影发展</w:t>
            </w:r>
          </w:p>
        </w:tc>
        <w:tc>
          <w:tcPr>
            <w:tcW w:w="5386" w:type="dxa"/>
            <w:vAlign w:val="center"/>
          </w:tcPr>
          <w:p>
            <w:pPr>
              <w:pStyle w:val="14"/>
            </w:pPr>
            <w:r>
              <w:t>促进国产电影发展</w:t>
            </w:r>
          </w:p>
        </w:tc>
        <w:tc>
          <w:tcPr>
            <w:tcW w:w="2268" w:type="dxa"/>
            <w:vAlign w:val="center"/>
          </w:tcPr>
          <w:p>
            <w:pPr>
              <w:pStyle w:val="14"/>
            </w:pPr>
            <w:r>
              <w:t>≥90百分比</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提升国产影片票房收入</w:t>
            </w:r>
          </w:p>
        </w:tc>
        <w:tc>
          <w:tcPr>
            <w:tcW w:w="5386" w:type="dxa"/>
            <w:vAlign w:val="center"/>
          </w:tcPr>
          <w:p>
            <w:pPr>
              <w:pStyle w:val="14"/>
            </w:pPr>
            <w:r>
              <w:t>国产影片票房收入占总票房收入的55%</w:t>
            </w:r>
          </w:p>
        </w:tc>
        <w:tc>
          <w:tcPr>
            <w:tcW w:w="2268" w:type="dxa"/>
            <w:vAlign w:val="center"/>
          </w:tcPr>
          <w:p>
            <w:pPr>
              <w:pStyle w:val="14"/>
            </w:pPr>
            <w:r>
              <w:t>≥55百分比</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营造良好观影风气</w:t>
            </w:r>
          </w:p>
        </w:tc>
        <w:tc>
          <w:tcPr>
            <w:tcW w:w="5386" w:type="dxa"/>
            <w:vAlign w:val="center"/>
          </w:tcPr>
          <w:p>
            <w:pPr>
              <w:pStyle w:val="14"/>
            </w:pPr>
            <w:r>
              <w:t>营造良好观影风气</w:t>
            </w:r>
          </w:p>
        </w:tc>
        <w:tc>
          <w:tcPr>
            <w:tcW w:w="2268" w:type="dxa"/>
            <w:vAlign w:val="center"/>
          </w:tcPr>
          <w:p>
            <w:pPr>
              <w:pStyle w:val="14"/>
            </w:pPr>
            <w:r>
              <w:t>≥90百分比</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观众满意度</w:t>
            </w:r>
          </w:p>
        </w:tc>
        <w:tc>
          <w:tcPr>
            <w:tcW w:w="5386" w:type="dxa"/>
            <w:vAlign w:val="center"/>
          </w:tcPr>
          <w:p>
            <w:pPr>
              <w:pStyle w:val="14"/>
            </w:pPr>
            <w:r>
              <w:t>受资助和奖励对象满意度</w:t>
            </w:r>
          </w:p>
        </w:tc>
        <w:tc>
          <w:tcPr>
            <w:tcW w:w="2268" w:type="dxa"/>
            <w:vAlign w:val="center"/>
          </w:tcPr>
          <w:p>
            <w:pPr>
              <w:pStyle w:val="14"/>
            </w:pPr>
            <w:r>
              <w:t>≥90百分比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5、保财教【2025】33号提前下达2026年省级国家电影事业发展专项资金绩效目标表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13060626P00002210377A</w:t>
            </w:r>
          </w:p>
        </w:tc>
        <w:tc>
          <w:tcPr>
            <w:tcW w:w="2835" w:type="dxa"/>
            <w:vAlign w:val="center"/>
          </w:tcPr>
          <w:p>
            <w:pPr>
              <w:pStyle w:val="12"/>
            </w:pPr>
            <w:r>
              <w:t>项目名称</w:t>
            </w:r>
          </w:p>
        </w:tc>
        <w:tc>
          <w:tcPr>
            <w:tcW w:w="6095" w:type="dxa"/>
            <w:gridSpan w:val="3"/>
            <w:vAlign w:val="center"/>
          </w:tcPr>
          <w:p>
            <w:pPr>
              <w:pStyle w:val="14"/>
            </w:pPr>
            <w:r>
              <w:t>保财教【2025】33号提前下达2026年省级国家电影事业发展专项资金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给莲池区电影院发放国产影片放映奖励资金，鼓励影院放映国产电影，促进中国电影持续发展。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1.目标内容1给莲池区电影院发放国产影片放映奖励资金，鼓励影院放映国产电影，促进中国电影持续发展。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资助国产影片放映奖励金</w:t>
            </w:r>
          </w:p>
        </w:tc>
        <w:tc>
          <w:tcPr>
            <w:tcW w:w="5386" w:type="dxa"/>
            <w:vAlign w:val="center"/>
          </w:tcPr>
          <w:p>
            <w:pPr>
              <w:pStyle w:val="14"/>
            </w:pPr>
            <w:r>
              <w:t>为辖区影院发放国产影片放映奖励资金</w:t>
            </w:r>
          </w:p>
        </w:tc>
        <w:tc>
          <w:tcPr>
            <w:tcW w:w="2268" w:type="dxa"/>
            <w:vAlign w:val="center"/>
          </w:tcPr>
          <w:p>
            <w:pPr>
              <w:pStyle w:val="14"/>
            </w:pPr>
            <w:r>
              <w:t>8家</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影院覆盖率</w:t>
            </w:r>
          </w:p>
        </w:tc>
        <w:tc>
          <w:tcPr>
            <w:tcW w:w="5386" w:type="dxa"/>
            <w:vAlign w:val="center"/>
          </w:tcPr>
          <w:p>
            <w:pPr>
              <w:pStyle w:val="14"/>
            </w:pPr>
            <w:r>
              <w:t>受资助的影院在莲池区的覆盖率≧95%</w:t>
            </w:r>
          </w:p>
        </w:tc>
        <w:tc>
          <w:tcPr>
            <w:tcW w:w="2268" w:type="dxa"/>
            <w:vAlign w:val="center"/>
          </w:tcPr>
          <w:p>
            <w:pPr>
              <w:pStyle w:val="14"/>
            </w:pPr>
            <w:r>
              <w:t>≥95百分比</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补助及时率</w:t>
            </w:r>
          </w:p>
        </w:tc>
        <w:tc>
          <w:tcPr>
            <w:tcW w:w="5386" w:type="dxa"/>
            <w:vAlign w:val="center"/>
          </w:tcPr>
          <w:p>
            <w:pPr>
              <w:pStyle w:val="14"/>
            </w:pPr>
            <w:r>
              <w:t>在规定时间内为受补助的影院发放补助</w:t>
            </w:r>
          </w:p>
        </w:tc>
        <w:tc>
          <w:tcPr>
            <w:tcW w:w="2268" w:type="dxa"/>
            <w:vAlign w:val="center"/>
          </w:tcPr>
          <w:p>
            <w:pPr>
              <w:pStyle w:val="14"/>
            </w:pPr>
            <w:r>
              <w:t>100百分比</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22万元</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促进国产电影发展</w:t>
            </w:r>
          </w:p>
        </w:tc>
        <w:tc>
          <w:tcPr>
            <w:tcW w:w="5386" w:type="dxa"/>
            <w:vAlign w:val="center"/>
          </w:tcPr>
          <w:p>
            <w:pPr>
              <w:pStyle w:val="14"/>
            </w:pPr>
            <w:r>
              <w:t>促进国产电影发展</w:t>
            </w:r>
          </w:p>
        </w:tc>
        <w:tc>
          <w:tcPr>
            <w:tcW w:w="2268" w:type="dxa"/>
            <w:vAlign w:val="center"/>
          </w:tcPr>
          <w:p>
            <w:pPr>
              <w:pStyle w:val="14"/>
            </w:pPr>
            <w:r>
              <w:t>≥90百分比</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提升国产影片票房收入</w:t>
            </w:r>
          </w:p>
        </w:tc>
        <w:tc>
          <w:tcPr>
            <w:tcW w:w="5386" w:type="dxa"/>
            <w:vAlign w:val="center"/>
          </w:tcPr>
          <w:p>
            <w:pPr>
              <w:pStyle w:val="14"/>
            </w:pPr>
            <w:r>
              <w:t>国产影片票房收入占总票房收入的55%</w:t>
            </w:r>
          </w:p>
        </w:tc>
        <w:tc>
          <w:tcPr>
            <w:tcW w:w="2268" w:type="dxa"/>
            <w:vAlign w:val="center"/>
          </w:tcPr>
          <w:p>
            <w:pPr>
              <w:pStyle w:val="14"/>
            </w:pPr>
            <w:r>
              <w:t>≥55百分比</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营造良好观影风气</w:t>
            </w:r>
          </w:p>
        </w:tc>
        <w:tc>
          <w:tcPr>
            <w:tcW w:w="5386" w:type="dxa"/>
            <w:vAlign w:val="center"/>
          </w:tcPr>
          <w:p>
            <w:pPr>
              <w:pStyle w:val="14"/>
            </w:pPr>
            <w:r>
              <w:t>营造良好观影风气</w:t>
            </w:r>
          </w:p>
        </w:tc>
        <w:tc>
          <w:tcPr>
            <w:tcW w:w="2268" w:type="dxa"/>
            <w:vAlign w:val="center"/>
          </w:tcPr>
          <w:p>
            <w:pPr>
              <w:pStyle w:val="14"/>
            </w:pPr>
            <w:r>
              <w:t>≥90百分比</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观众满意度</w:t>
            </w:r>
          </w:p>
        </w:tc>
        <w:tc>
          <w:tcPr>
            <w:tcW w:w="5386" w:type="dxa"/>
            <w:vAlign w:val="center"/>
          </w:tcPr>
          <w:p>
            <w:pPr>
              <w:pStyle w:val="14"/>
            </w:pPr>
            <w:r>
              <w:t>观众对放映的国产影片</w:t>
            </w:r>
            <w:r>
              <w:rPr>
                <w:rFonts w:hint="eastAsia"/>
                <w:lang w:eastAsia="zh-CN"/>
              </w:rPr>
              <w:t>的</w:t>
            </w:r>
            <w:r>
              <w:t>满意度</w:t>
            </w:r>
          </w:p>
        </w:tc>
        <w:tc>
          <w:tcPr>
            <w:tcW w:w="2268" w:type="dxa"/>
            <w:vAlign w:val="center"/>
          </w:tcPr>
          <w:p>
            <w:pPr>
              <w:pStyle w:val="14"/>
            </w:pPr>
            <w:r>
              <w:t>≥90百分比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6、保财教【2025】38号提前下达2026年省级公共文化服务体系建设补助资金绩效目标表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13060626P00002210426L</w:t>
            </w:r>
          </w:p>
        </w:tc>
        <w:tc>
          <w:tcPr>
            <w:tcW w:w="2835" w:type="dxa"/>
            <w:vAlign w:val="center"/>
          </w:tcPr>
          <w:p>
            <w:pPr>
              <w:pStyle w:val="12"/>
            </w:pPr>
            <w:r>
              <w:t>项目名称</w:t>
            </w:r>
          </w:p>
        </w:tc>
        <w:tc>
          <w:tcPr>
            <w:tcW w:w="6095" w:type="dxa"/>
            <w:gridSpan w:val="3"/>
            <w:vAlign w:val="center"/>
          </w:tcPr>
          <w:p>
            <w:pPr>
              <w:pStyle w:val="14"/>
            </w:pPr>
            <w:r>
              <w:t>保财教【2025】38号提前下达2026年省级公共文化服务体系建设补助资金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5.76</w:t>
            </w:r>
          </w:p>
        </w:tc>
        <w:tc>
          <w:tcPr>
            <w:tcW w:w="2835" w:type="dxa"/>
            <w:vAlign w:val="center"/>
          </w:tcPr>
          <w:p>
            <w:pPr>
              <w:pStyle w:val="12"/>
            </w:pPr>
            <w:r>
              <w:t>其中：财政    资金</w:t>
            </w:r>
          </w:p>
        </w:tc>
        <w:tc>
          <w:tcPr>
            <w:tcW w:w="2551" w:type="dxa"/>
            <w:vAlign w:val="center"/>
          </w:tcPr>
          <w:p>
            <w:pPr>
              <w:pStyle w:val="14"/>
            </w:pPr>
            <w:r>
              <w:t>5.76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发放老电影放映员生活补贴，补助农村公益电影放映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1.目标内容1发放老电影放映员生活补贴，补助农村公益电影放映</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补贴农村老电影放映员数量及放映数量</w:t>
            </w:r>
          </w:p>
        </w:tc>
        <w:tc>
          <w:tcPr>
            <w:tcW w:w="5386" w:type="dxa"/>
            <w:vAlign w:val="center"/>
          </w:tcPr>
          <w:p>
            <w:pPr>
              <w:pStyle w:val="14"/>
            </w:pPr>
            <w:r>
              <w:t>补贴农村老电影放映员数量及按计划完成农村公益电影放映的场次</w:t>
            </w:r>
          </w:p>
        </w:tc>
        <w:tc>
          <w:tcPr>
            <w:tcW w:w="2268" w:type="dxa"/>
            <w:vAlign w:val="center"/>
          </w:tcPr>
          <w:p>
            <w:pPr>
              <w:pStyle w:val="14"/>
            </w:pPr>
            <w:r>
              <w:t>20人</w:t>
            </w:r>
          </w:p>
        </w:tc>
        <w:tc>
          <w:tcPr>
            <w:tcW w:w="1276" w:type="dxa"/>
            <w:vAlign w:val="center"/>
          </w:tcPr>
          <w:p>
            <w:pPr>
              <w:pStyle w:val="14"/>
            </w:pPr>
            <w:r>
              <w:t>保财教[2025]38号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准确核实老放映员资格审核合规、补贴标准符合政策要求</w:t>
            </w:r>
          </w:p>
        </w:tc>
        <w:tc>
          <w:tcPr>
            <w:tcW w:w="2268" w:type="dxa"/>
            <w:vAlign w:val="center"/>
          </w:tcPr>
          <w:p>
            <w:pPr>
              <w:pStyle w:val="14"/>
            </w:pPr>
            <w:r>
              <w:t>≥95百分比</w:t>
            </w:r>
          </w:p>
        </w:tc>
        <w:tc>
          <w:tcPr>
            <w:tcW w:w="1276" w:type="dxa"/>
            <w:vAlign w:val="center"/>
          </w:tcPr>
          <w:p>
            <w:pPr>
              <w:pStyle w:val="14"/>
            </w:pPr>
            <w:r>
              <w:t>保财教[2025]38号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公益电影播放及时率</w:t>
            </w:r>
          </w:p>
        </w:tc>
        <w:tc>
          <w:tcPr>
            <w:tcW w:w="5386" w:type="dxa"/>
            <w:vAlign w:val="center"/>
          </w:tcPr>
          <w:p>
            <w:pPr>
              <w:pStyle w:val="14"/>
            </w:pPr>
            <w:r>
              <w:t>按时播放公益电影</w:t>
            </w:r>
          </w:p>
        </w:tc>
        <w:tc>
          <w:tcPr>
            <w:tcW w:w="2268" w:type="dxa"/>
            <w:vAlign w:val="center"/>
          </w:tcPr>
          <w:p>
            <w:pPr>
              <w:pStyle w:val="14"/>
            </w:pPr>
            <w:r>
              <w:t>≥95百分比</w:t>
            </w:r>
          </w:p>
        </w:tc>
        <w:tc>
          <w:tcPr>
            <w:tcW w:w="1276" w:type="dxa"/>
            <w:vAlign w:val="center"/>
          </w:tcPr>
          <w:p>
            <w:pPr>
              <w:pStyle w:val="14"/>
            </w:pPr>
            <w:r>
              <w:t>保财教[2025]38号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5386" w:type="dxa"/>
            <w:vAlign w:val="center"/>
          </w:tcPr>
          <w:p>
            <w:pPr>
              <w:pStyle w:val="14"/>
            </w:pPr>
            <w:r>
              <w:t>不超预算</w:t>
            </w:r>
          </w:p>
        </w:tc>
        <w:tc>
          <w:tcPr>
            <w:tcW w:w="2268" w:type="dxa"/>
            <w:vAlign w:val="center"/>
          </w:tcPr>
          <w:p>
            <w:pPr>
              <w:pStyle w:val="14"/>
            </w:pPr>
            <w:r>
              <w:t>≤5.76万元</w:t>
            </w:r>
          </w:p>
        </w:tc>
        <w:tc>
          <w:tcPr>
            <w:tcW w:w="1276" w:type="dxa"/>
            <w:vAlign w:val="center"/>
          </w:tcPr>
          <w:p>
            <w:pPr>
              <w:pStyle w:val="14"/>
            </w:pPr>
            <w:r>
              <w:t>保财教[2025]38号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公共文化服务覆盖率</w:t>
            </w:r>
          </w:p>
        </w:tc>
        <w:tc>
          <w:tcPr>
            <w:tcW w:w="5386" w:type="dxa"/>
            <w:vAlign w:val="center"/>
          </w:tcPr>
          <w:p>
            <w:pPr>
              <w:pStyle w:val="14"/>
            </w:pPr>
            <w:r>
              <w:t>农村群众享受公益电影服务的可及性、覆盖面提升比例</w:t>
            </w:r>
          </w:p>
        </w:tc>
        <w:tc>
          <w:tcPr>
            <w:tcW w:w="2268" w:type="dxa"/>
            <w:vAlign w:val="center"/>
          </w:tcPr>
          <w:p>
            <w:pPr>
              <w:pStyle w:val="14"/>
            </w:pPr>
            <w:r>
              <w:t>≥95百分比</w:t>
            </w:r>
          </w:p>
        </w:tc>
        <w:tc>
          <w:tcPr>
            <w:tcW w:w="1276" w:type="dxa"/>
            <w:vAlign w:val="center"/>
          </w:tcPr>
          <w:p>
            <w:pPr>
              <w:pStyle w:val="14"/>
            </w:pPr>
            <w:r>
              <w:t>保财教[2025]38号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资金使用精准率</w:t>
            </w:r>
          </w:p>
        </w:tc>
        <w:tc>
          <w:tcPr>
            <w:tcW w:w="5386" w:type="dxa"/>
            <w:vAlign w:val="center"/>
          </w:tcPr>
          <w:p>
            <w:pPr>
              <w:pStyle w:val="14"/>
            </w:pPr>
            <w:r>
              <w:t>补助资金精准投入至补贴发放、放映补助等核心环节</w:t>
            </w:r>
          </w:p>
        </w:tc>
        <w:tc>
          <w:tcPr>
            <w:tcW w:w="2268" w:type="dxa"/>
            <w:vAlign w:val="center"/>
          </w:tcPr>
          <w:p>
            <w:pPr>
              <w:pStyle w:val="14"/>
            </w:pPr>
            <w:r>
              <w:t>≥95百分比</w:t>
            </w:r>
          </w:p>
        </w:tc>
        <w:tc>
          <w:tcPr>
            <w:tcW w:w="1276" w:type="dxa"/>
            <w:vAlign w:val="center"/>
          </w:tcPr>
          <w:p>
            <w:pPr>
              <w:pStyle w:val="14"/>
            </w:pPr>
            <w:r>
              <w:t>保财教[2025]38号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促进农村文化事业发展</w:t>
            </w:r>
          </w:p>
        </w:tc>
        <w:tc>
          <w:tcPr>
            <w:tcW w:w="5386" w:type="dxa"/>
            <w:vAlign w:val="center"/>
          </w:tcPr>
          <w:p>
            <w:pPr>
              <w:pStyle w:val="14"/>
            </w:pPr>
            <w:r>
              <w:t>工作持续性</w:t>
            </w:r>
          </w:p>
        </w:tc>
        <w:tc>
          <w:tcPr>
            <w:tcW w:w="2268" w:type="dxa"/>
            <w:vAlign w:val="center"/>
          </w:tcPr>
          <w:p>
            <w:pPr>
              <w:pStyle w:val="14"/>
            </w:pPr>
            <w:r>
              <w:t>可持续</w:t>
            </w:r>
          </w:p>
        </w:tc>
        <w:tc>
          <w:tcPr>
            <w:tcW w:w="1276" w:type="dxa"/>
            <w:vAlign w:val="center"/>
          </w:tcPr>
          <w:p>
            <w:pPr>
              <w:pStyle w:val="14"/>
            </w:pPr>
            <w:r>
              <w:t>保财教[2025]38号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群众及老电影放映员满意度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7、创城指导中心绩效目标表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13060626P000022103463</w:t>
            </w:r>
          </w:p>
        </w:tc>
        <w:tc>
          <w:tcPr>
            <w:tcW w:w="2835" w:type="dxa"/>
            <w:vAlign w:val="center"/>
          </w:tcPr>
          <w:p>
            <w:pPr>
              <w:pStyle w:val="12"/>
            </w:pPr>
            <w:r>
              <w:t>项目名称</w:t>
            </w:r>
          </w:p>
        </w:tc>
        <w:tc>
          <w:tcPr>
            <w:tcW w:w="6095" w:type="dxa"/>
            <w:gridSpan w:val="3"/>
            <w:vAlign w:val="center"/>
          </w:tcPr>
          <w:p>
            <w:pPr>
              <w:pStyle w:val="14"/>
            </w:pPr>
            <w:r>
              <w:t>创城指导中心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保障单位正常运转，服务于单位全年目标任务。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1.目标内容1合理安排财政资金支出计划，遵循单位财务规章制度,保障单位正常运转，服务于单位全年目标任务。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工作日保障单位运转情况</w:t>
            </w:r>
          </w:p>
        </w:tc>
        <w:tc>
          <w:tcPr>
            <w:tcW w:w="2268" w:type="dxa"/>
            <w:vAlign w:val="center"/>
          </w:tcPr>
          <w:p>
            <w:pPr>
              <w:pStyle w:val="14"/>
            </w:pPr>
            <w:r>
              <w:t>≥8小时</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经费支出准确率</w:t>
            </w:r>
          </w:p>
        </w:tc>
        <w:tc>
          <w:tcPr>
            <w:tcW w:w="5386" w:type="dxa"/>
            <w:vAlign w:val="center"/>
          </w:tcPr>
          <w:p>
            <w:pPr>
              <w:pStyle w:val="14"/>
            </w:pPr>
            <w:r>
              <w:t>按财务规定准确支出</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经费支出及时率</w:t>
            </w:r>
          </w:p>
        </w:tc>
        <w:tc>
          <w:tcPr>
            <w:tcW w:w="5386" w:type="dxa"/>
            <w:vAlign w:val="center"/>
          </w:tcPr>
          <w:p>
            <w:pPr>
              <w:pStyle w:val="14"/>
            </w:pPr>
            <w:r>
              <w:t>按规定时间支出经费</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经费成本不超预算</w:t>
            </w:r>
          </w:p>
        </w:tc>
        <w:tc>
          <w:tcPr>
            <w:tcW w:w="2268" w:type="dxa"/>
            <w:vAlign w:val="center"/>
          </w:tcPr>
          <w:p>
            <w:pPr>
              <w:pStyle w:val="14"/>
            </w:pPr>
            <w:r>
              <w:t>≤8万元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正常办公条件保障情况</w:t>
            </w:r>
          </w:p>
        </w:tc>
        <w:tc>
          <w:tcPr>
            <w:tcW w:w="5386" w:type="dxa"/>
            <w:vAlign w:val="center"/>
          </w:tcPr>
          <w:p>
            <w:pPr>
              <w:pStyle w:val="14"/>
            </w:pPr>
            <w:r>
              <w:t>保障正常办公条件，促进创城工作</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发挥财政资金使用效益</w:t>
            </w:r>
          </w:p>
        </w:tc>
        <w:tc>
          <w:tcPr>
            <w:tcW w:w="5386" w:type="dxa"/>
            <w:vAlign w:val="center"/>
          </w:tcPr>
          <w:p>
            <w:pPr>
              <w:pStyle w:val="14"/>
            </w:pPr>
            <w:r>
              <w:t>压缩开支、厉行节约</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响应节能减排号召</w:t>
            </w:r>
          </w:p>
        </w:tc>
        <w:tc>
          <w:tcPr>
            <w:tcW w:w="5386" w:type="dxa"/>
            <w:vAlign w:val="center"/>
          </w:tcPr>
          <w:p>
            <w:pPr>
              <w:pStyle w:val="14"/>
            </w:pPr>
            <w:r>
              <w:t>使用节能减排产品</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机关工作人员满意度</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8、电影放映员生活补贴绩效目标表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13060626P00002210352G</w:t>
            </w:r>
          </w:p>
        </w:tc>
        <w:tc>
          <w:tcPr>
            <w:tcW w:w="2835" w:type="dxa"/>
            <w:vAlign w:val="center"/>
          </w:tcPr>
          <w:p>
            <w:pPr>
              <w:pStyle w:val="12"/>
            </w:pPr>
            <w:r>
              <w:t>项目名称</w:t>
            </w:r>
          </w:p>
        </w:tc>
        <w:tc>
          <w:tcPr>
            <w:tcW w:w="6095" w:type="dxa"/>
            <w:gridSpan w:val="3"/>
            <w:vAlign w:val="center"/>
          </w:tcPr>
          <w:p>
            <w:pPr>
              <w:pStyle w:val="14"/>
            </w:pPr>
            <w:r>
              <w:t>电影放映员生活补贴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为20名乡镇电影放映员发放补助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1.目标内容1为20名乡镇电影放映员发放补助，提高乡镇电影放映员生活水平。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补助人员数量</w:t>
            </w:r>
          </w:p>
        </w:tc>
        <w:tc>
          <w:tcPr>
            <w:tcW w:w="5386" w:type="dxa"/>
            <w:vAlign w:val="center"/>
          </w:tcPr>
          <w:p>
            <w:pPr>
              <w:pStyle w:val="14"/>
            </w:pPr>
            <w:r>
              <w:t>为20名乡镇电影放映员发放补助</w:t>
            </w:r>
          </w:p>
        </w:tc>
        <w:tc>
          <w:tcPr>
            <w:tcW w:w="2268" w:type="dxa"/>
            <w:vAlign w:val="center"/>
          </w:tcPr>
          <w:p>
            <w:pPr>
              <w:pStyle w:val="14"/>
            </w:pPr>
            <w:r>
              <w:t>≥20人</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补助发放准确率</w:t>
            </w:r>
          </w:p>
        </w:tc>
        <w:tc>
          <w:tcPr>
            <w:tcW w:w="5386" w:type="dxa"/>
            <w:vAlign w:val="center"/>
          </w:tcPr>
          <w:p>
            <w:pPr>
              <w:pStyle w:val="14"/>
            </w:pPr>
            <w:r>
              <w:t>补助发放准确无误</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补助发放及时率</w:t>
            </w:r>
          </w:p>
        </w:tc>
        <w:tc>
          <w:tcPr>
            <w:tcW w:w="5386" w:type="dxa"/>
            <w:vAlign w:val="center"/>
          </w:tcPr>
          <w:p>
            <w:pPr>
              <w:pStyle w:val="14"/>
            </w:pPr>
            <w:r>
              <w:t>在规定时间内及时发放</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≤10万元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保障老放映员群体权益</w:t>
            </w:r>
          </w:p>
        </w:tc>
        <w:tc>
          <w:tcPr>
            <w:tcW w:w="5386" w:type="dxa"/>
            <w:vAlign w:val="center"/>
          </w:tcPr>
          <w:p>
            <w:pPr>
              <w:pStyle w:val="14"/>
            </w:pPr>
            <w:r>
              <w:t>保障老放映员群体权益，提高其生活水平。</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提高资金使用率</w:t>
            </w:r>
          </w:p>
        </w:tc>
        <w:tc>
          <w:tcPr>
            <w:tcW w:w="5386" w:type="dxa"/>
            <w:vAlign w:val="center"/>
          </w:tcPr>
          <w:p>
            <w:pPr>
              <w:pStyle w:val="14"/>
            </w:pPr>
            <w:r>
              <w:t>提高财政资金使用率，杜绝浪费、挪用</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服务对象满意率</w:t>
            </w:r>
          </w:p>
        </w:tc>
        <w:tc>
          <w:tcPr>
            <w:tcW w:w="5386" w:type="dxa"/>
            <w:vAlign w:val="center"/>
          </w:tcPr>
          <w:p>
            <w:pPr>
              <w:pStyle w:val="14"/>
            </w:pPr>
            <w:r>
              <w:t>放映员群体满意度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9、公益电影放映绩效目标表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13060626P00002210351W</w:t>
            </w:r>
          </w:p>
        </w:tc>
        <w:tc>
          <w:tcPr>
            <w:tcW w:w="2835" w:type="dxa"/>
            <w:vAlign w:val="center"/>
          </w:tcPr>
          <w:p>
            <w:pPr>
              <w:pStyle w:val="12"/>
            </w:pPr>
            <w:r>
              <w:t>项目名称</w:t>
            </w:r>
          </w:p>
        </w:tc>
        <w:tc>
          <w:tcPr>
            <w:tcW w:w="6095" w:type="dxa"/>
            <w:gridSpan w:val="3"/>
            <w:vAlign w:val="center"/>
          </w:tcPr>
          <w:p>
            <w:pPr>
              <w:pStyle w:val="14"/>
            </w:pPr>
            <w:r>
              <w:t>公益电影放映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14.28</w:t>
            </w:r>
          </w:p>
        </w:tc>
        <w:tc>
          <w:tcPr>
            <w:tcW w:w="2835" w:type="dxa"/>
            <w:vAlign w:val="center"/>
          </w:tcPr>
          <w:p>
            <w:pPr>
              <w:pStyle w:val="12"/>
            </w:pPr>
            <w:r>
              <w:t>其中：财政    资金</w:t>
            </w:r>
          </w:p>
        </w:tc>
        <w:tc>
          <w:tcPr>
            <w:tcW w:w="2551" w:type="dxa"/>
            <w:vAlign w:val="center"/>
          </w:tcPr>
          <w:p>
            <w:pPr>
              <w:pStyle w:val="14"/>
            </w:pPr>
            <w:r>
              <w:t>14.28</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为119个村庄每月放映电影至少一次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1.目标内容1丰富农村群众文化生活，促进农村电影放映工作。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放映场次</w:t>
            </w:r>
          </w:p>
        </w:tc>
        <w:tc>
          <w:tcPr>
            <w:tcW w:w="5386" w:type="dxa"/>
            <w:vAlign w:val="center"/>
          </w:tcPr>
          <w:p>
            <w:pPr>
              <w:pStyle w:val="14"/>
            </w:pPr>
            <w:r>
              <w:t>每村每月1场</w:t>
            </w:r>
          </w:p>
        </w:tc>
        <w:tc>
          <w:tcPr>
            <w:tcW w:w="2268" w:type="dxa"/>
            <w:vAlign w:val="center"/>
          </w:tcPr>
          <w:p>
            <w:pPr>
              <w:pStyle w:val="14"/>
            </w:pPr>
            <w:r>
              <w:t>≥1428场</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国产影片占比率</w:t>
            </w:r>
          </w:p>
        </w:tc>
        <w:tc>
          <w:tcPr>
            <w:tcW w:w="5386" w:type="dxa"/>
            <w:vAlign w:val="center"/>
          </w:tcPr>
          <w:p>
            <w:pPr>
              <w:pStyle w:val="14"/>
            </w:pPr>
            <w:r>
              <w:t>放映国产新片占比不少于1/3</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放映任务完成及时率</w:t>
            </w:r>
          </w:p>
        </w:tc>
        <w:tc>
          <w:tcPr>
            <w:tcW w:w="5386" w:type="dxa"/>
            <w:vAlign w:val="center"/>
          </w:tcPr>
          <w:p>
            <w:pPr>
              <w:pStyle w:val="14"/>
            </w:pPr>
            <w:r>
              <w:t>每月及时放映</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不超预算</w:t>
            </w:r>
          </w:p>
        </w:tc>
        <w:tc>
          <w:tcPr>
            <w:tcW w:w="2268" w:type="dxa"/>
            <w:vAlign w:val="center"/>
          </w:tcPr>
          <w:p>
            <w:pPr>
              <w:pStyle w:val="14"/>
            </w:pPr>
            <w:r>
              <w:t>≤14.28万元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丰富农村群众文化生活</w:t>
            </w:r>
          </w:p>
        </w:tc>
        <w:tc>
          <w:tcPr>
            <w:tcW w:w="5386" w:type="dxa"/>
            <w:vAlign w:val="center"/>
          </w:tcPr>
          <w:p>
            <w:pPr>
              <w:pStyle w:val="14"/>
            </w:pPr>
            <w:r>
              <w:t>丰富农村群众文化生活，促进农村电影放映</w:t>
            </w:r>
          </w:p>
        </w:tc>
        <w:tc>
          <w:tcPr>
            <w:tcW w:w="2268" w:type="dxa"/>
            <w:vAlign w:val="center"/>
          </w:tcPr>
          <w:p>
            <w:pPr>
              <w:pStyle w:val="14"/>
            </w:pPr>
            <w:r>
              <w:t>效果显著</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农村电影放映工作可持续性</w:t>
            </w:r>
          </w:p>
        </w:tc>
        <w:tc>
          <w:tcPr>
            <w:tcW w:w="5386" w:type="dxa"/>
            <w:vAlign w:val="center"/>
          </w:tcPr>
          <w:p>
            <w:pPr>
              <w:pStyle w:val="14"/>
            </w:pPr>
            <w:r>
              <w:t>促进农村电影放映工作长期运行</w:t>
            </w:r>
          </w:p>
        </w:tc>
        <w:tc>
          <w:tcPr>
            <w:tcW w:w="2268" w:type="dxa"/>
            <w:vAlign w:val="center"/>
          </w:tcPr>
          <w:p>
            <w:pPr>
              <w:pStyle w:val="14"/>
            </w:pPr>
            <w:r>
              <w:t>长期放映</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发挥财政资金使用效益</w:t>
            </w:r>
          </w:p>
        </w:tc>
        <w:tc>
          <w:tcPr>
            <w:tcW w:w="5386" w:type="dxa"/>
            <w:vAlign w:val="center"/>
          </w:tcPr>
          <w:p>
            <w:pPr>
              <w:pStyle w:val="14"/>
            </w:pPr>
            <w:r>
              <w:t>提高财政资金使用率，杜绝浪费、挪用</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村民满意率</w:t>
            </w:r>
          </w:p>
        </w:tc>
        <w:tc>
          <w:tcPr>
            <w:tcW w:w="5386" w:type="dxa"/>
            <w:vAlign w:val="center"/>
          </w:tcPr>
          <w:p>
            <w:pPr>
              <w:pStyle w:val="14"/>
            </w:pPr>
            <w:r>
              <w:t>村民满意度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10、精神文明建设绩效目标表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13060626P00002210344U</w:t>
            </w:r>
          </w:p>
        </w:tc>
        <w:tc>
          <w:tcPr>
            <w:tcW w:w="2835" w:type="dxa"/>
            <w:vAlign w:val="center"/>
          </w:tcPr>
          <w:p>
            <w:pPr>
              <w:pStyle w:val="12"/>
            </w:pPr>
            <w:r>
              <w:t>项目名称</w:t>
            </w:r>
          </w:p>
        </w:tc>
        <w:tc>
          <w:tcPr>
            <w:tcW w:w="6095" w:type="dxa"/>
            <w:gridSpan w:val="3"/>
            <w:vAlign w:val="center"/>
          </w:tcPr>
          <w:p>
            <w:pPr>
              <w:pStyle w:val="14"/>
            </w:pPr>
            <w:r>
              <w:t>精神文明建设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保障单位正常运转，服务于单位全年目标任务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1.目标内容1保障单位正常运转，服务于单位全年目标任务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工作日保障单位运转情况</w:t>
            </w:r>
          </w:p>
        </w:tc>
        <w:tc>
          <w:tcPr>
            <w:tcW w:w="2268" w:type="dxa"/>
            <w:vAlign w:val="center"/>
          </w:tcPr>
          <w:p>
            <w:pPr>
              <w:pStyle w:val="14"/>
            </w:pPr>
            <w:r>
              <w:t>≥8小时</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经费支出准确率</w:t>
            </w:r>
          </w:p>
        </w:tc>
        <w:tc>
          <w:tcPr>
            <w:tcW w:w="5386" w:type="dxa"/>
            <w:vAlign w:val="center"/>
          </w:tcPr>
          <w:p>
            <w:pPr>
              <w:pStyle w:val="14"/>
            </w:pPr>
            <w:r>
              <w:t>准确支出经费</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经费支出及时率</w:t>
            </w:r>
          </w:p>
        </w:tc>
        <w:tc>
          <w:tcPr>
            <w:tcW w:w="5386" w:type="dxa"/>
            <w:vAlign w:val="center"/>
          </w:tcPr>
          <w:p>
            <w:pPr>
              <w:pStyle w:val="14"/>
            </w:pPr>
            <w:r>
              <w:t>按规定时间支出经费</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经费成本不超预算</w:t>
            </w:r>
          </w:p>
        </w:tc>
        <w:tc>
          <w:tcPr>
            <w:tcW w:w="2268" w:type="dxa"/>
            <w:vAlign w:val="center"/>
          </w:tcPr>
          <w:p>
            <w:pPr>
              <w:pStyle w:val="14"/>
            </w:pPr>
            <w:r>
              <w:t>≤15万元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正常办公条件保障情况</w:t>
            </w:r>
          </w:p>
        </w:tc>
        <w:tc>
          <w:tcPr>
            <w:tcW w:w="5386" w:type="dxa"/>
            <w:vAlign w:val="center"/>
          </w:tcPr>
          <w:p>
            <w:pPr>
              <w:pStyle w:val="14"/>
            </w:pPr>
            <w:r>
              <w:t>保障文明办、新时代文明实践中心正常办公条件</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发挥财政资金使用效益</w:t>
            </w:r>
          </w:p>
        </w:tc>
        <w:tc>
          <w:tcPr>
            <w:tcW w:w="5386" w:type="dxa"/>
            <w:vAlign w:val="center"/>
          </w:tcPr>
          <w:p>
            <w:pPr>
              <w:pStyle w:val="14"/>
            </w:pPr>
            <w:r>
              <w:t>压缩开支、厉行节约</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响应节能减排号召</w:t>
            </w:r>
          </w:p>
        </w:tc>
        <w:tc>
          <w:tcPr>
            <w:tcW w:w="5386" w:type="dxa"/>
            <w:vAlign w:val="center"/>
          </w:tcPr>
          <w:p>
            <w:pPr>
              <w:pStyle w:val="14"/>
            </w:pPr>
            <w:r>
              <w:t>使用节能减排产品</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保障工作可持续性</w:t>
            </w:r>
          </w:p>
        </w:tc>
        <w:tc>
          <w:tcPr>
            <w:tcW w:w="5386" w:type="dxa"/>
            <w:vAlign w:val="center"/>
          </w:tcPr>
          <w:p>
            <w:pPr>
              <w:pStyle w:val="14"/>
            </w:pPr>
            <w:r>
              <w:t>业务工作可持续性</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机关工作人员满意度</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11、农家书屋绩效目标表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13060626P00002210354P</w:t>
            </w:r>
          </w:p>
        </w:tc>
        <w:tc>
          <w:tcPr>
            <w:tcW w:w="2835" w:type="dxa"/>
            <w:vAlign w:val="center"/>
          </w:tcPr>
          <w:p>
            <w:pPr>
              <w:pStyle w:val="12"/>
            </w:pPr>
            <w:r>
              <w:t>项目名称</w:t>
            </w:r>
          </w:p>
        </w:tc>
        <w:tc>
          <w:tcPr>
            <w:tcW w:w="6095" w:type="dxa"/>
            <w:gridSpan w:val="3"/>
            <w:vAlign w:val="center"/>
          </w:tcPr>
          <w:p>
            <w:pPr>
              <w:pStyle w:val="14"/>
            </w:pPr>
            <w:r>
              <w:t>农家书屋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w:t>
            </w:r>
          </w:p>
        </w:tc>
        <w:tc>
          <w:tcPr>
            <w:tcW w:w="2835" w:type="dxa"/>
            <w:vAlign w:val="center"/>
          </w:tcPr>
          <w:p>
            <w:pPr>
              <w:pStyle w:val="12"/>
            </w:pPr>
            <w:r>
              <w:t>其中：财政    资金</w:t>
            </w:r>
          </w:p>
        </w:tc>
        <w:tc>
          <w:tcPr>
            <w:tcW w:w="2551" w:type="dxa"/>
            <w:vAlign w:val="center"/>
          </w:tcPr>
          <w:p>
            <w:pPr>
              <w:pStyle w:val="14"/>
            </w:pPr>
            <w:r>
              <w:t>12.00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为辖区119个村庄购置发放书籍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1.目标内容1为辖区119个村庄购置发放书籍</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购置完成率</w:t>
            </w:r>
          </w:p>
        </w:tc>
        <w:tc>
          <w:tcPr>
            <w:tcW w:w="5386" w:type="dxa"/>
            <w:vAlign w:val="center"/>
          </w:tcPr>
          <w:p>
            <w:pPr>
              <w:pStyle w:val="14"/>
            </w:pPr>
            <w:r>
              <w:t>为119个村庄购置书籍，每个村庄不少于2000元</w:t>
            </w:r>
          </w:p>
        </w:tc>
        <w:tc>
          <w:tcPr>
            <w:tcW w:w="2268" w:type="dxa"/>
            <w:vAlign w:val="center"/>
          </w:tcPr>
          <w:p>
            <w:pPr>
              <w:pStyle w:val="14"/>
            </w:pPr>
            <w:r>
              <w:t>100百分比</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购置书籍合格率</w:t>
            </w:r>
          </w:p>
        </w:tc>
        <w:tc>
          <w:tcPr>
            <w:tcW w:w="5386" w:type="dxa"/>
            <w:vAlign w:val="center"/>
          </w:tcPr>
          <w:p>
            <w:pPr>
              <w:pStyle w:val="14"/>
            </w:pPr>
            <w:r>
              <w:t>购置的目录书籍不低于70%</w:t>
            </w:r>
          </w:p>
        </w:tc>
        <w:tc>
          <w:tcPr>
            <w:tcW w:w="2268" w:type="dxa"/>
            <w:vAlign w:val="center"/>
          </w:tcPr>
          <w:p>
            <w:pPr>
              <w:pStyle w:val="14"/>
            </w:pPr>
            <w:r>
              <w:t>≥70百分比</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购置书籍及时率</w:t>
            </w:r>
          </w:p>
        </w:tc>
        <w:tc>
          <w:tcPr>
            <w:tcW w:w="5386" w:type="dxa"/>
            <w:vAlign w:val="center"/>
          </w:tcPr>
          <w:p>
            <w:pPr>
              <w:pStyle w:val="14"/>
            </w:pPr>
            <w:r>
              <w:t>年底之前购置完成</w:t>
            </w:r>
          </w:p>
        </w:tc>
        <w:tc>
          <w:tcPr>
            <w:tcW w:w="2268" w:type="dxa"/>
            <w:vAlign w:val="center"/>
          </w:tcPr>
          <w:p>
            <w:pPr>
              <w:pStyle w:val="14"/>
            </w:pPr>
            <w:r>
              <w:t>100百分比</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书籍购置成本</w:t>
            </w:r>
          </w:p>
        </w:tc>
        <w:tc>
          <w:tcPr>
            <w:tcW w:w="5386" w:type="dxa"/>
            <w:vAlign w:val="center"/>
          </w:tcPr>
          <w:p>
            <w:pPr>
              <w:pStyle w:val="14"/>
            </w:pPr>
            <w:r>
              <w:t>不超过预算</w:t>
            </w:r>
          </w:p>
        </w:tc>
        <w:tc>
          <w:tcPr>
            <w:tcW w:w="2268" w:type="dxa"/>
            <w:vAlign w:val="center"/>
          </w:tcPr>
          <w:p>
            <w:pPr>
              <w:pStyle w:val="14"/>
            </w:pPr>
            <w:r>
              <w:t>≤12万元</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提高农村文化生活质量</w:t>
            </w:r>
          </w:p>
        </w:tc>
        <w:tc>
          <w:tcPr>
            <w:tcW w:w="5386" w:type="dxa"/>
            <w:vAlign w:val="center"/>
          </w:tcPr>
          <w:p>
            <w:pPr>
              <w:pStyle w:val="14"/>
            </w:pPr>
            <w:r>
              <w:t>丰富农村群众文化生活</w:t>
            </w:r>
          </w:p>
        </w:tc>
        <w:tc>
          <w:tcPr>
            <w:tcW w:w="2268" w:type="dxa"/>
            <w:vAlign w:val="center"/>
          </w:tcPr>
          <w:p>
            <w:pPr>
              <w:pStyle w:val="14"/>
            </w:pPr>
            <w:r>
              <w:t>≥95百分比</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促进农村文化事业发展</w:t>
            </w:r>
          </w:p>
        </w:tc>
        <w:tc>
          <w:tcPr>
            <w:tcW w:w="5386" w:type="dxa"/>
            <w:vAlign w:val="center"/>
          </w:tcPr>
          <w:p>
            <w:pPr>
              <w:pStyle w:val="14"/>
            </w:pPr>
            <w:r>
              <w:t>持续促进农村文化事业发展</w:t>
            </w:r>
          </w:p>
        </w:tc>
        <w:tc>
          <w:tcPr>
            <w:tcW w:w="2268" w:type="dxa"/>
            <w:vAlign w:val="center"/>
          </w:tcPr>
          <w:p>
            <w:pPr>
              <w:pStyle w:val="14"/>
            </w:pPr>
            <w:r>
              <w:t>有效促进</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提高财政资金使用率</w:t>
            </w:r>
          </w:p>
        </w:tc>
        <w:tc>
          <w:tcPr>
            <w:tcW w:w="5386" w:type="dxa"/>
            <w:vAlign w:val="center"/>
          </w:tcPr>
          <w:p>
            <w:pPr>
              <w:pStyle w:val="14"/>
            </w:pPr>
            <w:r>
              <w:t>提高财政资金使用率，杜绝浪费、挪用</w:t>
            </w:r>
          </w:p>
        </w:tc>
        <w:tc>
          <w:tcPr>
            <w:tcW w:w="2268" w:type="dxa"/>
            <w:vAlign w:val="center"/>
          </w:tcPr>
          <w:p>
            <w:pPr>
              <w:pStyle w:val="14"/>
            </w:pPr>
            <w:r>
              <w:t>≥95百分比</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服务对象满意率</w:t>
            </w:r>
          </w:p>
        </w:tc>
        <w:tc>
          <w:tcPr>
            <w:tcW w:w="5386" w:type="dxa"/>
            <w:vAlign w:val="center"/>
          </w:tcPr>
          <w:p>
            <w:pPr>
              <w:pStyle w:val="14"/>
            </w:pPr>
            <w:r>
              <w:t>农村群众满意度</w:t>
            </w:r>
          </w:p>
        </w:tc>
        <w:tc>
          <w:tcPr>
            <w:tcW w:w="2268" w:type="dxa"/>
            <w:vAlign w:val="center"/>
          </w:tcPr>
          <w:p>
            <w:pPr>
              <w:pStyle w:val="14"/>
            </w:pPr>
            <w:r>
              <w:t>≥100百分比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12、融媒体中心绩效目标表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13060626P000022101668</w:t>
            </w:r>
          </w:p>
        </w:tc>
        <w:tc>
          <w:tcPr>
            <w:tcW w:w="2835" w:type="dxa"/>
            <w:vAlign w:val="center"/>
          </w:tcPr>
          <w:p>
            <w:pPr>
              <w:pStyle w:val="12"/>
            </w:pPr>
            <w:r>
              <w:t>项目名称</w:t>
            </w:r>
          </w:p>
        </w:tc>
        <w:tc>
          <w:tcPr>
            <w:tcW w:w="6095" w:type="dxa"/>
            <w:gridSpan w:val="3"/>
            <w:vAlign w:val="center"/>
          </w:tcPr>
          <w:p>
            <w:pPr>
              <w:pStyle w:val="14"/>
            </w:pPr>
            <w:r>
              <w:t>融媒体中心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保障机关正常运转，服务于机关全年目标任务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1.目标内容保障机关正常运转，服务于机关全年目标任务。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w:t>
            </w:r>
          </w:p>
        </w:tc>
        <w:tc>
          <w:tcPr>
            <w:tcW w:w="2268" w:type="dxa"/>
            <w:vAlign w:val="center"/>
          </w:tcPr>
          <w:p>
            <w:pPr>
              <w:pStyle w:val="14"/>
            </w:pPr>
            <w:r>
              <w:t>≧8小时</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经费支出准确率</w:t>
            </w:r>
          </w:p>
        </w:tc>
        <w:tc>
          <w:tcPr>
            <w:tcW w:w="5386" w:type="dxa"/>
            <w:vAlign w:val="center"/>
          </w:tcPr>
          <w:p>
            <w:pPr>
              <w:pStyle w:val="14"/>
            </w:pPr>
            <w:r>
              <w:t>准确支出经费</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经费支出及时率</w:t>
            </w:r>
          </w:p>
        </w:tc>
        <w:tc>
          <w:tcPr>
            <w:tcW w:w="5386" w:type="dxa"/>
            <w:vAlign w:val="center"/>
          </w:tcPr>
          <w:p>
            <w:pPr>
              <w:pStyle w:val="14"/>
            </w:pPr>
            <w:r>
              <w:t>按规定时间支出经费</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成本支出金额</w:t>
            </w:r>
          </w:p>
        </w:tc>
        <w:tc>
          <w:tcPr>
            <w:tcW w:w="5386" w:type="dxa"/>
            <w:vAlign w:val="center"/>
          </w:tcPr>
          <w:p>
            <w:pPr>
              <w:pStyle w:val="14"/>
            </w:pPr>
            <w:r>
              <w:t>经费成本不超预算</w:t>
            </w:r>
          </w:p>
        </w:tc>
        <w:tc>
          <w:tcPr>
            <w:tcW w:w="2268" w:type="dxa"/>
            <w:vAlign w:val="center"/>
          </w:tcPr>
          <w:p>
            <w:pPr>
              <w:pStyle w:val="14"/>
            </w:pPr>
            <w:r>
              <w:t>≦10万元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提高履职尽责服务效率</w:t>
            </w:r>
          </w:p>
        </w:tc>
        <w:tc>
          <w:tcPr>
            <w:tcW w:w="5386" w:type="dxa"/>
            <w:vAlign w:val="center"/>
          </w:tcPr>
          <w:p>
            <w:pPr>
              <w:pStyle w:val="14"/>
            </w:pPr>
            <w:r>
              <w:t>正常办公条件保障情况</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运营成本节约率</w:t>
            </w:r>
          </w:p>
        </w:tc>
        <w:tc>
          <w:tcPr>
            <w:tcW w:w="5386" w:type="dxa"/>
            <w:vAlign w:val="center"/>
          </w:tcPr>
          <w:p>
            <w:pPr>
              <w:pStyle w:val="14"/>
            </w:pPr>
            <w:r>
              <w:t>减少重复投入、提升资源复用率带来的运营成本节约</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响应节能减排号召</w:t>
            </w:r>
          </w:p>
        </w:tc>
        <w:tc>
          <w:tcPr>
            <w:tcW w:w="5386" w:type="dxa"/>
            <w:vAlign w:val="center"/>
          </w:tcPr>
          <w:p>
            <w:pPr>
              <w:pStyle w:val="14"/>
            </w:pPr>
            <w:r>
              <w:t>使用节能减排产品</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服务对象满意率</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13、融媒体中心客户端长城网冀云绩效目标表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13060626P00002210342L</w:t>
            </w:r>
          </w:p>
        </w:tc>
        <w:tc>
          <w:tcPr>
            <w:tcW w:w="2835" w:type="dxa"/>
            <w:vAlign w:val="center"/>
          </w:tcPr>
          <w:p>
            <w:pPr>
              <w:pStyle w:val="12"/>
            </w:pPr>
            <w:r>
              <w:t>项目名称</w:t>
            </w:r>
          </w:p>
        </w:tc>
        <w:tc>
          <w:tcPr>
            <w:tcW w:w="6095" w:type="dxa"/>
            <w:gridSpan w:val="3"/>
            <w:vAlign w:val="center"/>
          </w:tcPr>
          <w:p>
            <w:pPr>
              <w:pStyle w:val="14"/>
            </w:pPr>
            <w:r>
              <w:t>融媒体中心客户端长城网冀云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支付合作经费，建设区融媒体中心客户端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1.目标内容1支付合作经费，建设区融媒体中心客户端</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建设融媒体中心客户端</w:t>
            </w:r>
          </w:p>
        </w:tc>
        <w:tc>
          <w:tcPr>
            <w:tcW w:w="5386" w:type="dxa"/>
            <w:vAlign w:val="center"/>
          </w:tcPr>
          <w:p>
            <w:pPr>
              <w:pStyle w:val="14"/>
            </w:pPr>
            <w:r>
              <w:t>建设融媒体中心客户端</w:t>
            </w:r>
          </w:p>
        </w:tc>
        <w:tc>
          <w:tcPr>
            <w:tcW w:w="2268" w:type="dxa"/>
            <w:vAlign w:val="center"/>
          </w:tcPr>
          <w:p>
            <w:pPr>
              <w:pStyle w:val="14"/>
            </w:pPr>
            <w:r>
              <w:t>≥1个</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客户端正常运转率</w:t>
            </w:r>
          </w:p>
        </w:tc>
        <w:tc>
          <w:tcPr>
            <w:tcW w:w="5386" w:type="dxa"/>
            <w:vAlign w:val="center"/>
          </w:tcPr>
          <w:p>
            <w:pPr>
              <w:pStyle w:val="14"/>
            </w:pPr>
            <w:r>
              <w:t>保障客户端正常运转</w:t>
            </w:r>
          </w:p>
        </w:tc>
        <w:tc>
          <w:tcPr>
            <w:tcW w:w="2268" w:type="dxa"/>
            <w:vAlign w:val="center"/>
          </w:tcPr>
          <w:p>
            <w:pPr>
              <w:pStyle w:val="14"/>
            </w:pPr>
            <w:r>
              <w:t>100百分比</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5386" w:type="dxa"/>
            <w:vAlign w:val="center"/>
          </w:tcPr>
          <w:p>
            <w:pPr>
              <w:pStyle w:val="14"/>
            </w:pPr>
            <w:r>
              <w:t>于12月一次性支付</w:t>
            </w:r>
          </w:p>
        </w:tc>
        <w:tc>
          <w:tcPr>
            <w:tcW w:w="2268" w:type="dxa"/>
            <w:vAlign w:val="center"/>
          </w:tcPr>
          <w:p>
            <w:pPr>
              <w:pStyle w:val="14"/>
            </w:pPr>
            <w:r>
              <w:t>100百分比</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成本支出金额</w:t>
            </w:r>
          </w:p>
        </w:tc>
        <w:tc>
          <w:tcPr>
            <w:tcW w:w="5386" w:type="dxa"/>
            <w:vAlign w:val="center"/>
          </w:tcPr>
          <w:p>
            <w:pPr>
              <w:pStyle w:val="14"/>
            </w:pPr>
            <w:r>
              <w:t>经费成本不超预算</w:t>
            </w:r>
          </w:p>
        </w:tc>
        <w:tc>
          <w:tcPr>
            <w:tcW w:w="2268" w:type="dxa"/>
            <w:vAlign w:val="center"/>
          </w:tcPr>
          <w:p>
            <w:pPr>
              <w:pStyle w:val="14"/>
            </w:pPr>
            <w:r>
              <w:t>≤25万元</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推动全区思想文化工作</w:t>
            </w:r>
          </w:p>
        </w:tc>
        <w:tc>
          <w:tcPr>
            <w:tcW w:w="5386" w:type="dxa"/>
            <w:vAlign w:val="center"/>
          </w:tcPr>
          <w:p>
            <w:pPr>
              <w:pStyle w:val="14"/>
            </w:pPr>
            <w:r>
              <w:t>通过合作提升莲池形象，推动全区思想文化工作</w:t>
            </w:r>
          </w:p>
        </w:tc>
        <w:tc>
          <w:tcPr>
            <w:tcW w:w="2268" w:type="dxa"/>
            <w:vAlign w:val="center"/>
          </w:tcPr>
          <w:p>
            <w:pPr>
              <w:pStyle w:val="14"/>
            </w:pPr>
            <w:r>
              <w:t>≥95百分比</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提高资金使用率</w:t>
            </w:r>
          </w:p>
        </w:tc>
        <w:tc>
          <w:tcPr>
            <w:tcW w:w="5386" w:type="dxa"/>
            <w:vAlign w:val="center"/>
          </w:tcPr>
          <w:p>
            <w:pPr>
              <w:pStyle w:val="14"/>
            </w:pPr>
            <w:r>
              <w:t>提高资金使用率，不闲置浪费资金</w:t>
            </w:r>
          </w:p>
        </w:tc>
        <w:tc>
          <w:tcPr>
            <w:tcW w:w="2268" w:type="dxa"/>
            <w:vAlign w:val="center"/>
          </w:tcPr>
          <w:p>
            <w:pPr>
              <w:pStyle w:val="14"/>
            </w:pPr>
            <w:r>
              <w:t>≥95百分比</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保障工作可持续性</w:t>
            </w:r>
          </w:p>
        </w:tc>
        <w:tc>
          <w:tcPr>
            <w:tcW w:w="5386" w:type="dxa"/>
            <w:vAlign w:val="center"/>
          </w:tcPr>
          <w:p>
            <w:pPr>
              <w:pStyle w:val="14"/>
            </w:pPr>
            <w:r>
              <w:t>新闻报道、稿件刊发、智库服务、外宣渠道支持等工作可持续性</w:t>
            </w:r>
          </w:p>
        </w:tc>
        <w:tc>
          <w:tcPr>
            <w:tcW w:w="2268" w:type="dxa"/>
            <w:vAlign w:val="center"/>
          </w:tcPr>
          <w:p>
            <w:pPr>
              <w:pStyle w:val="14"/>
            </w:pPr>
            <w:r>
              <w:t>≥95百分比</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使用网站及机关工作人员满意度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w:t>
      </w:r>
      <w:r>
        <w:rPr>
          <w:rFonts w:hint="eastAsia" w:ascii="方正仿宋_GBK" w:hAnsi="方正仿宋_GBK" w:eastAsia="方正仿宋_GBK" w:cs="方正仿宋_GBK"/>
          <w:color w:val="000000"/>
          <w:sz w:val="28"/>
          <w:lang w:eastAsia="zh-CN"/>
        </w:rPr>
        <w:t>“扫黄打非”</w:t>
      </w:r>
      <w:r>
        <w:rPr>
          <w:rFonts w:ascii="方正仿宋_GBK" w:hAnsi="方正仿宋_GBK" w:eastAsia="方正仿宋_GBK" w:cs="方正仿宋_GBK"/>
          <w:color w:val="000000"/>
          <w:sz w:val="28"/>
        </w:rPr>
        <w:t>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13060626P00002210349X</w:t>
            </w:r>
          </w:p>
        </w:tc>
        <w:tc>
          <w:tcPr>
            <w:tcW w:w="2835" w:type="dxa"/>
            <w:vAlign w:val="center"/>
          </w:tcPr>
          <w:p>
            <w:pPr>
              <w:pStyle w:val="12"/>
            </w:pPr>
            <w:r>
              <w:t>项目名称</w:t>
            </w:r>
          </w:p>
        </w:tc>
        <w:tc>
          <w:tcPr>
            <w:tcW w:w="6095" w:type="dxa"/>
            <w:gridSpan w:val="3"/>
            <w:vAlign w:val="center"/>
          </w:tcPr>
          <w:p>
            <w:pPr>
              <w:pStyle w:val="14"/>
            </w:pPr>
            <w:r>
              <w:rPr>
                <w:rFonts w:hint="eastAsia"/>
                <w:lang w:eastAsia="zh-CN"/>
              </w:rPr>
              <w:t>“扫黄打非”</w:t>
            </w:r>
            <w:r>
              <w:t>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4.60</w:t>
            </w:r>
          </w:p>
        </w:tc>
        <w:tc>
          <w:tcPr>
            <w:tcW w:w="2835" w:type="dxa"/>
            <w:vAlign w:val="center"/>
          </w:tcPr>
          <w:p>
            <w:pPr>
              <w:pStyle w:val="12"/>
            </w:pPr>
            <w:r>
              <w:t>其中：财政    资金</w:t>
            </w:r>
          </w:p>
        </w:tc>
        <w:tc>
          <w:tcPr>
            <w:tcW w:w="2551" w:type="dxa"/>
            <w:vAlign w:val="center"/>
          </w:tcPr>
          <w:p>
            <w:pPr>
              <w:pStyle w:val="14"/>
            </w:pPr>
            <w:r>
              <w:t>4.60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全年开展联合执法次数至少2次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1.目标内容1全年开展联合执法次数至少2次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开展联合执法次数</w:t>
            </w:r>
          </w:p>
        </w:tc>
        <w:tc>
          <w:tcPr>
            <w:tcW w:w="5386" w:type="dxa"/>
            <w:vAlign w:val="center"/>
          </w:tcPr>
          <w:p>
            <w:pPr>
              <w:pStyle w:val="14"/>
            </w:pPr>
            <w:r>
              <w:t>全年开展联合执法次数至少2次</w:t>
            </w:r>
          </w:p>
        </w:tc>
        <w:tc>
          <w:tcPr>
            <w:tcW w:w="2268" w:type="dxa"/>
            <w:vAlign w:val="center"/>
          </w:tcPr>
          <w:p>
            <w:pPr>
              <w:pStyle w:val="14"/>
            </w:pPr>
            <w:r>
              <w:t>≥2次</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打击非法盗版书籍、音像制品覆盖率</w:t>
            </w:r>
          </w:p>
        </w:tc>
        <w:tc>
          <w:tcPr>
            <w:tcW w:w="5386" w:type="dxa"/>
            <w:vAlign w:val="center"/>
          </w:tcPr>
          <w:p>
            <w:pPr>
              <w:pStyle w:val="14"/>
            </w:pPr>
            <w:r>
              <w:t>打击非法盗版书籍、音像制品全覆盖</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清理非法、盗版出版物及时率</w:t>
            </w:r>
          </w:p>
        </w:tc>
        <w:tc>
          <w:tcPr>
            <w:tcW w:w="5386" w:type="dxa"/>
            <w:vAlign w:val="center"/>
          </w:tcPr>
          <w:p>
            <w:pPr>
              <w:pStyle w:val="14"/>
            </w:pPr>
            <w:r>
              <w:t>及时清理非法、盗版出版物</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经费支出不超预算</w:t>
            </w:r>
          </w:p>
        </w:tc>
        <w:tc>
          <w:tcPr>
            <w:tcW w:w="2268" w:type="dxa"/>
            <w:vAlign w:val="center"/>
          </w:tcPr>
          <w:p>
            <w:pPr>
              <w:pStyle w:val="14"/>
            </w:pPr>
            <w:r>
              <w:t>≤4.6万元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净化社会文化环境</w:t>
            </w:r>
          </w:p>
        </w:tc>
        <w:tc>
          <w:tcPr>
            <w:tcW w:w="5386" w:type="dxa"/>
            <w:vAlign w:val="center"/>
          </w:tcPr>
          <w:p>
            <w:pPr>
              <w:pStyle w:val="14"/>
            </w:pPr>
            <w:r>
              <w:t>全面推进</w:t>
            </w:r>
            <w:r>
              <w:rPr>
                <w:rFonts w:hint="eastAsia"/>
                <w:lang w:eastAsia="zh-CN"/>
              </w:rPr>
              <w:t>“扫黄打非”</w:t>
            </w:r>
            <w:r>
              <w:t>工作，净化社会文化环境</w:t>
            </w:r>
          </w:p>
        </w:tc>
        <w:tc>
          <w:tcPr>
            <w:tcW w:w="2268" w:type="dxa"/>
            <w:vAlign w:val="center"/>
          </w:tcPr>
          <w:p>
            <w:pPr>
              <w:pStyle w:val="14"/>
            </w:pPr>
            <w:r>
              <w:t>效果显著</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形成良好的社会文化氛围</w:t>
            </w:r>
          </w:p>
        </w:tc>
        <w:tc>
          <w:tcPr>
            <w:tcW w:w="5386" w:type="dxa"/>
            <w:vAlign w:val="center"/>
          </w:tcPr>
          <w:p>
            <w:pPr>
              <w:pStyle w:val="14"/>
            </w:pPr>
            <w:r>
              <w:t>形成良好的社会文化氛围，减少淫秽盗版案件发生率。</w:t>
            </w:r>
          </w:p>
        </w:tc>
        <w:tc>
          <w:tcPr>
            <w:tcW w:w="2268" w:type="dxa"/>
            <w:vAlign w:val="center"/>
          </w:tcPr>
          <w:p>
            <w:pPr>
              <w:pStyle w:val="14"/>
            </w:pPr>
            <w:r>
              <w:t>效果显著</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发挥财政资金使用效益</w:t>
            </w:r>
          </w:p>
        </w:tc>
        <w:tc>
          <w:tcPr>
            <w:tcW w:w="5386" w:type="dxa"/>
            <w:vAlign w:val="center"/>
          </w:tcPr>
          <w:p>
            <w:pPr>
              <w:pStyle w:val="14"/>
            </w:pPr>
            <w:r>
              <w:t>压缩开支、厉行节约</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群众满意率</w:t>
            </w:r>
          </w:p>
        </w:tc>
        <w:tc>
          <w:tcPr>
            <w:tcW w:w="5386" w:type="dxa"/>
            <w:vAlign w:val="center"/>
          </w:tcPr>
          <w:p>
            <w:pPr>
              <w:pStyle w:val="14"/>
            </w:pPr>
            <w:r>
              <w:t>群众满意率达95%以上</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15、文联绩效目标表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13060626P00002210348A</w:t>
            </w:r>
          </w:p>
        </w:tc>
        <w:tc>
          <w:tcPr>
            <w:tcW w:w="2835" w:type="dxa"/>
            <w:vAlign w:val="center"/>
          </w:tcPr>
          <w:p>
            <w:pPr>
              <w:pStyle w:val="12"/>
            </w:pPr>
            <w:r>
              <w:t>项目名称</w:t>
            </w:r>
          </w:p>
        </w:tc>
        <w:tc>
          <w:tcPr>
            <w:tcW w:w="6095" w:type="dxa"/>
            <w:gridSpan w:val="3"/>
            <w:vAlign w:val="center"/>
          </w:tcPr>
          <w:p>
            <w:pPr>
              <w:pStyle w:val="14"/>
            </w:pPr>
            <w:r>
              <w:t>文联</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保障单位正常运转，服务于单位全年目标任务。合理安排财政资金支出计划，遵循单位财务规章制度，监督各协会运转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1.目标内容1合理安排财政资金支出计划，遵循单位财务规章制度，监督各协会运转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w:t>
            </w:r>
          </w:p>
        </w:tc>
        <w:tc>
          <w:tcPr>
            <w:tcW w:w="2268" w:type="dxa"/>
            <w:vAlign w:val="center"/>
          </w:tcPr>
          <w:p>
            <w:pPr>
              <w:pStyle w:val="14"/>
            </w:pPr>
            <w:r>
              <w:t>≥8小时</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经费支出准确率</w:t>
            </w:r>
          </w:p>
        </w:tc>
        <w:tc>
          <w:tcPr>
            <w:tcW w:w="5386" w:type="dxa"/>
            <w:vAlign w:val="center"/>
          </w:tcPr>
          <w:p>
            <w:pPr>
              <w:pStyle w:val="14"/>
            </w:pPr>
            <w:r>
              <w:t>按财务规定准确支出</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经费支出及时率</w:t>
            </w:r>
          </w:p>
        </w:tc>
        <w:tc>
          <w:tcPr>
            <w:tcW w:w="5386" w:type="dxa"/>
            <w:vAlign w:val="center"/>
          </w:tcPr>
          <w:p>
            <w:pPr>
              <w:pStyle w:val="14"/>
            </w:pPr>
            <w:r>
              <w:t>按规定时间支出经费</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经费成本不超预算</w:t>
            </w:r>
          </w:p>
        </w:tc>
        <w:tc>
          <w:tcPr>
            <w:tcW w:w="2268" w:type="dxa"/>
            <w:vAlign w:val="center"/>
          </w:tcPr>
          <w:p>
            <w:pPr>
              <w:pStyle w:val="14"/>
            </w:pPr>
            <w:r>
              <w:t>≤5万元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正常办公条件保障情况</w:t>
            </w:r>
          </w:p>
        </w:tc>
        <w:tc>
          <w:tcPr>
            <w:tcW w:w="5386" w:type="dxa"/>
            <w:vAlign w:val="center"/>
          </w:tcPr>
          <w:p>
            <w:pPr>
              <w:pStyle w:val="14"/>
            </w:pPr>
            <w:r>
              <w:t>保障正常办公条件，促进创城工作</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发挥财政资金使用效益</w:t>
            </w:r>
          </w:p>
        </w:tc>
        <w:tc>
          <w:tcPr>
            <w:tcW w:w="5386" w:type="dxa"/>
            <w:vAlign w:val="center"/>
          </w:tcPr>
          <w:p>
            <w:pPr>
              <w:pStyle w:val="14"/>
            </w:pPr>
            <w:r>
              <w:t>压缩开支、厉行节约</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响应节能减排号召</w:t>
            </w:r>
          </w:p>
        </w:tc>
        <w:tc>
          <w:tcPr>
            <w:tcW w:w="5386" w:type="dxa"/>
            <w:vAlign w:val="center"/>
          </w:tcPr>
          <w:p>
            <w:pPr>
              <w:pStyle w:val="14"/>
            </w:pPr>
            <w:r>
              <w:t>使用节能减排产品</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机关工作人员满意度</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16、新闻媒体经费绩效目标表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13060626P00002210163D</w:t>
            </w:r>
          </w:p>
        </w:tc>
        <w:tc>
          <w:tcPr>
            <w:tcW w:w="2835" w:type="dxa"/>
            <w:vAlign w:val="center"/>
          </w:tcPr>
          <w:p>
            <w:pPr>
              <w:pStyle w:val="12"/>
            </w:pPr>
            <w:r>
              <w:t>项目名称</w:t>
            </w:r>
          </w:p>
        </w:tc>
        <w:tc>
          <w:tcPr>
            <w:tcW w:w="6095" w:type="dxa"/>
            <w:gridSpan w:val="3"/>
            <w:vAlign w:val="center"/>
          </w:tcPr>
          <w:p>
            <w:pPr>
              <w:pStyle w:val="14"/>
            </w:pPr>
            <w:r>
              <w:t>新闻媒体经费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90.00</w:t>
            </w:r>
          </w:p>
        </w:tc>
        <w:tc>
          <w:tcPr>
            <w:tcW w:w="2835" w:type="dxa"/>
            <w:vAlign w:val="center"/>
          </w:tcPr>
          <w:p>
            <w:pPr>
              <w:pStyle w:val="12"/>
            </w:pPr>
            <w:r>
              <w:t>其中：财政    资金</w:t>
            </w:r>
          </w:p>
        </w:tc>
        <w:tc>
          <w:tcPr>
            <w:tcW w:w="2551" w:type="dxa"/>
            <w:vAlign w:val="center"/>
          </w:tcPr>
          <w:p>
            <w:pPr>
              <w:pStyle w:val="14"/>
            </w:pPr>
            <w:r>
              <w:t>90.00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支付合作经费，提升传播能力，为经济社会发展提供舆论支持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1.目标内容1支付合作经费，提升传播能力，为经济社会发展提供舆论支持</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保障单位相关工资运行时间</w:t>
            </w:r>
          </w:p>
        </w:tc>
        <w:tc>
          <w:tcPr>
            <w:tcW w:w="5386" w:type="dxa"/>
            <w:vAlign w:val="center"/>
          </w:tcPr>
          <w:p>
            <w:pPr>
              <w:pStyle w:val="14"/>
            </w:pPr>
            <w:r>
              <w:t>保障单位相关工资运行时间</w:t>
            </w:r>
          </w:p>
        </w:tc>
        <w:tc>
          <w:tcPr>
            <w:tcW w:w="2268" w:type="dxa"/>
            <w:vAlign w:val="center"/>
          </w:tcPr>
          <w:p>
            <w:pPr>
              <w:pStyle w:val="14"/>
            </w:pPr>
            <w:r>
              <w:t>≥8小时</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业务经费支出准确率</w:t>
            </w:r>
          </w:p>
        </w:tc>
        <w:tc>
          <w:tcPr>
            <w:tcW w:w="5386" w:type="dxa"/>
            <w:vAlign w:val="center"/>
          </w:tcPr>
          <w:p>
            <w:pPr>
              <w:pStyle w:val="14"/>
            </w:pPr>
            <w:r>
              <w:t>资金支出准确情况</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办公经费支出及时率</w:t>
            </w:r>
          </w:p>
        </w:tc>
        <w:tc>
          <w:tcPr>
            <w:tcW w:w="5386" w:type="dxa"/>
            <w:vAlign w:val="center"/>
          </w:tcPr>
          <w:p>
            <w:pPr>
              <w:pStyle w:val="14"/>
            </w:pPr>
            <w:r>
              <w:t>按规定时间支出</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成本支出金额</w:t>
            </w:r>
          </w:p>
        </w:tc>
        <w:tc>
          <w:tcPr>
            <w:tcW w:w="5386" w:type="dxa"/>
            <w:vAlign w:val="center"/>
          </w:tcPr>
          <w:p>
            <w:pPr>
              <w:pStyle w:val="14"/>
            </w:pPr>
            <w:r>
              <w:t>经费支出不超预算</w:t>
            </w:r>
          </w:p>
        </w:tc>
        <w:tc>
          <w:tcPr>
            <w:tcW w:w="2268" w:type="dxa"/>
            <w:vAlign w:val="center"/>
          </w:tcPr>
          <w:p>
            <w:pPr>
              <w:pStyle w:val="14"/>
            </w:pPr>
            <w:r>
              <w:t>≤90万元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政策知晓率提升率</w:t>
            </w:r>
          </w:p>
        </w:tc>
        <w:tc>
          <w:tcPr>
            <w:tcW w:w="5386" w:type="dxa"/>
            <w:vAlign w:val="center"/>
          </w:tcPr>
          <w:p>
            <w:pPr>
              <w:pStyle w:val="14"/>
            </w:pPr>
            <w:r>
              <w:t>通过新闻媒体，强化新闻舆论宣传、引导</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发挥财政资金使用效率</w:t>
            </w:r>
          </w:p>
        </w:tc>
        <w:tc>
          <w:tcPr>
            <w:tcW w:w="5386" w:type="dxa"/>
            <w:vAlign w:val="center"/>
          </w:tcPr>
          <w:p>
            <w:pPr>
              <w:pStyle w:val="14"/>
            </w:pPr>
            <w:r>
              <w:t>通过宣传助力社会经济发展</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保障综合业务工作可持续性</w:t>
            </w:r>
          </w:p>
        </w:tc>
        <w:tc>
          <w:tcPr>
            <w:tcW w:w="5386" w:type="dxa"/>
            <w:vAlign w:val="center"/>
          </w:tcPr>
          <w:p>
            <w:pPr>
              <w:pStyle w:val="14"/>
            </w:pPr>
            <w:r>
              <w:t>持续提升传播能力，为经济社会发展提供舆论支持</w:t>
            </w:r>
          </w:p>
        </w:tc>
        <w:tc>
          <w:tcPr>
            <w:tcW w:w="2268" w:type="dxa"/>
            <w:vAlign w:val="center"/>
          </w:tcPr>
          <w:p>
            <w:pPr>
              <w:pStyle w:val="14"/>
            </w:pPr>
            <w:r>
              <w:t>持续保障95持续保障</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17、正版软件绩效目标表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13060626P000022103534</w:t>
            </w:r>
          </w:p>
        </w:tc>
        <w:tc>
          <w:tcPr>
            <w:tcW w:w="2835" w:type="dxa"/>
            <w:vAlign w:val="center"/>
          </w:tcPr>
          <w:p>
            <w:pPr>
              <w:pStyle w:val="12"/>
            </w:pPr>
            <w:r>
              <w:t>项目名称</w:t>
            </w:r>
          </w:p>
        </w:tc>
        <w:tc>
          <w:tcPr>
            <w:tcW w:w="6095" w:type="dxa"/>
            <w:gridSpan w:val="3"/>
            <w:vAlign w:val="center"/>
          </w:tcPr>
          <w:p>
            <w:pPr>
              <w:pStyle w:val="14"/>
            </w:pPr>
            <w:r>
              <w:t>正版软件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26.00</w:t>
            </w:r>
          </w:p>
        </w:tc>
        <w:tc>
          <w:tcPr>
            <w:tcW w:w="2835" w:type="dxa"/>
            <w:vAlign w:val="center"/>
          </w:tcPr>
          <w:p>
            <w:pPr>
              <w:pStyle w:val="12"/>
            </w:pPr>
            <w:r>
              <w:t>其中：财政    资金</w:t>
            </w:r>
          </w:p>
        </w:tc>
        <w:tc>
          <w:tcPr>
            <w:tcW w:w="2551" w:type="dxa"/>
            <w:vAlign w:val="center"/>
          </w:tcPr>
          <w:p>
            <w:pPr>
              <w:pStyle w:val="14"/>
            </w:pPr>
            <w:r>
              <w:t>26.00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根据单位实际情况，更换至少140套正版软件，保障单位电脑正常、安全使用，提升正版软件普及率。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1.目标内容1保障单位电脑正常、安全使用，提升正版软件普及率。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更换正版软件数量</w:t>
            </w:r>
          </w:p>
        </w:tc>
        <w:tc>
          <w:tcPr>
            <w:tcW w:w="5386" w:type="dxa"/>
            <w:vAlign w:val="center"/>
          </w:tcPr>
          <w:p>
            <w:pPr>
              <w:pStyle w:val="14"/>
            </w:pPr>
            <w:r>
              <w:t>根据单位实际情况，更换至少140套正版软件</w:t>
            </w:r>
          </w:p>
        </w:tc>
        <w:tc>
          <w:tcPr>
            <w:tcW w:w="2268" w:type="dxa"/>
            <w:vAlign w:val="center"/>
          </w:tcPr>
          <w:p>
            <w:pPr>
              <w:pStyle w:val="14"/>
            </w:pPr>
            <w:r>
              <w:t>≧140套</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软件正版率</w:t>
            </w:r>
          </w:p>
        </w:tc>
        <w:tc>
          <w:tcPr>
            <w:tcW w:w="5386" w:type="dxa"/>
            <w:vAlign w:val="center"/>
          </w:tcPr>
          <w:p>
            <w:pPr>
              <w:pStyle w:val="14"/>
            </w:pPr>
            <w:r>
              <w:t>购置并更换的软件全部为正版</w:t>
            </w:r>
          </w:p>
        </w:tc>
        <w:tc>
          <w:tcPr>
            <w:tcW w:w="2268" w:type="dxa"/>
            <w:vAlign w:val="center"/>
          </w:tcPr>
          <w:p>
            <w:pPr>
              <w:pStyle w:val="14"/>
            </w:pPr>
            <w:r>
              <w:t>100百分比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更换工作及时率</w:t>
            </w:r>
          </w:p>
        </w:tc>
        <w:tc>
          <w:tcPr>
            <w:tcW w:w="5386" w:type="dxa"/>
            <w:vAlign w:val="center"/>
          </w:tcPr>
          <w:p>
            <w:pPr>
              <w:pStyle w:val="14"/>
            </w:pPr>
            <w:r>
              <w:t>在规定时间内更换正版软件</w:t>
            </w:r>
          </w:p>
        </w:tc>
        <w:tc>
          <w:tcPr>
            <w:tcW w:w="2268" w:type="dxa"/>
            <w:vAlign w:val="center"/>
          </w:tcPr>
          <w:p>
            <w:pPr>
              <w:pStyle w:val="14"/>
            </w:pPr>
            <w:r>
              <w:t>100百分比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≦26万元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正常办公条件保障情况</w:t>
            </w:r>
          </w:p>
        </w:tc>
        <w:tc>
          <w:tcPr>
            <w:tcW w:w="5386" w:type="dxa"/>
            <w:vAlign w:val="center"/>
          </w:tcPr>
          <w:p>
            <w:pPr>
              <w:pStyle w:val="14"/>
            </w:pPr>
            <w:r>
              <w:t>提升正版软件普及率，保障单位电脑正常、安全使用</w:t>
            </w:r>
          </w:p>
        </w:tc>
        <w:tc>
          <w:tcPr>
            <w:tcW w:w="2268" w:type="dxa"/>
            <w:vAlign w:val="center"/>
          </w:tcPr>
          <w:p>
            <w:pPr>
              <w:pStyle w:val="14"/>
            </w:pPr>
            <w:r>
              <w:t>≧95百分比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提高财政资金使用率</w:t>
            </w:r>
          </w:p>
        </w:tc>
        <w:tc>
          <w:tcPr>
            <w:tcW w:w="5386" w:type="dxa"/>
            <w:vAlign w:val="center"/>
          </w:tcPr>
          <w:p>
            <w:pPr>
              <w:pStyle w:val="14"/>
            </w:pPr>
            <w:r>
              <w:t>提高财政资金使用率，杜绝浪费、挪用</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形成支持正版社会氛围</w:t>
            </w:r>
          </w:p>
        </w:tc>
        <w:tc>
          <w:tcPr>
            <w:tcW w:w="5386" w:type="dxa"/>
            <w:vAlign w:val="center"/>
          </w:tcPr>
          <w:p>
            <w:pPr>
              <w:pStyle w:val="14"/>
            </w:pPr>
            <w:r>
              <w:t>形成支持正版社会氛围</w:t>
            </w:r>
          </w:p>
        </w:tc>
        <w:tc>
          <w:tcPr>
            <w:tcW w:w="2268" w:type="dxa"/>
            <w:vAlign w:val="center"/>
          </w:tcPr>
          <w:p>
            <w:pPr>
              <w:pStyle w:val="14"/>
            </w:pPr>
            <w:r>
              <w:t>≧95百分比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机关工作人员满意度</w:t>
            </w:r>
          </w:p>
        </w:tc>
        <w:tc>
          <w:tcPr>
            <w:tcW w:w="5386" w:type="dxa"/>
            <w:vAlign w:val="center"/>
          </w:tcPr>
          <w:p>
            <w:pPr>
              <w:pStyle w:val="14"/>
            </w:pPr>
            <w:r>
              <w:t>满意率达95%以上</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18、中央支持地方公共文化服务体系建设补助资金绩效目标表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13060625P00002010900U</w:t>
            </w:r>
          </w:p>
        </w:tc>
        <w:tc>
          <w:tcPr>
            <w:tcW w:w="2835" w:type="dxa"/>
            <w:vAlign w:val="center"/>
          </w:tcPr>
          <w:p>
            <w:pPr>
              <w:pStyle w:val="12"/>
            </w:pPr>
            <w:r>
              <w:t>项目名称</w:t>
            </w:r>
          </w:p>
        </w:tc>
        <w:tc>
          <w:tcPr>
            <w:tcW w:w="6095" w:type="dxa"/>
            <w:gridSpan w:val="3"/>
            <w:vAlign w:val="center"/>
          </w:tcPr>
          <w:p>
            <w:pPr>
              <w:pStyle w:val="14"/>
            </w:pPr>
            <w:r>
              <w:t>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14.28</w:t>
            </w:r>
          </w:p>
        </w:tc>
        <w:tc>
          <w:tcPr>
            <w:tcW w:w="2835" w:type="dxa"/>
            <w:vAlign w:val="center"/>
          </w:tcPr>
          <w:p>
            <w:pPr>
              <w:pStyle w:val="12"/>
            </w:pPr>
            <w:r>
              <w:t>其中：财政    资金</w:t>
            </w:r>
          </w:p>
        </w:tc>
        <w:tc>
          <w:tcPr>
            <w:tcW w:w="2551" w:type="dxa"/>
            <w:vAlign w:val="center"/>
          </w:tcPr>
          <w:p>
            <w:pPr>
              <w:pStyle w:val="14"/>
            </w:pPr>
            <w:r>
              <w:t>14.28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为辖区农村群众定期播放电影、购置书籍，丰富农村群众文化生活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1.为辖区农村群众定期播放电影、购置书籍，丰富农村群众文化生活</w:t>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电影播放场次</w:t>
            </w:r>
          </w:p>
        </w:tc>
        <w:tc>
          <w:tcPr>
            <w:tcW w:w="5386" w:type="dxa"/>
            <w:vAlign w:val="center"/>
          </w:tcPr>
          <w:p>
            <w:pPr>
              <w:pStyle w:val="14"/>
            </w:pPr>
            <w:r>
              <w:t>每村每月1场</w:t>
            </w:r>
          </w:p>
        </w:tc>
        <w:tc>
          <w:tcPr>
            <w:tcW w:w="2268" w:type="dxa"/>
            <w:vAlign w:val="center"/>
          </w:tcPr>
          <w:p>
            <w:pPr>
              <w:pStyle w:val="14"/>
            </w:pPr>
            <w:r>
              <w:t>≥1场</w:t>
            </w:r>
          </w:p>
        </w:tc>
        <w:tc>
          <w:tcPr>
            <w:tcW w:w="1276" w:type="dxa"/>
            <w:vAlign w:val="center"/>
          </w:tcPr>
          <w:p>
            <w:pPr>
              <w:pStyle w:val="14"/>
            </w:pPr>
            <w:r>
              <w:t>年初工作计划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购置书籍合格率</w:t>
            </w:r>
          </w:p>
        </w:tc>
        <w:tc>
          <w:tcPr>
            <w:tcW w:w="5386" w:type="dxa"/>
            <w:vAlign w:val="center"/>
          </w:tcPr>
          <w:p>
            <w:pPr>
              <w:pStyle w:val="14"/>
            </w:pPr>
            <w:r>
              <w:t>购置的目录书籍不低于70%</w:t>
            </w:r>
          </w:p>
        </w:tc>
        <w:tc>
          <w:tcPr>
            <w:tcW w:w="2268" w:type="dxa"/>
            <w:vAlign w:val="center"/>
          </w:tcPr>
          <w:p>
            <w:pPr>
              <w:pStyle w:val="14"/>
            </w:pPr>
            <w:r>
              <w:t>≥70百分比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放映任务完成及时率</w:t>
            </w:r>
          </w:p>
        </w:tc>
        <w:tc>
          <w:tcPr>
            <w:tcW w:w="5386" w:type="dxa"/>
            <w:vAlign w:val="center"/>
          </w:tcPr>
          <w:p>
            <w:pPr>
              <w:pStyle w:val="14"/>
            </w:pPr>
            <w:r>
              <w:t>每月及时放映</w:t>
            </w:r>
          </w:p>
        </w:tc>
        <w:tc>
          <w:tcPr>
            <w:tcW w:w="2268" w:type="dxa"/>
            <w:vAlign w:val="center"/>
          </w:tcPr>
          <w:p>
            <w:pPr>
              <w:pStyle w:val="14"/>
            </w:pPr>
            <w:r>
              <w:t>≥100百分比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不超预算</w:t>
            </w:r>
          </w:p>
        </w:tc>
        <w:tc>
          <w:tcPr>
            <w:tcW w:w="2268" w:type="dxa"/>
            <w:vAlign w:val="center"/>
          </w:tcPr>
          <w:p>
            <w:pPr>
              <w:pStyle w:val="14"/>
            </w:pPr>
            <w:r>
              <w:t>≤26.28万元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丰富农村群众文化生活</w:t>
            </w:r>
          </w:p>
        </w:tc>
        <w:tc>
          <w:tcPr>
            <w:tcW w:w="5386" w:type="dxa"/>
            <w:vAlign w:val="center"/>
          </w:tcPr>
          <w:p>
            <w:pPr>
              <w:pStyle w:val="14"/>
            </w:pPr>
            <w:r>
              <w:t>丰富农村群众文化生活</w:t>
            </w:r>
          </w:p>
        </w:tc>
        <w:tc>
          <w:tcPr>
            <w:tcW w:w="2268" w:type="dxa"/>
            <w:vAlign w:val="center"/>
          </w:tcPr>
          <w:p>
            <w:pPr>
              <w:pStyle w:val="14"/>
            </w:pPr>
            <w:r>
              <w:t>≥95百分比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促进农村文化事业发展</w:t>
            </w:r>
          </w:p>
        </w:tc>
        <w:tc>
          <w:tcPr>
            <w:tcW w:w="5386" w:type="dxa"/>
            <w:vAlign w:val="center"/>
          </w:tcPr>
          <w:p>
            <w:pPr>
              <w:pStyle w:val="14"/>
            </w:pPr>
            <w:r>
              <w:t>促进农村文化事业发展</w:t>
            </w:r>
          </w:p>
        </w:tc>
        <w:tc>
          <w:tcPr>
            <w:tcW w:w="2268" w:type="dxa"/>
            <w:vAlign w:val="center"/>
          </w:tcPr>
          <w:p>
            <w:pPr>
              <w:pStyle w:val="14"/>
            </w:pPr>
            <w:r>
              <w:t>≥95百分比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19、综合业务费绩效目标表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13060626P000022101597</w:t>
            </w:r>
          </w:p>
        </w:tc>
        <w:tc>
          <w:tcPr>
            <w:tcW w:w="2835" w:type="dxa"/>
            <w:vAlign w:val="center"/>
          </w:tcPr>
          <w:p>
            <w:pPr>
              <w:pStyle w:val="12"/>
            </w:pPr>
            <w:r>
              <w:t>项目名称</w:t>
            </w:r>
          </w:p>
        </w:tc>
        <w:tc>
          <w:tcPr>
            <w:tcW w:w="6095" w:type="dxa"/>
            <w:gridSpan w:val="3"/>
            <w:vAlign w:val="center"/>
          </w:tcPr>
          <w:p>
            <w:pPr>
              <w:pStyle w:val="14"/>
            </w:pPr>
            <w:r>
              <w:t>综合业务费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合理安排财政资金支出计划，遵循单位财务规章制度，保障单位正常运转，服务于单位全年目标任务。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1.目标内容1合理安排财政资金支出计划，遵循单位财务规章制度，保障单位正常运转，服务于单位全年目标任务。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工作日保障单位运转情况</w:t>
            </w:r>
          </w:p>
        </w:tc>
        <w:tc>
          <w:tcPr>
            <w:tcW w:w="2268" w:type="dxa"/>
            <w:vAlign w:val="center"/>
          </w:tcPr>
          <w:p>
            <w:pPr>
              <w:pStyle w:val="14"/>
            </w:pPr>
            <w:r>
              <w:t>≥8小时</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业务经费支出准确率</w:t>
            </w:r>
          </w:p>
        </w:tc>
        <w:tc>
          <w:tcPr>
            <w:tcW w:w="5386" w:type="dxa"/>
            <w:vAlign w:val="center"/>
          </w:tcPr>
          <w:p>
            <w:pPr>
              <w:pStyle w:val="14"/>
            </w:pPr>
            <w:r>
              <w:t>及时拨付情况</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办公经费支出及时率</w:t>
            </w:r>
          </w:p>
        </w:tc>
        <w:tc>
          <w:tcPr>
            <w:tcW w:w="5386" w:type="dxa"/>
            <w:vAlign w:val="center"/>
          </w:tcPr>
          <w:p>
            <w:pPr>
              <w:pStyle w:val="14"/>
            </w:pPr>
            <w:r>
              <w:t>办公经费支出及时情况</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成本支出金额</w:t>
            </w:r>
          </w:p>
        </w:tc>
        <w:tc>
          <w:tcPr>
            <w:tcW w:w="5386" w:type="dxa"/>
            <w:vAlign w:val="center"/>
          </w:tcPr>
          <w:p>
            <w:pPr>
              <w:pStyle w:val="14"/>
            </w:pPr>
            <w:r>
              <w:t>总预算执行情况</w:t>
            </w:r>
          </w:p>
        </w:tc>
        <w:tc>
          <w:tcPr>
            <w:tcW w:w="2268" w:type="dxa"/>
            <w:vAlign w:val="center"/>
          </w:tcPr>
          <w:p>
            <w:pPr>
              <w:pStyle w:val="14"/>
            </w:pPr>
            <w:r>
              <w:t>≤70万元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提高履职尽责服务效率</w:t>
            </w:r>
          </w:p>
        </w:tc>
        <w:tc>
          <w:tcPr>
            <w:tcW w:w="5386" w:type="dxa"/>
            <w:vAlign w:val="center"/>
          </w:tcPr>
          <w:p>
            <w:pPr>
              <w:pStyle w:val="14"/>
            </w:pPr>
            <w:r>
              <w:t>提高履职尽责服务效率</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发挥财政资金使用效率</w:t>
            </w:r>
          </w:p>
        </w:tc>
        <w:tc>
          <w:tcPr>
            <w:tcW w:w="5386" w:type="dxa"/>
            <w:vAlign w:val="center"/>
          </w:tcPr>
          <w:p>
            <w:pPr>
              <w:pStyle w:val="14"/>
            </w:pPr>
            <w:r>
              <w:t>提高财政资金使用效益，杜绝浪费、挪用</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机关工作人员满意率</w:t>
            </w:r>
          </w:p>
        </w:tc>
        <w:tc>
          <w:tcPr>
            <w:tcW w:w="5386" w:type="dxa"/>
            <w:vAlign w:val="center"/>
          </w:tcPr>
          <w:p>
            <w:pPr>
              <w:pStyle w:val="14"/>
            </w:pPr>
            <w:r>
              <w:t>支出是否达到工作人员满意</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211中共莲池区委宣传部</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tc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s="Times New Roman"/>
          <w:color w:val="000000"/>
          <w:sz w:val="28"/>
        </w:rPr>
        <w:t>中共莲池区委宣传部（含所属单位）上年末资产</w:t>
      </w:r>
      <w:r>
        <w:rPr>
          <w:rFonts w:hint="eastAsia" w:eastAsia="方正仿宋_GBK" w:cs="Times New Roman"/>
          <w:color w:val="000000"/>
          <w:sz w:val="28"/>
          <w:lang w:eastAsia="zh-CN"/>
        </w:rPr>
        <w:t>总</w:t>
      </w:r>
      <w:r>
        <w:rPr>
          <w:rFonts w:eastAsia="方正仿宋_GBK" w:cs="Times New Roman"/>
          <w:color w:val="000000"/>
          <w:sz w:val="28"/>
        </w:rPr>
        <w:t>额为</w:t>
      </w:r>
      <w:r>
        <w:rPr>
          <w:rFonts w:hint="eastAsia" w:eastAsia="方正仿宋_GBK" w:cs="Times New Roman"/>
          <w:color w:val="000000"/>
          <w:sz w:val="28"/>
          <w:lang w:eastAsia="zh-CN"/>
        </w:rPr>
        <w:t>99.89</w:t>
      </w:r>
      <w:r>
        <w:rPr>
          <w:rFonts w:eastAsia="方正仿宋_GBK" w:cs="Times New Roman"/>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211中共莲池区委宣传部</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资产总额</w:t>
            </w:r>
          </w:p>
        </w:tc>
        <w:tc>
          <w:tcPr>
            <w:tcW w:w="2835" w:type="dxa"/>
            <w:shd w:val="clear" w:color="auto" w:fill="auto"/>
            <w:vAlign w:val="center"/>
          </w:tcPr>
          <w:p>
            <w:pPr>
              <w:pStyle w:val="14"/>
              <w:jc w:val="center"/>
              <w:rPr>
                <w:lang w:eastAsia="zh-CN"/>
              </w:rPr>
            </w:pPr>
            <w:r>
              <w:rPr>
                <w:rFonts w:hint="eastAsia"/>
                <w:lang w:eastAsia="zh-CN"/>
              </w:rPr>
              <w:t>682</w:t>
            </w:r>
          </w:p>
        </w:tc>
        <w:tc>
          <w:tcPr>
            <w:tcW w:w="2835" w:type="dxa"/>
            <w:shd w:val="clear" w:color="auto" w:fill="auto"/>
            <w:vAlign w:val="center"/>
          </w:tcPr>
          <w:p>
            <w:pPr>
              <w:pStyle w:val="14"/>
              <w:jc w:val="center"/>
              <w:rPr>
                <w:lang w:eastAsia="zh-CN"/>
              </w:rPr>
            </w:pPr>
            <w:r>
              <w:rPr>
                <w:rFonts w:hint="eastAsia"/>
                <w:lang w:eastAsia="zh-CN"/>
              </w:rPr>
              <w:t>99.89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1、房屋（平方米）</w:t>
            </w:r>
          </w:p>
        </w:tc>
        <w:tc>
          <w:tcPr>
            <w:tcW w:w="2835" w:type="dxa"/>
            <w:shd w:val="clear" w:color="auto" w:fill="auto"/>
            <w:vAlign w:val="center"/>
          </w:tcPr>
          <w:p>
            <w:pPr>
              <w:pStyle w:val="14"/>
              <w:jc w:val="center"/>
              <w:rPr>
                <w:lang w:eastAsia="zh-CN"/>
              </w:rPr>
            </w:pPr>
            <w:r>
              <w:rPr>
                <w:rFonts w:hint="eastAsia"/>
                <w:lang w:eastAsia="zh-CN"/>
              </w:rPr>
              <w:t>0</w:t>
            </w:r>
          </w:p>
        </w:tc>
        <w:tc>
          <w:tcPr>
            <w:tcW w:w="2835" w:type="dxa"/>
            <w:shd w:val="clear" w:color="auto" w:fill="auto"/>
            <w:vAlign w:val="center"/>
          </w:tcPr>
          <w:p>
            <w:pPr>
              <w:pStyle w:val="14"/>
              <w:jc w:val="center"/>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其中：办公用房（平方米）</w:t>
            </w:r>
          </w:p>
        </w:tc>
        <w:tc>
          <w:tcPr>
            <w:tcW w:w="2835" w:type="dxa"/>
            <w:shd w:val="clear" w:color="auto" w:fill="auto"/>
            <w:vAlign w:val="center"/>
          </w:tcPr>
          <w:p>
            <w:pPr>
              <w:pStyle w:val="14"/>
              <w:jc w:val="center"/>
              <w:rPr>
                <w:lang w:eastAsia="zh-CN"/>
              </w:rPr>
            </w:pPr>
            <w:r>
              <w:rPr>
                <w:rFonts w:hint="eastAsia"/>
                <w:lang w:eastAsia="zh-CN"/>
              </w:rPr>
              <w:t>0</w:t>
            </w:r>
          </w:p>
        </w:tc>
        <w:tc>
          <w:tcPr>
            <w:tcW w:w="2835" w:type="dxa"/>
            <w:shd w:val="clear" w:color="auto" w:fill="auto"/>
            <w:vAlign w:val="center"/>
          </w:tcPr>
          <w:p>
            <w:pPr>
              <w:pStyle w:val="14"/>
              <w:jc w:val="center"/>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2、车辆（台、辆）</w:t>
            </w:r>
          </w:p>
        </w:tc>
        <w:tc>
          <w:tcPr>
            <w:tcW w:w="2835" w:type="dxa"/>
            <w:shd w:val="clear" w:color="auto" w:fill="auto"/>
            <w:vAlign w:val="center"/>
          </w:tcPr>
          <w:p>
            <w:pPr>
              <w:pStyle w:val="14"/>
              <w:jc w:val="center"/>
              <w:rPr>
                <w:lang w:eastAsia="zh-CN"/>
              </w:rPr>
            </w:pPr>
            <w:r>
              <w:rPr>
                <w:rFonts w:hint="eastAsia"/>
                <w:lang w:eastAsia="zh-CN"/>
              </w:rPr>
              <w:t>0</w:t>
            </w:r>
          </w:p>
        </w:tc>
        <w:tc>
          <w:tcPr>
            <w:tcW w:w="2835" w:type="dxa"/>
            <w:shd w:val="clear" w:color="auto" w:fill="auto"/>
            <w:vAlign w:val="center"/>
          </w:tcPr>
          <w:p>
            <w:pPr>
              <w:pStyle w:val="14"/>
              <w:jc w:val="center"/>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3、单价在50万元以上的设备(台、套)</w:t>
            </w:r>
          </w:p>
        </w:tc>
        <w:tc>
          <w:tcPr>
            <w:tcW w:w="2835" w:type="dxa"/>
            <w:shd w:val="clear" w:color="auto" w:fill="auto"/>
            <w:vAlign w:val="center"/>
          </w:tcPr>
          <w:p>
            <w:pPr>
              <w:pStyle w:val="14"/>
              <w:jc w:val="center"/>
              <w:rPr>
                <w:lang w:eastAsia="zh-CN"/>
              </w:rPr>
            </w:pPr>
            <w:r>
              <w:rPr>
                <w:rFonts w:hint="eastAsia"/>
                <w:lang w:eastAsia="zh-CN"/>
              </w:rPr>
              <w:t>0</w:t>
            </w:r>
          </w:p>
        </w:tc>
        <w:tc>
          <w:tcPr>
            <w:tcW w:w="2835" w:type="dxa"/>
            <w:shd w:val="clear" w:color="auto" w:fill="auto"/>
            <w:vAlign w:val="center"/>
          </w:tcPr>
          <w:p>
            <w:pPr>
              <w:pStyle w:val="14"/>
              <w:jc w:val="center"/>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其中：单价50万元（含）以上的通用设备</w:t>
            </w:r>
          </w:p>
        </w:tc>
        <w:tc>
          <w:tcPr>
            <w:tcW w:w="2835" w:type="dxa"/>
            <w:shd w:val="clear" w:color="auto" w:fill="auto"/>
            <w:vAlign w:val="center"/>
          </w:tcPr>
          <w:p>
            <w:pPr>
              <w:pStyle w:val="14"/>
              <w:jc w:val="center"/>
              <w:rPr>
                <w:lang w:eastAsia="zh-CN"/>
              </w:rPr>
            </w:pPr>
            <w:r>
              <w:rPr>
                <w:rFonts w:hint="eastAsia"/>
                <w:lang w:eastAsia="zh-CN"/>
              </w:rPr>
              <w:t>0</w:t>
            </w:r>
          </w:p>
        </w:tc>
        <w:tc>
          <w:tcPr>
            <w:tcW w:w="2835" w:type="dxa"/>
            <w:shd w:val="clear" w:color="auto" w:fill="auto"/>
            <w:vAlign w:val="center"/>
          </w:tcPr>
          <w:p>
            <w:pPr>
              <w:pStyle w:val="14"/>
              <w:jc w:val="center"/>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lang w:eastAsia="zh-CN"/>
              </w:rPr>
              <w:t>单价100万元（含）以上的通专用设备</w:t>
            </w:r>
          </w:p>
        </w:tc>
        <w:tc>
          <w:tcPr>
            <w:tcW w:w="2835" w:type="dxa"/>
            <w:shd w:val="clear" w:color="auto" w:fill="auto"/>
            <w:vAlign w:val="center"/>
          </w:tcPr>
          <w:p>
            <w:pPr>
              <w:pStyle w:val="14"/>
              <w:jc w:val="center"/>
              <w:rPr>
                <w:lang w:eastAsia="zh-CN"/>
              </w:rPr>
            </w:pPr>
            <w:r>
              <w:rPr>
                <w:rFonts w:hint="eastAsia"/>
                <w:lang w:eastAsia="zh-CN"/>
              </w:rPr>
              <w:t>0</w:t>
            </w:r>
          </w:p>
        </w:tc>
        <w:tc>
          <w:tcPr>
            <w:tcW w:w="2835" w:type="dxa"/>
            <w:shd w:val="clear" w:color="auto" w:fill="auto"/>
            <w:vAlign w:val="center"/>
          </w:tcPr>
          <w:p>
            <w:pPr>
              <w:pStyle w:val="14"/>
              <w:jc w:val="center"/>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4、其他固定资产</w:t>
            </w:r>
          </w:p>
        </w:tc>
        <w:tc>
          <w:tcPr>
            <w:tcW w:w="2835" w:type="dxa"/>
            <w:shd w:val="clear" w:color="auto" w:fill="auto"/>
            <w:vAlign w:val="center"/>
          </w:tcPr>
          <w:p>
            <w:pPr>
              <w:pStyle w:val="14"/>
              <w:jc w:val="center"/>
              <w:rPr>
                <w:lang w:eastAsia="zh-CN"/>
              </w:rPr>
            </w:pPr>
            <w:r>
              <w:rPr>
                <w:rFonts w:hint="eastAsia"/>
                <w:lang w:eastAsia="zh-CN"/>
              </w:rPr>
              <w:t>658</w:t>
            </w:r>
          </w:p>
        </w:tc>
        <w:tc>
          <w:tcPr>
            <w:tcW w:w="2835" w:type="dxa"/>
            <w:shd w:val="clear" w:color="auto" w:fill="auto"/>
            <w:vAlign w:val="center"/>
          </w:tcPr>
          <w:p>
            <w:pPr>
              <w:pStyle w:val="14"/>
              <w:jc w:val="center"/>
              <w:rPr>
                <w:lang w:eastAsia="zh-CN"/>
              </w:rPr>
            </w:pPr>
            <w:r>
              <w:rPr>
                <w:rFonts w:hint="eastAsia"/>
                <w:lang w:eastAsia="zh-CN"/>
              </w:rPr>
              <w:t>42.86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5、无形资产</w:t>
            </w:r>
          </w:p>
        </w:tc>
        <w:tc>
          <w:tcPr>
            <w:tcW w:w="2835" w:type="dxa"/>
            <w:shd w:val="clear" w:color="auto" w:fill="auto"/>
            <w:vAlign w:val="center"/>
          </w:tcPr>
          <w:p>
            <w:pPr>
              <w:pStyle w:val="14"/>
              <w:jc w:val="center"/>
              <w:rPr>
                <w:lang w:eastAsia="zh-CN"/>
              </w:rPr>
            </w:pPr>
            <w:r>
              <w:rPr>
                <w:rFonts w:hint="eastAsia"/>
                <w:lang w:eastAsia="zh-CN"/>
              </w:rPr>
              <w:t xml:space="preserve">24 </w:t>
            </w:r>
          </w:p>
        </w:tc>
        <w:tc>
          <w:tcPr>
            <w:tcW w:w="2835" w:type="dxa"/>
            <w:shd w:val="clear" w:color="auto" w:fill="auto"/>
            <w:vAlign w:val="center"/>
          </w:tcPr>
          <w:p>
            <w:pPr>
              <w:pStyle w:val="14"/>
              <w:jc w:val="center"/>
              <w:rPr>
                <w:lang w:eastAsia="zh-CN"/>
              </w:rPr>
            </w:pPr>
            <w:r>
              <w:rPr>
                <w:rFonts w:hint="eastAsia"/>
                <w:lang w:eastAsia="zh-CN"/>
              </w:rPr>
              <w:t>57.03</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我部门无其他需要说明的事项。</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jc w:val="center"/>
        <w:outlineLvl w:val="3"/>
      </w:pPr>
      <w:bookmarkStart w:id="20" w:name="_Toc_4_4_0000000021"/>
      <w:r>
        <w:rPr>
          <w:rFonts w:ascii="方正小标宋_GBK" w:hAnsi="方正小标宋_GBK" w:eastAsia="方正小标宋_GBK" w:cs="方正小标宋_GBK"/>
          <w:color w:val="000000"/>
          <w:sz w:val="44"/>
        </w:rPr>
        <w:t>一、中共莲池区委宣传部本级收支预算</w:t>
      </w:r>
      <w:bookmarkEnd w:id="20"/>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211001中共莲池区委宣传部本级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845.69</w:t>
            </w:r>
          </w:p>
        </w:tc>
        <w:tc>
          <w:tcPr>
            <w:tcW w:w="4535" w:type="dxa"/>
            <w:vAlign w:val="center"/>
          </w:tcPr>
          <w:p>
            <w:pPr>
              <w:pStyle w:val="14"/>
            </w:pPr>
            <w:r>
              <w:t>一、一般公共服务支出</w:t>
            </w:r>
          </w:p>
        </w:tc>
        <w:tc>
          <w:tcPr>
            <w:tcW w:w="2126" w:type="dxa"/>
            <w:vAlign w:val="center"/>
          </w:tcPr>
          <w:p>
            <w:pPr>
              <w:pStyle w:val="13"/>
            </w:pPr>
            <w:r>
              <w:t>762.65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48.00</w:t>
            </w: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177.62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893.69</w:t>
            </w:r>
          </w:p>
        </w:tc>
        <w:tc>
          <w:tcPr>
            <w:tcW w:w="4535" w:type="dxa"/>
            <w:vAlign w:val="center"/>
          </w:tcPr>
          <w:p>
            <w:pPr>
              <w:pStyle w:val="16"/>
            </w:pPr>
            <w:r>
              <w:t>本年支出合计</w:t>
            </w:r>
          </w:p>
        </w:tc>
        <w:tc>
          <w:tcPr>
            <w:tcW w:w="2126" w:type="dxa"/>
            <w:vAlign w:val="center"/>
          </w:tcPr>
          <w:p>
            <w:pPr>
              <w:pStyle w:val="17"/>
            </w:pPr>
            <w:r>
              <w:t>940.27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46.58</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940.27</w:t>
            </w:r>
          </w:p>
        </w:tc>
        <w:tc>
          <w:tcPr>
            <w:tcW w:w="4535" w:type="dxa"/>
            <w:vAlign w:val="center"/>
          </w:tcPr>
          <w:p>
            <w:pPr>
              <w:pStyle w:val="16"/>
            </w:pPr>
            <w:r>
              <w:t>支出总计</w:t>
            </w:r>
          </w:p>
        </w:tc>
        <w:tc>
          <w:tcPr>
            <w:tcW w:w="2126" w:type="dxa"/>
            <w:vAlign w:val="center"/>
          </w:tcPr>
          <w:p>
            <w:pPr>
              <w:pStyle w:val="17"/>
            </w:pPr>
            <w:r>
              <w:t>940.27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211001中共莲池区委宣传部本级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940.27</w:t>
            </w:r>
          </w:p>
        </w:tc>
        <w:tc>
          <w:tcPr>
            <w:tcW w:w="1134" w:type="dxa"/>
            <w:vAlign w:val="center"/>
          </w:tcPr>
          <w:p>
            <w:pPr>
              <w:pStyle w:val="17"/>
            </w:pPr>
            <w:r>
              <w:t>893.69</w:t>
            </w:r>
          </w:p>
        </w:tc>
        <w:tc>
          <w:tcPr>
            <w:tcW w:w="1134" w:type="dxa"/>
            <w:vAlign w:val="center"/>
          </w:tcPr>
          <w:p>
            <w:pPr>
              <w:pStyle w:val="17"/>
            </w:pPr>
            <w:r>
              <w:t>893.69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46.58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762.65</w:t>
            </w:r>
          </w:p>
        </w:tc>
        <w:tc>
          <w:tcPr>
            <w:tcW w:w="1134" w:type="dxa"/>
            <w:vAlign w:val="center"/>
          </w:tcPr>
          <w:p>
            <w:pPr>
              <w:pStyle w:val="13"/>
            </w:pPr>
            <w:r>
              <w:t>762.65</w:t>
            </w:r>
          </w:p>
        </w:tc>
        <w:tc>
          <w:tcPr>
            <w:tcW w:w="1134" w:type="dxa"/>
            <w:vAlign w:val="center"/>
          </w:tcPr>
          <w:p>
            <w:pPr>
              <w:pStyle w:val="13"/>
            </w:pPr>
            <w:r>
              <w:t>762.65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20133</w:t>
            </w:r>
          </w:p>
        </w:tc>
        <w:tc>
          <w:tcPr>
            <w:tcW w:w="1559" w:type="dxa"/>
            <w:vAlign w:val="center"/>
          </w:tcPr>
          <w:p>
            <w:pPr>
              <w:pStyle w:val="14"/>
            </w:pPr>
            <w:r>
              <w:t>宣传事务</w:t>
            </w:r>
          </w:p>
        </w:tc>
        <w:tc>
          <w:tcPr>
            <w:tcW w:w="1134" w:type="dxa"/>
            <w:vAlign w:val="center"/>
          </w:tcPr>
          <w:p>
            <w:pPr>
              <w:pStyle w:val="13"/>
            </w:pPr>
            <w:r>
              <w:t>762.65</w:t>
            </w:r>
          </w:p>
        </w:tc>
        <w:tc>
          <w:tcPr>
            <w:tcW w:w="1134" w:type="dxa"/>
            <w:vAlign w:val="center"/>
          </w:tcPr>
          <w:p>
            <w:pPr>
              <w:pStyle w:val="13"/>
            </w:pPr>
            <w:r>
              <w:t>762.65</w:t>
            </w:r>
          </w:p>
        </w:tc>
        <w:tc>
          <w:tcPr>
            <w:tcW w:w="1134" w:type="dxa"/>
            <w:vAlign w:val="center"/>
          </w:tcPr>
          <w:p>
            <w:pPr>
              <w:pStyle w:val="13"/>
            </w:pPr>
            <w:r>
              <w:t>762.65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2013301</w:t>
            </w:r>
          </w:p>
        </w:tc>
        <w:tc>
          <w:tcPr>
            <w:tcW w:w="1559" w:type="dxa"/>
            <w:vAlign w:val="center"/>
          </w:tcPr>
          <w:p>
            <w:pPr>
              <w:pStyle w:val="14"/>
            </w:pPr>
            <w:r>
              <w:t>行政运行</w:t>
            </w:r>
          </w:p>
        </w:tc>
        <w:tc>
          <w:tcPr>
            <w:tcW w:w="1134" w:type="dxa"/>
            <w:vAlign w:val="center"/>
          </w:tcPr>
          <w:p>
            <w:pPr>
              <w:pStyle w:val="13"/>
            </w:pPr>
            <w:r>
              <w:t>535.05</w:t>
            </w:r>
          </w:p>
        </w:tc>
        <w:tc>
          <w:tcPr>
            <w:tcW w:w="1134" w:type="dxa"/>
            <w:vAlign w:val="center"/>
          </w:tcPr>
          <w:p>
            <w:pPr>
              <w:pStyle w:val="13"/>
            </w:pPr>
            <w:r>
              <w:t>535.05</w:t>
            </w:r>
          </w:p>
        </w:tc>
        <w:tc>
          <w:tcPr>
            <w:tcW w:w="1134" w:type="dxa"/>
            <w:vAlign w:val="center"/>
          </w:tcPr>
          <w:p>
            <w:pPr>
              <w:pStyle w:val="13"/>
            </w:pPr>
            <w:r>
              <w:t>535.05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2013302</w:t>
            </w:r>
          </w:p>
        </w:tc>
        <w:tc>
          <w:tcPr>
            <w:tcW w:w="1559" w:type="dxa"/>
            <w:vAlign w:val="center"/>
          </w:tcPr>
          <w:p>
            <w:pPr>
              <w:pStyle w:val="14"/>
            </w:pPr>
            <w:r>
              <w:t>一般行政管理事务</w:t>
            </w:r>
          </w:p>
        </w:tc>
        <w:tc>
          <w:tcPr>
            <w:tcW w:w="1134" w:type="dxa"/>
            <w:vAlign w:val="center"/>
          </w:tcPr>
          <w:p>
            <w:pPr>
              <w:pStyle w:val="13"/>
            </w:pPr>
            <w:r>
              <w:t>227.60</w:t>
            </w:r>
          </w:p>
        </w:tc>
        <w:tc>
          <w:tcPr>
            <w:tcW w:w="1134" w:type="dxa"/>
            <w:vAlign w:val="center"/>
          </w:tcPr>
          <w:p>
            <w:pPr>
              <w:pStyle w:val="13"/>
            </w:pPr>
            <w:r>
              <w:t>227.60</w:t>
            </w:r>
          </w:p>
        </w:tc>
        <w:tc>
          <w:tcPr>
            <w:tcW w:w="1134" w:type="dxa"/>
            <w:vAlign w:val="center"/>
          </w:tcPr>
          <w:p>
            <w:pPr>
              <w:pStyle w:val="13"/>
            </w:pPr>
            <w:r>
              <w:t>227.60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177.62</w:t>
            </w:r>
          </w:p>
        </w:tc>
        <w:tc>
          <w:tcPr>
            <w:tcW w:w="1134" w:type="dxa"/>
            <w:vAlign w:val="center"/>
          </w:tcPr>
          <w:p>
            <w:pPr>
              <w:pStyle w:val="13"/>
            </w:pPr>
            <w:r>
              <w:t>131.04</w:t>
            </w:r>
          </w:p>
        </w:tc>
        <w:tc>
          <w:tcPr>
            <w:tcW w:w="1134" w:type="dxa"/>
            <w:vAlign w:val="center"/>
          </w:tcPr>
          <w:p>
            <w:pPr>
              <w:pStyle w:val="13"/>
            </w:pPr>
            <w:r>
              <w:t>131.04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20706</w:t>
            </w:r>
          </w:p>
        </w:tc>
        <w:tc>
          <w:tcPr>
            <w:tcW w:w="1559" w:type="dxa"/>
            <w:vAlign w:val="center"/>
          </w:tcPr>
          <w:p>
            <w:pPr>
              <w:pStyle w:val="14"/>
            </w:pPr>
            <w:r>
              <w:t>新闻出版电影</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2070606</w:t>
            </w:r>
          </w:p>
        </w:tc>
        <w:tc>
          <w:tcPr>
            <w:tcW w:w="1559" w:type="dxa"/>
            <w:vAlign w:val="center"/>
          </w:tcPr>
          <w:p>
            <w:pPr>
              <w:pStyle w:val="14"/>
            </w:pPr>
            <w:r>
              <w:t>版权管理</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20707</w:t>
            </w:r>
          </w:p>
        </w:tc>
        <w:tc>
          <w:tcPr>
            <w:tcW w:w="1559" w:type="dxa"/>
            <w:vAlign w:val="center"/>
          </w:tcPr>
          <w:p>
            <w:pPr>
              <w:pStyle w:val="14"/>
            </w:pPr>
            <w:r>
              <w:t>国家电影事业发展专项资金安排的支出</w:t>
            </w:r>
          </w:p>
        </w:tc>
        <w:tc>
          <w:tcPr>
            <w:tcW w:w="1134" w:type="dxa"/>
            <w:vAlign w:val="center"/>
          </w:tcPr>
          <w:p>
            <w:pPr>
              <w:pStyle w:val="13"/>
            </w:pPr>
            <w:r>
              <w:t>60.00</w:t>
            </w:r>
          </w:p>
        </w:tc>
        <w:tc>
          <w:tcPr>
            <w:tcW w:w="1134" w:type="dxa"/>
            <w:vAlign w:val="center"/>
          </w:tcPr>
          <w:p>
            <w:pPr>
              <w:pStyle w:val="13"/>
            </w:pPr>
            <w:r>
              <w:t>48.00</w:t>
            </w:r>
          </w:p>
        </w:tc>
        <w:tc>
          <w:tcPr>
            <w:tcW w:w="1134" w:type="dxa"/>
            <w:vAlign w:val="center"/>
          </w:tcPr>
          <w:p>
            <w:pPr>
              <w:pStyle w:val="13"/>
            </w:pPr>
            <w:r>
              <w:t>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2070799</w:t>
            </w:r>
          </w:p>
        </w:tc>
        <w:tc>
          <w:tcPr>
            <w:tcW w:w="1559" w:type="dxa"/>
            <w:vAlign w:val="center"/>
          </w:tcPr>
          <w:p>
            <w:pPr>
              <w:pStyle w:val="14"/>
            </w:pPr>
            <w:r>
              <w:t>其他国家电影事业发展专项资金支出</w:t>
            </w:r>
          </w:p>
        </w:tc>
        <w:tc>
          <w:tcPr>
            <w:tcW w:w="1134" w:type="dxa"/>
            <w:vAlign w:val="center"/>
          </w:tcPr>
          <w:p>
            <w:pPr>
              <w:pStyle w:val="13"/>
            </w:pPr>
            <w:r>
              <w:t>60.00</w:t>
            </w:r>
          </w:p>
        </w:tc>
        <w:tc>
          <w:tcPr>
            <w:tcW w:w="1134" w:type="dxa"/>
            <w:vAlign w:val="center"/>
          </w:tcPr>
          <w:p>
            <w:pPr>
              <w:pStyle w:val="13"/>
            </w:pPr>
            <w:r>
              <w:t>48.00</w:t>
            </w:r>
          </w:p>
        </w:tc>
        <w:tc>
          <w:tcPr>
            <w:tcW w:w="1134" w:type="dxa"/>
            <w:vAlign w:val="center"/>
          </w:tcPr>
          <w:p>
            <w:pPr>
              <w:pStyle w:val="13"/>
            </w:pPr>
            <w:r>
              <w:t>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20708</w:t>
            </w:r>
          </w:p>
        </w:tc>
        <w:tc>
          <w:tcPr>
            <w:tcW w:w="1559" w:type="dxa"/>
            <w:vAlign w:val="center"/>
          </w:tcPr>
          <w:p>
            <w:pPr>
              <w:pStyle w:val="14"/>
            </w:pPr>
            <w:r>
              <w:t>广播电视</w:t>
            </w:r>
          </w:p>
        </w:tc>
        <w:tc>
          <w:tcPr>
            <w:tcW w:w="1134" w:type="dxa"/>
            <w:vAlign w:val="center"/>
          </w:tcPr>
          <w:p>
            <w:pPr>
              <w:pStyle w:val="13"/>
            </w:pPr>
            <w:r>
              <w:t>36.28</w:t>
            </w:r>
          </w:p>
        </w:tc>
        <w:tc>
          <w:tcPr>
            <w:tcW w:w="1134" w:type="dxa"/>
            <w:vAlign w:val="center"/>
          </w:tcPr>
          <w:p>
            <w:pPr>
              <w:pStyle w:val="13"/>
            </w:pPr>
            <w:r>
              <w:t>36.28</w:t>
            </w:r>
          </w:p>
        </w:tc>
        <w:tc>
          <w:tcPr>
            <w:tcW w:w="1134" w:type="dxa"/>
            <w:vAlign w:val="center"/>
          </w:tcPr>
          <w:p>
            <w:pPr>
              <w:pStyle w:val="13"/>
            </w:pPr>
            <w:r>
              <w:t>36.28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2070899</w:t>
            </w:r>
          </w:p>
        </w:tc>
        <w:tc>
          <w:tcPr>
            <w:tcW w:w="1559" w:type="dxa"/>
            <w:vAlign w:val="center"/>
          </w:tcPr>
          <w:p>
            <w:pPr>
              <w:pStyle w:val="14"/>
            </w:pPr>
            <w:r>
              <w:t>其他广播电视支出</w:t>
            </w:r>
          </w:p>
        </w:tc>
        <w:tc>
          <w:tcPr>
            <w:tcW w:w="1134" w:type="dxa"/>
            <w:vAlign w:val="center"/>
          </w:tcPr>
          <w:p>
            <w:pPr>
              <w:pStyle w:val="13"/>
            </w:pPr>
            <w:r>
              <w:t>36.28</w:t>
            </w:r>
          </w:p>
        </w:tc>
        <w:tc>
          <w:tcPr>
            <w:tcW w:w="1134" w:type="dxa"/>
            <w:vAlign w:val="center"/>
          </w:tcPr>
          <w:p>
            <w:pPr>
              <w:pStyle w:val="13"/>
            </w:pPr>
            <w:r>
              <w:t>36.28</w:t>
            </w:r>
          </w:p>
        </w:tc>
        <w:tc>
          <w:tcPr>
            <w:tcW w:w="1134" w:type="dxa"/>
            <w:vAlign w:val="center"/>
          </w:tcPr>
          <w:p>
            <w:pPr>
              <w:pStyle w:val="13"/>
            </w:pPr>
            <w:r>
              <w:t>36.28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20799</w:t>
            </w:r>
          </w:p>
        </w:tc>
        <w:tc>
          <w:tcPr>
            <w:tcW w:w="1559" w:type="dxa"/>
            <w:vAlign w:val="center"/>
          </w:tcPr>
          <w:p>
            <w:pPr>
              <w:pStyle w:val="14"/>
            </w:pPr>
            <w:r>
              <w:t>其他文化旅游体育与传媒支出</w:t>
            </w:r>
          </w:p>
        </w:tc>
        <w:tc>
          <w:tcPr>
            <w:tcW w:w="1134" w:type="dxa"/>
            <w:vAlign w:val="center"/>
          </w:tcPr>
          <w:p>
            <w:pPr>
              <w:pStyle w:val="13"/>
            </w:pPr>
            <w:r>
              <w:t>55.34</w:t>
            </w:r>
          </w:p>
        </w:tc>
        <w:tc>
          <w:tcPr>
            <w:tcW w:w="1134" w:type="dxa"/>
            <w:vAlign w:val="center"/>
          </w:tcPr>
          <w:p>
            <w:pPr>
              <w:pStyle w:val="13"/>
            </w:pPr>
            <w:r>
              <w:t>20.76</w:t>
            </w:r>
          </w:p>
        </w:tc>
        <w:tc>
          <w:tcPr>
            <w:tcW w:w="1134" w:type="dxa"/>
            <w:vAlign w:val="center"/>
          </w:tcPr>
          <w:p>
            <w:pPr>
              <w:pStyle w:val="13"/>
            </w:pPr>
            <w:r>
              <w:t>20.76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2079999</w:t>
            </w:r>
          </w:p>
        </w:tc>
        <w:tc>
          <w:tcPr>
            <w:tcW w:w="1559" w:type="dxa"/>
            <w:vAlign w:val="center"/>
          </w:tcPr>
          <w:p>
            <w:pPr>
              <w:pStyle w:val="14"/>
            </w:pPr>
            <w:r>
              <w:t>其他文化旅游体育与传媒支出</w:t>
            </w:r>
          </w:p>
        </w:tc>
        <w:tc>
          <w:tcPr>
            <w:tcW w:w="1134" w:type="dxa"/>
            <w:vAlign w:val="center"/>
          </w:tcPr>
          <w:p>
            <w:pPr>
              <w:pStyle w:val="13"/>
            </w:pPr>
            <w:r>
              <w:t>55.34</w:t>
            </w:r>
          </w:p>
        </w:tc>
        <w:tc>
          <w:tcPr>
            <w:tcW w:w="1134" w:type="dxa"/>
            <w:vAlign w:val="center"/>
          </w:tcPr>
          <w:p>
            <w:pPr>
              <w:pStyle w:val="13"/>
            </w:pPr>
            <w:r>
              <w:t>20.76</w:t>
            </w:r>
          </w:p>
        </w:tc>
        <w:tc>
          <w:tcPr>
            <w:tcW w:w="1134" w:type="dxa"/>
            <w:vAlign w:val="center"/>
          </w:tcPr>
          <w:p>
            <w:pPr>
              <w:pStyle w:val="13"/>
            </w:pPr>
            <w:r>
              <w:t>20.76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34.58</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211001中共莲池区委宣传部本级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940.27</w:t>
            </w:r>
          </w:p>
        </w:tc>
        <w:tc>
          <w:tcPr>
            <w:tcW w:w="1361" w:type="dxa"/>
            <w:vAlign w:val="center"/>
          </w:tcPr>
          <w:p>
            <w:pPr>
              <w:pStyle w:val="17"/>
            </w:pPr>
            <w:r>
              <w:t>535.05</w:t>
            </w:r>
          </w:p>
        </w:tc>
        <w:tc>
          <w:tcPr>
            <w:tcW w:w="1361" w:type="dxa"/>
            <w:vAlign w:val="center"/>
          </w:tcPr>
          <w:p>
            <w:pPr>
              <w:pStyle w:val="17"/>
            </w:pPr>
            <w:r>
              <w:t>405.22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762.65</w:t>
            </w:r>
          </w:p>
        </w:tc>
        <w:tc>
          <w:tcPr>
            <w:tcW w:w="1361" w:type="dxa"/>
            <w:vAlign w:val="center"/>
          </w:tcPr>
          <w:p>
            <w:pPr>
              <w:pStyle w:val="13"/>
            </w:pPr>
            <w:r>
              <w:t>535.05</w:t>
            </w:r>
          </w:p>
        </w:tc>
        <w:tc>
          <w:tcPr>
            <w:tcW w:w="1361" w:type="dxa"/>
            <w:vAlign w:val="center"/>
          </w:tcPr>
          <w:p>
            <w:pPr>
              <w:pStyle w:val="13"/>
            </w:pPr>
            <w:r>
              <w:t>227.60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20133</w:t>
            </w:r>
          </w:p>
        </w:tc>
        <w:tc>
          <w:tcPr>
            <w:tcW w:w="4535" w:type="dxa"/>
            <w:vAlign w:val="center"/>
          </w:tcPr>
          <w:p>
            <w:pPr>
              <w:pStyle w:val="14"/>
            </w:pPr>
            <w:r>
              <w:t>宣传事务</w:t>
            </w:r>
          </w:p>
        </w:tc>
        <w:tc>
          <w:tcPr>
            <w:tcW w:w="1361" w:type="dxa"/>
            <w:vAlign w:val="center"/>
          </w:tcPr>
          <w:p>
            <w:pPr>
              <w:pStyle w:val="13"/>
            </w:pPr>
            <w:r>
              <w:t>762.65</w:t>
            </w:r>
          </w:p>
        </w:tc>
        <w:tc>
          <w:tcPr>
            <w:tcW w:w="1361" w:type="dxa"/>
            <w:vAlign w:val="center"/>
          </w:tcPr>
          <w:p>
            <w:pPr>
              <w:pStyle w:val="13"/>
            </w:pPr>
            <w:r>
              <w:t>535.05</w:t>
            </w:r>
          </w:p>
        </w:tc>
        <w:tc>
          <w:tcPr>
            <w:tcW w:w="1361" w:type="dxa"/>
            <w:vAlign w:val="center"/>
          </w:tcPr>
          <w:p>
            <w:pPr>
              <w:pStyle w:val="13"/>
            </w:pPr>
            <w:r>
              <w:t>227.60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2013301</w:t>
            </w:r>
          </w:p>
        </w:tc>
        <w:tc>
          <w:tcPr>
            <w:tcW w:w="4535" w:type="dxa"/>
            <w:vAlign w:val="center"/>
          </w:tcPr>
          <w:p>
            <w:pPr>
              <w:pStyle w:val="14"/>
            </w:pPr>
            <w:r>
              <w:t>行政运行</w:t>
            </w:r>
          </w:p>
        </w:tc>
        <w:tc>
          <w:tcPr>
            <w:tcW w:w="1361" w:type="dxa"/>
            <w:vAlign w:val="center"/>
          </w:tcPr>
          <w:p>
            <w:pPr>
              <w:pStyle w:val="13"/>
            </w:pPr>
            <w:r>
              <w:t>535.05</w:t>
            </w:r>
          </w:p>
        </w:tc>
        <w:tc>
          <w:tcPr>
            <w:tcW w:w="1361" w:type="dxa"/>
            <w:vAlign w:val="center"/>
          </w:tcPr>
          <w:p>
            <w:pPr>
              <w:pStyle w:val="13"/>
            </w:pPr>
            <w:r>
              <w:t>535.05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2013302</w:t>
            </w:r>
          </w:p>
        </w:tc>
        <w:tc>
          <w:tcPr>
            <w:tcW w:w="4535" w:type="dxa"/>
            <w:vAlign w:val="center"/>
          </w:tcPr>
          <w:p>
            <w:pPr>
              <w:pStyle w:val="14"/>
            </w:pPr>
            <w:r>
              <w:t>一般行政管理事务</w:t>
            </w:r>
          </w:p>
        </w:tc>
        <w:tc>
          <w:tcPr>
            <w:tcW w:w="1361" w:type="dxa"/>
            <w:vAlign w:val="center"/>
          </w:tcPr>
          <w:p>
            <w:pPr>
              <w:pStyle w:val="13"/>
            </w:pPr>
            <w:r>
              <w:t>227.60</w:t>
            </w:r>
          </w:p>
        </w:tc>
        <w:tc>
          <w:tcPr>
            <w:tcW w:w="1361" w:type="dxa"/>
            <w:vAlign w:val="center"/>
          </w:tcPr>
          <w:p>
            <w:pPr>
              <w:pStyle w:val="13"/>
            </w:pPr>
          </w:p>
        </w:tc>
        <w:tc>
          <w:tcPr>
            <w:tcW w:w="1361" w:type="dxa"/>
            <w:vAlign w:val="center"/>
          </w:tcPr>
          <w:p>
            <w:pPr>
              <w:pStyle w:val="13"/>
            </w:pPr>
            <w:r>
              <w:t>227.60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177.62</w:t>
            </w:r>
          </w:p>
        </w:tc>
        <w:tc>
          <w:tcPr>
            <w:tcW w:w="1361" w:type="dxa"/>
            <w:vAlign w:val="center"/>
          </w:tcPr>
          <w:p>
            <w:pPr>
              <w:pStyle w:val="13"/>
            </w:pPr>
          </w:p>
        </w:tc>
        <w:tc>
          <w:tcPr>
            <w:tcW w:w="1361" w:type="dxa"/>
            <w:vAlign w:val="center"/>
          </w:tcPr>
          <w:p>
            <w:pPr>
              <w:pStyle w:val="13"/>
            </w:pPr>
            <w:r>
              <w:t>177.62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20706</w:t>
            </w:r>
          </w:p>
        </w:tc>
        <w:tc>
          <w:tcPr>
            <w:tcW w:w="4535" w:type="dxa"/>
            <w:vAlign w:val="center"/>
          </w:tcPr>
          <w:p>
            <w:pPr>
              <w:pStyle w:val="14"/>
            </w:pPr>
            <w:r>
              <w:t>新闻出版电影</w:t>
            </w:r>
          </w:p>
        </w:tc>
        <w:tc>
          <w:tcPr>
            <w:tcW w:w="1361" w:type="dxa"/>
            <w:vAlign w:val="center"/>
          </w:tcPr>
          <w:p>
            <w:pPr>
              <w:pStyle w:val="13"/>
            </w:pPr>
            <w:r>
              <w:t>26.00</w:t>
            </w:r>
          </w:p>
        </w:tc>
        <w:tc>
          <w:tcPr>
            <w:tcW w:w="1361" w:type="dxa"/>
            <w:vAlign w:val="center"/>
          </w:tcPr>
          <w:p>
            <w:pPr>
              <w:pStyle w:val="13"/>
            </w:pPr>
          </w:p>
        </w:tc>
        <w:tc>
          <w:tcPr>
            <w:tcW w:w="1361" w:type="dxa"/>
            <w:vAlign w:val="center"/>
          </w:tcPr>
          <w:p>
            <w:pPr>
              <w:pStyle w:val="13"/>
            </w:pPr>
            <w:r>
              <w:t>26.00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2070606</w:t>
            </w:r>
          </w:p>
        </w:tc>
        <w:tc>
          <w:tcPr>
            <w:tcW w:w="4535" w:type="dxa"/>
            <w:vAlign w:val="center"/>
          </w:tcPr>
          <w:p>
            <w:pPr>
              <w:pStyle w:val="14"/>
            </w:pPr>
            <w:r>
              <w:t>版权管理</w:t>
            </w:r>
          </w:p>
        </w:tc>
        <w:tc>
          <w:tcPr>
            <w:tcW w:w="1361" w:type="dxa"/>
            <w:vAlign w:val="center"/>
          </w:tcPr>
          <w:p>
            <w:pPr>
              <w:pStyle w:val="13"/>
            </w:pPr>
            <w:r>
              <w:t>26.00</w:t>
            </w:r>
          </w:p>
        </w:tc>
        <w:tc>
          <w:tcPr>
            <w:tcW w:w="1361" w:type="dxa"/>
            <w:vAlign w:val="center"/>
          </w:tcPr>
          <w:p>
            <w:pPr>
              <w:pStyle w:val="13"/>
            </w:pPr>
          </w:p>
        </w:tc>
        <w:tc>
          <w:tcPr>
            <w:tcW w:w="1361" w:type="dxa"/>
            <w:vAlign w:val="center"/>
          </w:tcPr>
          <w:p>
            <w:pPr>
              <w:pStyle w:val="13"/>
            </w:pPr>
            <w:r>
              <w:t>26.00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20707</w:t>
            </w:r>
          </w:p>
        </w:tc>
        <w:tc>
          <w:tcPr>
            <w:tcW w:w="4535" w:type="dxa"/>
            <w:vAlign w:val="center"/>
          </w:tcPr>
          <w:p>
            <w:pPr>
              <w:pStyle w:val="14"/>
            </w:pPr>
            <w:r>
              <w:t>国家电影事业发展专项资金安排的支出</w:t>
            </w:r>
          </w:p>
        </w:tc>
        <w:tc>
          <w:tcPr>
            <w:tcW w:w="1361" w:type="dxa"/>
            <w:vAlign w:val="center"/>
          </w:tcPr>
          <w:p>
            <w:pPr>
              <w:pStyle w:val="13"/>
            </w:pPr>
            <w:r>
              <w:t>60.00</w:t>
            </w:r>
          </w:p>
        </w:tc>
        <w:tc>
          <w:tcPr>
            <w:tcW w:w="1361" w:type="dxa"/>
            <w:vAlign w:val="center"/>
          </w:tcPr>
          <w:p>
            <w:pPr>
              <w:pStyle w:val="13"/>
            </w:pPr>
          </w:p>
        </w:tc>
        <w:tc>
          <w:tcPr>
            <w:tcW w:w="1361" w:type="dxa"/>
            <w:vAlign w:val="center"/>
          </w:tcPr>
          <w:p>
            <w:pPr>
              <w:pStyle w:val="13"/>
            </w:pPr>
            <w:r>
              <w:t>60.00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2070799</w:t>
            </w:r>
          </w:p>
        </w:tc>
        <w:tc>
          <w:tcPr>
            <w:tcW w:w="4535" w:type="dxa"/>
            <w:vAlign w:val="center"/>
          </w:tcPr>
          <w:p>
            <w:pPr>
              <w:pStyle w:val="14"/>
            </w:pPr>
            <w:r>
              <w:t>其他国家电影事业发展专项资金支出</w:t>
            </w:r>
          </w:p>
        </w:tc>
        <w:tc>
          <w:tcPr>
            <w:tcW w:w="1361" w:type="dxa"/>
            <w:vAlign w:val="center"/>
          </w:tcPr>
          <w:p>
            <w:pPr>
              <w:pStyle w:val="13"/>
            </w:pPr>
            <w:r>
              <w:t>60.00</w:t>
            </w:r>
          </w:p>
        </w:tc>
        <w:tc>
          <w:tcPr>
            <w:tcW w:w="1361" w:type="dxa"/>
            <w:vAlign w:val="center"/>
          </w:tcPr>
          <w:p>
            <w:pPr>
              <w:pStyle w:val="13"/>
            </w:pPr>
          </w:p>
        </w:tc>
        <w:tc>
          <w:tcPr>
            <w:tcW w:w="1361" w:type="dxa"/>
            <w:vAlign w:val="center"/>
          </w:tcPr>
          <w:p>
            <w:pPr>
              <w:pStyle w:val="13"/>
            </w:pPr>
            <w:r>
              <w:t>60.00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20708</w:t>
            </w:r>
          </w:p>
        </w:tc>
        <w:tc>
          <w:tcPr>
            <w:tcW w:w="4535" w:type="dxa"/>
            <w:vAlign w:val="center"/>
          </w:tcPr>
          <w:p>
            <w:pPr>
              <w:pStyle w:val="14"/>
            </w:pPr>
            <w:r>
              <w:t>广播电视</w:t>
            </w:r>
          </w:p>
        </w:tc>
        <w:tc>
          <w:tcPr>
            <w:tcW w:w="1361" w:type="dxa"/>
            <w:vAlign w:val="center"/>
          </w:tcPr>
          <w:p>
            <w:pPr>
              <w:pStyle w:val="13"/>
            </w:pPr>
            <w:r>
              <w:t>36.28</w:t>
            </w:r>
          </w:p>
        </w:tc>
        <w:tc>
          <w:tcPr>
            <w:tcW w:w="1361" w:type="dxa"/>
            <w:vAlign w:val="center"/>
          </w:tcPr>
          <w:p>
            <w:pPr>
              <w:pStyle w:val="13"/>
            </w:pPr>
          </w:p>
        </w:tc>
        <w:tc>
          <w:tcPr>
            <w:tcW w:w="1361" w:type="dxa"/>
            <w:vAlign w:val="center"/>
          </w:tcPr>
          <w:p>
            <w:pPr>
              <w:pStyle w:val="13"/>
            </w:pPr>
            <w:r>
              <w:t>36.28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2070899</w:t>
            </w:r>
          </w:p>
        </w:tc>
        <w:tc>
          <w:tcPr>
            <w:tcW w:w="4535" w:type="dxa"/>
            <w:vAlign w:val="center"/>
          </w:tcPr>
          <w:p>
            <w:pPr>
              <w:pStyle w:val="14"/>
            </w:pPr>
            <w:r>
              <w:t>其他广播电视支出</w:t>
            </w:r>
          </w:p>
        </w:tc>
        <w:tc>
          <w:tcPr>
            <w:tcW w:w="1361" w:type="dxa"/>
            <w:vAlign w:val="center"/>
          </w:tcPr>
          <w:p>
            <w:pPr>
              <w:pStyle w:val="13"/>
            </w:pPr>
            <w:r>
              <w:t>36.28</w:t>
            </w:r>
          </w:p>
        </w:tc>
        <w:tc>
          <w:tcPr>
            <w:tcW w:w="1361" w:type="dxa"/>
            <w:vAlign w:val="center"/>
          </w:tcPr>
          <w:p>
            <w:pPr>
              <w:pStyle w:val="13"/>
            </w:pPr>
          </w:p>
        </w:tc>
        <w:tc>
          <w:tcPr>
            <w:tcW w:w="1361" w:type="dxa"/>
            <w:vAlign w:val="center"/>
          </w:tcPr>
          <w:p>
            <w:pPr>
              <w:pStyle w:val="13"/>
            </w:pPr>
            <w:r>
              <w:t>36.28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20799</w:t>
            </w:r>
          </w:p>
        </w:tc>
        <w:tc>
          <w:tcPr>
            <w:tcW w:w="4535" w:type="dxa"/>
            <w:vAlign w:val="center"/>
          </w:tcPr>
          <w:p>
            <w:pPr>
              <w:pStyle w:val="14"/>
            </w:pPr>
            <w:r>
              <w:t>其他文化旅游体育与传媒支出</w:t>
            </w:r>
          </w:p>
        </w:tc>
        <w:tc>
          <w:tcPr>
            <w:tcW w:w="1361" w:type="dxa"/>
            <w:vAlign w:val="center"/>
          </w:tcPr>
          <w:p>
            <w:pPr>
              <w:pStyle w:val="13"/>
            </w:pPr>
            <w:r>
              <w:t>55.34</w:t>
            </w:r>
          </w:p>
        </w:tc>
        <w:tc>
          <w:tcPr>
            <w:tcW w:w="1361" w:type="dxa"/>
            <w:vAlign w:val="center"/>
          </w:tcPr>
          <w:p>
            <w:pPr>
              <w:pStyle w:val="13"/>
            </w:pPr>
          </w:p>
        </w:tc>
        <w:tc>
          <w:tcPr>
            <w:tcW w:w="1361" w:type="dxa"/>
            <w:vAlign w:val="center"/>
          </w:tcPr>
          <w:p>
            <w:pPr>
              <w:pStyle w:val="13"/>
            </w:pPr>
            <w:r>
              <w:t>55.34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2079999</w:t>
            </w:r>
          </w:p>
        </w:tc>
        <w:tc>
          <w:tcPr>
            <w:tcW w:w="4535" w:type="dxa"/>
            <w:vAlign w:val="center"/>
          </w:tcPr>
          <w:p>
            <w:pPr>
              <w:pStyle w:val="14"/>
            </w:pPr>
            <w:r>
              <w:t>其他文化旅游体育与传媒支出</w:t>
            </w:r>
          </w:p>
        </w:tc>
        <w:tc>
          <w:tcPr>
            <w:tcW w:w="1361" w:type="dxa"/>
            <w:vAlign w:val="center"/>
          </w:tcPr>
          <w:p>
            <w:pPr>
              <w:pStyle w:val="13"/>
            </w:pPr>
            <w:r>
              <w:t>55.34</w:t>
            </w:r>
          </w:p>
        </w:tc>
        <w:tc>
          <w:tcPr>
            <w:tcW w:w="1361" w:type="dxa"/>
            <w:vAlign w:val="center"/>
          </w:tcPr>
          <w:p>
            <w:pPr>
              <w:pStyle w:val="13"/>
            </w:pPr>
          </w:p>
        </w:tc>
        <w:tc>
          <w:tcPr>
            <w:tcW w:w="1361" w:type="dxa"/>
            <w:vAlign w:val="center"/>
          </w:tcPr>
          <w:p>
            <w:pPr>
              <w:pStyle w:val="13"/>
            </w:pPr>
            <w:r>
              <w:t>55.34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211001中共莲池区委宣传部本级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845.69</w:t>
            </w:r>
          </w:p>
        </w:tc>
        <w:tc>
          <w:tcPr>
            <w:tcW w:w="3402" w:type="dxa"/>
            <w:vAlign w:val="center"/>
          </w:tcPr>
          <w:p>
            <w:pPr>
              <w:pStyle w:val="14"/>
            </w:pPr>
            <w:r>
              <w:t>一、一般公共服务支出</w:t>
            </w:r>
          </w:p>
        </w:tc>
        <w:tc>
          <w:tcPr>
            <w:tcW w:w="1474" w:type="dxa"/>
            <w:vAlign w:val="center"/>
          </w:tcPr>
          <w:p>
            <w:pPr>
              <w:pStyle w:val="13"/>
            </w:pPr>
            <w:r>
              <w:t>762.65</w:t>
            </w:r>
          </w:p>
        </w:tc>
        <w:tc>
          <w:tcPr>
            <w:tcW w:w="1474" w:type="dxa"/>
            <w:vAlign w:val="center"/>
          </w:tcPr>
          <w:p>
            <w:pPr>
              <w:pStyle w:val="13"/>
            </w:pPr>
            <w:r>
              <w:t>762.65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48.00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177.62</w:t>
            </w:r>
          </w:p>
        </w:tc>
        <w:tc>
          <w:tcPr>
            <w:tcW w:w="1474" w:type="dxa"/>
            <w:vAlign w:val="center"/>
          </w:tcPr>
          <w:p>
            <w:pPr>
              <w:pStyle w:val="13"/>
            </w:pPr>
            <w:r>
              <w:t>117.62</w:t>
            </w:r>
          </w:p>
        </w:tc>
        <w:tc>
          <w:tcPr>
            <w:tcW w:w="1474" w:type="dxa"/>
            <w:vAlign w:val="center"/>
          </w:tcPr>
          <w:p>
            <w:pPr>
              <w:pStyle w:val="13"/>
            </w:pPr>
            <w:r>
              <w:t>60.00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893.69</w:t>
            </w:r>
          </w:p>
        </w:tc>
        <w:tc>
          <w:tcPr>
            <w:tcW w:w="3402" w:type="dxa"/>
            <w:vAlign w:val="center"/>
          </w:tcPr>
          <w:p>
            <w:pPr>
              <w:pStyle w:val="16"/>
            </w:pPr>
            <w:r>
              <w:t>本年支出合计</w:t>
            </w:r>
          </w:p>
        </w:tc>
        <w:tc>
          <w:tcPr>
            <w:tcW w:w="1474" w:type="dxa"/>
            <w:vAlign w:val="center"/>
          </w:tcPr>
          <w:p>
            <w:pPr>
              <w:pStyle w:val="17"/>
            </w:pPr>
            <w:r>
              <w:t>940.27</w:t>
            </w:r>
          </w:p>
        </w:tc>
        <w:tc>
          <w:tcPr>
            <w:tcW w:w="1474" w:type="dxa"/>
            <w:vAlign w:val="center"/>
          </w:tcPr>
          <w:p>
            <w:pPr>
              <w:pStyle w:val="17"/>
            </w:pPr>
            <w:r>
              <w:t>880.27</w:t>
            </w:r>
          </w:p>
        </w:tc>
        <w:tc>
          <w:tcPr>
            <w:tcW w:w="1474" w:type="dxa"/>
            <w:vAlign w:val="center"/>
          </w:tcPr>
          <w:p>
            <w:pPr>
              <w:pStyle w:val="17"/>
            </w:pPr>
            <w:r>
              <w:t>60.00</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46.58</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34.58</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12.00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940.27</w:t>
            </w:r>
          </w:p>
        </w:tc>
        <w:tc>
          <w:tcPr>
            <w:tcW w:w="3402" w:type="dxa"/>
            <w:vAlign w:val="center"/>
          </w:tcPr>
          <w:p>
            <w:pPr>
              <w:pStyle w:val="16"/>
            </w:pPr>
            <w:r>
              <w:t>支出总计</w:t>
            </w:r>
          </w:p>
        </w:tc>
        <w:tc>
          <w:tcPr>
            <w:tcW w:w="1474" w:type="dxa"/>
            <w:vAlign w:val="center"/>
          </w:tcPr>
          <w:p>
            <w:pPr>
              <w:pStyle w:val="17"/>
            </w:pPr>
            <w:r>
              <w:t>940.27</w:t>
            </w:r>
          </w:p>
        </w:tc>
        <w:tc>
          <w:tcPr>
            <w:tcW w:w="1474" w:type="dxa"/>
            <w:vAlign w:val="center"/>
          </w:tcPr>
          <w:p>
            <w:pPr>
              <w:pStyle w:val="17"/>
            </w:pPr>
            <w:r>
              <w:t>880.27</w:t>
            </w:r>
          </w:p>
        </w:tc>
        <w:tc>
          <w:tcPr>
            <w:tcW w:w="1474" w:type="dxa"/>
            <w:vAlign w:val="center"/>
          </w:tcPr>
          <w:p>
            <w:pPr>
              <w:pStyle w:val="17"/>
            </w:pPr>
            <w:r>
              <w:t>60.00</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211001中共莲池区委宣传部本级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880.27</w:t>
            </w:r>
          </w:p>
        </w:tc>
        <w:tc>
          <w:tcPr>
            <w:tcW w:w="2551" w:type="dxa"/>
            <w:vAlign w:val="center"/>
          </w:tcPr>
          <w:p>
            <w:pPr>
              <w:pStyle w:val="17"/>
            </w:pPr>
            <w:r>
              <w:t>535.05</w:t>
            </w:r>
          </w:p>
        </w:tc>
        <w:tc>
          <w:tcPr>
            <w:tcW w:w="2551" w:type="dxa"/>
            <w:vAlign w:val="center"/>
          </w:tcPr>
          <w:p>
            <w:pPr>
              <w:pStyle w:val="17"/>
            </w:pPr>
            <w:r>
              <w:t>345.22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762.65</w:t>
            </w:r>
          </w:p>
        </w:tc>
        <w:tc>
          <w:tcPr>
            <w:tcW w:w="2551" w:type="dxa"/>
            <w:vAlign w:val="center"/>
          </w:tcPr>
          <w:p>
            <w:pPr>
              <w:pStyle w:val="13"/>
            </w:pPr>
            <w:r>
              <w:t>535.05</w:t>
            </w:r>
          </w:p>
        </w:tc>
        <w:tc>
          <w:tcPr>
            <w:tcW w:w="2551" w:type="dxa"/>
            <w:vAlign w:val="center"/>
          </w:tcPr>
          <w:p>
            <w:pPr>
              <w:pStyle w:val="13"/>
            </w:pPr>
            <w:r>
              <w:t>227.60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20133</w:t>
            </w:r>
          </w:p>
        </w:tc>
        <w:tc>
          <w:tcPr>
            <w:tcW w:w="4535" w:type="dxa"/>
            <w:vAlign w:val="center"/>
          </w:tcPr>
          <w:p>
            <w:pPr>
              <w:pStyle w:val="14"/>
            </w:pPr>
            <w:r>
              <w:t>宣传事务</w:t>
            </w:r>
          </w:p>
        </w:tc>
        <w:tc>
          <w:tcPr>
            <w:tcW w:w="2551" w:type="dxa"/>
            <w:vAlign w:val="center"/>
          </w:tcPr>
          <w:p>
            <w:pPr>
              <w:pStyle w:val="13"/>
            </w:pPr>
            <w:r>
              <w:t>762.65</w:t>
            </w:r>
          </w:p>
        </w:tc>
        <w:tc>
          <w:tcPr>
            <w:tcW w:w="2551" w:type="dxa"/>
            <w:vAlign w:val="center"/>
          </w:tcPr>
          <w:p>
            <w:pPr>
              <w:pStyle w:val="13"/>
            </w:pPr>
            <w:r>
              <w:t>535.05</w:t>
            </w:r>
          </w:p>
        </w:tc>
        <w:tc>
          <w:tcPr>
            <w:tcW w:w="2551" w:type="dxa"/>
            <w:vAlign w:val="center"/>
          </w:tcPr>
          <w:p>
            <w:pPr>
              <w:pStyle w:val="13"/>
            </w:pPr>
            <w:r>
              <w:t>227.60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2013301</w:t>
            </w:r>
          </w:p>
        </w:tc>
        <w:tc>
          <w:tcPr>
            <w:tcW w:w="4535" w:type="dxa"/>
            <w:vAlign w:val="center"/>
          </w:tcPr>
          <w:p>
            <w:pPr>
              <w:pStyle w:val="14"/>
            </w:pPr>
            <w:r>
              <w:t>行政运行</w:t>
            </w:r>
          </w:p>
        </w:tc>
        <w:tc>
          <w:tcPr>
            <w:tcW w:w="2551" w:type="dxa"/>
            <w:vAlign w:val="center"/>
          </w:tcPr>
          <w:p>
            <w:pPr>
              <w:pStyle w:val="13"/>
            </w:pPr>
            <w:r>
              <w:t>535.05</w:t>
            </w:r>
          </w:p>
        </w:tc>
        <w:tc>
          <w:tcPr>
            <w:tcW w:w="2551" w:type="dxa"/>
            <w:vAlign w:val="center"/>
          </w:tcPr>
          <w:p>
            <w:pPr>
              <w:pStyle w:val="13"/>
            </w:pPr>
            <w:r>
              <w:t>535.05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2013302</w:t>
            </w:r>
          </w:p>
        </w:tc>
        <w:tc>
          <w:tcPr>
            <w:tcW w:w="4535" w:type="dxa"/>
            <w:vAlign w:val="center"/>
          </w:tcPr>
          <w:p>
            <w:pPr>
              <w:pStyle w:val="14"/>
            </w:pPr>
            <w:r>
              <w:t>一般行政管理事务</w:t>
            </w:r>
          </w:p>
        </w:tc>
        <w:tc>
          <w:tcPr>
            <w:tcW w:w="2551" w:type="dxa"/>
            <w:vAlign w:val="center"/>
          </w:tcPr>
          <w:p>
            <w:pPr>
              <w:pStyle w:val="13"/>
            </w:pPr>
            <w:r>
              <w:t>227.60</w:t>
            </w:r>
          </w:p>
        </w:tc>
        <w:tc>
          <w:tcPr>
            <w:tcW w:w="2551" w:type="dxa"/>
            <w:vAlign w:val="center"/>
          </w:tcPr>
          <w:p>
            <w:pPr>
              <w:pStyle w:val="13"/>
            </w:pPr>
          </w:p>
        </w:tc>
        <w:tc>
          <w:tcPr>
            <w:tcW w:w="2551" w:type="dxa"/>
            <w:vAlign w:val="center"/>
          </w:tcPr>
          <w:p>
            <w:pPr>
              <w:pStyle w:val="13"/>
            </w:pPr>
            <w:r>
              <w:t>227.60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117.62</w:t>
            </w:r>
          </w:p>
        </w:tc>
        <w:tc>
          <w:tcPr>
            <w:tcW w:w="2551" w:type="dxa"/>
            <w:vAlign w:val="center"/>
          </w:tcPr>
          <w:p>
            <w:pPr>
              <w:pStyle w:val="13"/>
            </w:pPr>
          </w:p>
        </w:tc>
        <w:tc>
          <w:tcPr>
            <w:tcW w:w="2551" w:type="dxa"/>
            <w:vAlign w:val="center"/>
          </w:tcPr>
          <w:p>
            <w:pPr>
              <w:pStyle w:val="13"/>
            </w:pPr>
            <w:r>
              <w:t>117.62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20706</w:t>
            </w:r>
          </w:p>
        </w:tc>
        <w:tc>
          <w:tcPr>
            <w:tcW w:w="4535" w:type="dxa"/>
            <w:vAlign w:val="center"/>
          </w:tcPr>
          <w:p>
            <w:pPr>
              <w:pStyle w:val="14"/>
            </w:pPr>
            <w:r>
              <w:t>新闻出版电影</w:t>
            </w:r>
          </w:p>
        </w:tc>
        <w:tc>
          <w:tcPr>
            <w:tcW w:w="2551" w:type="dxa"/>
            <w:vAlign w:val="center"/>
          </w:tcPr>
          <w:p>
            <w:pPr>
              <w:pStyle w:val="13"/>
            </w:pPr>
            <w:r>
              <w:t>26.00</w:t>
            </w:r>
          </w:p>
        </w:tc>
        <w:tc>
          <w:tcPr>
            <w:tcW w:w="2551" w:type="dxa"/>
            <w:vAlign w:val="center"/>
          </w:tcPr>
          <w:p>
            <w:pPr>
              <w:pStyle w:val="13"/>
            </w:pPr>
          </w:p>
        </w:tc>
        <w:tc>
          <w:tcPr>
            <w:tcW w:w="2551" w:type="dxa"/>
            <w:vAlign w:val="center"/>
          </w:tcPr>
          <w:p>
            <w:pPr>
              <w:pStyle w:val="13"/>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2070606</w:t>
            </w:r>
          </w:p>
        </w:tc>
        <w:tc>
          <w:tcPr>
            <w:tcW w:w="4535" w:type="dxa"/>
            <w:vAlign w:val="center"/>
          </w:tcPr>
          <w:p>
            <w:pPr>
              <w:pStyle w:val="14"/>
            </w:pPr>
            <w:r>
              <w:t>版权管理</w:t>
            </w:r>
          </w:p>
        </w:tc>
        <w:tc>
          <w:tcPr>
            <w:tcW w:w="2551" w:type="dxa"/>
            <w:vAlign w:val="center"/>
          </w:tcPr>
          <w:p>
            <w:pPr>
              <w:pStyle w:val="13"/>
            </w:pPr>
            <w:r>
              <w:t>26.00</w:t>
            </w:r>
          </w:p>
        </w:tc>
        <w:tc>
          <w:tcPr>
            <w:tcW w:w="2551" w:type="dxa"/>
            <w:vAlign w:val="center"/>
          </w:tcPr>
          <w:p>
            <w:pPr>
              <w:pStyle w:val="13"/>
            </w:pPr>
          </w:p>
        </w:tc>
        <w:tc>
          <w:tcPr>
            <w:tcW w:w="2551" w:type="dxa"/>
            <w:vAlign w:val="center"/>
          </w:tcPr>
          <w:p>
            <w:pPr>
              <w:pStyle w:val="13"/>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20708</w:t>
            </w:r>
          </w:p>
        </w:tc>
        <w:tc>
          <w:tcPr>
            <w:tcW w:w="4535" w:type="dxa"/>
            <w:vAlign w:val="center"/>
          </w:tcPr>
          <w:p>
            <w:pPr>
              <w:pStyle w:val="14"/>
            </w:pPr>
            <w:r>
              <w:t>广播电视</w:t>
            </w:r>
          </w:p>
        </w:tc>
        <w:tc>
          <w:tcPr>
            <w:tcW w:w="2551" w:type="dxa"/>
            <w:vAlign w:val="center"/>
          </w:tcPr>
          <w:p>
            <w:pPr>
              <w:pStyle w:val="13"/>
            </w:pPr>
            <w:r>
              <w:t>36.28</w:t>
            </w:r>
          </w:p>
        </w:tc>
        <w:tc>
          <w:tcPr>
            <w:tcW w:w="2551" w:type="dxa"/>
            <w:vAlign w:val="center"/>
          </w:tcPr>
          <w:p>
            <w:pPr>
              <w:pStyle w:val="13"/>
            </w:pPr>
          </w:p>
        </w:tc>
        <w:tc>
          <w:tcPr>
            <w:tcW w:w="2551" w:type="dxa"/>
            <w:vAlign w:val="center"/>
          </w:tcPr>
          <w:p>
            <w:pPr>
              <w:pStyle w:val="13"/>
            </w:pPr>
            <w:r>
              <w:t>36.28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2070899</w:t>
            </w:r>
          </w:p>
        </w:tc>
        <w:tc>
          <w:tcPr>
            <w:tcW w:w="4535" w:type="dxa"/>
            <w:vAlign w:val="center"/>
          </w:tcPr>
          <w:p>
            <w:pPr>
              <w:pStyle w:val="14"/>
            </w:pPr>
            <w:r>
              <w:t>其他广播电视支出</w:t>
            </w:r>
          </w:p>
        </w:tc>
        <w:tc>
          <w:tcPr>
            <w:tcW w:w="2551" w:type="dxa"/>
            <w:vAlign w:val="center"/>
          </w:tcPr>
          <w:p>
            <w:pPr>
              <w:pStyle w:val="13"/>
            </w:pPr>
            <w:r>
              <w:t>36.28</w:t>
            </w:r>
          </w:p>
        </w:tc>
        <w:tc>
          <w:tcPr>
            <w:tcW w:w="2551" w:type="dxa"/>
            <w:vAlign w:val="center"/>
          </w:tcPr>
          <w:p>
            <w:pPr>
              <w:pStyle w:val="13"/>
            </w:pPr>
          </w:p>
        </w:tc>
        <w:tc>
          <w:tcPr>
            <w:tcW w:w="2551" w:type="dxa"/>
            <w:vAlign w:val="center"/>
          </w:tcPr>
          <w:p>
            <w:pPr>
              <w:pStyle w:val="13"/>
            </w:pPr>
            <w:r>
              <w:t>36.28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20799</w:t>
            </w:r>
          </w:p>
        </w:tc>
        <w:tc>
          <w:tcPr>
            <w:tcW w:w="4535" w:type="dxa"/>
            <w:vAlign w:val="center"/>
          </w:tcPr>
          <w:p>
            <w:pPr>
              <w:pStyle w:val="14"/>
            </w:pPr>
            <w:r>
              <w:t>其他文化旅游体育与传媒支出</w:t>
            </w:r>
          </w:p>
        </w:tc>
        <w:tc>
          <w:tcPr>
            <w:tcW w:w="2551" w:type="dxa"/>
            <w:vAlign w:val="center"/>
          </w:tcPr>
          <w:p>
            <w:pPr>
              <w:pStyle w:val="13"/>
            </w:pPr>
            <w:r>
              <w:t>55.34</w:t>
            </w:r>
          </w:p>
        </w:tc>
        <w:tc>
          <w:tcPr>
            <w:tcW w:w="2551" w:type="dxa"/>
            <w:vAlign w:val="center"/>
          </w:tcPr>
          <w:p>
            <w:pPr>
              <w:pStyle w:val="13"/>
            </w:pPr>
          </w:p>
        </w:tc>
        <w:tc>
          <w:tcPr>
            <w:tcW w:w="2551" w:type="dxa"/>
            <w:vAlign w:val="center"/>
          </w:tcPr>
          <w:p>
            <w:pPr>
              <w:pStyle w:val="13"/>
            </w:pPr>
            <w:r>
              <w:t>55.34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2079999</w:t>
            </w:r>
          </w:p>
        </w:tc>
        <w:tc>
          <w:tcPr>
            <w:tcW w:w="4535" w:type="dxa"/>
            <w:vAlign w:val="center"/>
          </w:tcPr>
          <w:p>
            <w:pPr>
              <w:pStyle w:val="14"/>
            </w:pPr>
            <w:r>
              <w:t>其他文化旅游体育与传媒支出</w:t>
            </w:r>
          </w:p>
        </w:tc>
        <w:tc>
          <w:tcPr>
            <w:tcW w:w="2551" w:type="dxa"/>
            <w:vAlign w:val="center"/>
          </w:tcPr>
          <w:p>
            <w:pPr>
              <w:pStyle w:val="13"/>
            </w:pPr>
            <w:r>
              <w:t>55.34</w:t>
            </w:r>
          </w:p>
        </w:tc>
        <w:tc>
          <w:tcPr>
            <w:tcW w:w="2551" w:type="dxa"/>
            <w:vAlign w:val="center"/>
          </w:tcPr>
          <w:p>
            <w:pPr>
              <w:pStyle w:val="13"/>
            </w:pPr>
          </w:p>
        </w:tc>
        <w:tc>
          <w:tcPr>
            <w:tcW w:w="2551" w:type="dxa"/>
            <w:vAlign w:val="center"/>
          </w:tcPr>
          <w:p>
            <w:pPr>
              <w:pStyle w:val="13"/>
            </w:pPr>
            <w:r>
              <w:t>55.34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211001中共莲池区委宣传部本级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535.05</w:t>
            </w:r>
          </w:p>
        </w:tc>
        <w:tc>
          <w:tcPr>
            <w:tcW w:w="2551" w:type="dxa"/>
            <w:vAlign w:val="center"/>
          </w:tcPr>
          <w:p>
            <w:pPr>
              <w:pStyle w:val="17"/>
            </w:pPr>
            <w:r>
              <w:t>497.21</w:t>
            </w:r>
          </w:p>
        </w:tc>
        <w:tc>
          <w:tcPr>
            <w:tcW w:w="2551" w:type="dxa"/>
            <w:vAlign w:val="center"/>
          </w:tcPr>
          <w:p>
            <w:pPr>
              <w:pStyle w:val="17"/>
            </w:pPr>
            <w:r>
              <w:t>37.84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484.21</w:t>
            </w:r>
          </w:p>
        </w:tc>
        <w:tc>
          <w:tcPr>
            <w:tcW w:w="2551" w:type="dxa"/>
            <w:vAlign w:val="center"/>
          </w:tcPr>
          <w:p>
            <w:pPr>
              <w:pStyle w:val="13"/>
            </w:pPr>
            <w:r>
              <w:t>484.21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146.00</w:t>
            </w:r>
          </w:p>
        </w:tc>
        <w:tc>
          <w:tcPr>
            <w:tcW w:w="2551" w:type="dxa"/>
            <w:vAlign w:val="center"/>
          </w:tcPr>
          <w:p>
            <w:pPr>
              <w:pStyle w:val="13"/>
            </w:pPr>
            <w:r>
              <w:t>146.00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81.01</w:t>
            </w:r>
          </w:p>
        </w:tc>
        <w:tc>
          <w:tcPr>
            <w:tcW w:w="2551" w:type="dxa"/>
            <w:vAlign w:val="center"/>
          </w:tcPr>
          <w:p>
            <w:pPr>
              <w:pStyle w:val="13"/>
            </w:pPr>
            <w:r>
              <w:t>81.01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54.00</w:t>
            </w:r>
          </w:p>
        </w:tc>
        <w:tc>
          <w:tcPr>
            <w:tcW w:w="2551" w:type="dxa"/>
            <w:vAlign w:val="center"/>
          </w:tcPr>
          <w:p>
            <w:pPr>
              <w:pStyle w:val="13"/>
            </w:pPr>
            <w:r>
              <w:t>54.00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85.00</w:t>
            </w:r>
          </w:p>
        </w:tc>
        <w:tc>
          <w:tcPr>
            <w:tcW w:w="2551" w:type="dxa"/>
            <w:vAlign w:val="center"/>
          </w:tcPr>
          <w:p>
            <w:pPr>
              <w:pStyle w:val="13"/>
            </w:pPr>
            <w:r>
              <w:t>85.00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49.00</w:t>
            </w:r>
          </w:p>
        </w:tc>
        <w:tc>
          <w:tcPr>
            <w:tcW w:w="2551" w:type="dxa"/>
            <w:vAlign w:val="center"/>
          </w:tcPr>
          <w:p>
            <w:pPr>
              <w:pStyle w:val="13"/>
            </w:pPr>
            <w:r>
              <w:t>49.00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17.20</w:t>
            </w:r>
          </w:p>
        </w:tc>
        <w:tc>
          <w:tcPr>
            <w:tcW w:w="2551" w:type="dxa"/>
            <w:vAlign w:val="center"/>
          </w:tcPr>
          <w:p>
            <w:pPr>
              <w:pStyle w:val="13"/>
            </w:pPr>
            <w:r>
              <w:t>17.20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9.00</w:t>
            </w:r>
          </w:p>
        </w:tc>
        <w:tc>
          <w:tcPr>
            <w:tcW w:w="2551" w:type="dxa"/>
            <w:vAlign w:val="center"/>
          </w:tcPr>
          <w:p>
            <w:pPr>
              <w:pStyle w:val="13"/>
            </w:pPr>
            <w:r>
              <w:t>9.00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3.00</w:t>
            </w:r>
          </w:p>
        </w:tc>
        <w:tc>
          <w:tcPr>
            <w:tcW w:w="2551" w:type="dxa"/>
            <w:vAlign w:val="center"/>
          </w:tcPr>
          <w:p>
            <w:pPr>
              <w:pStyle w:val="13"/>
            </w:pPr>
            <w:r>
              <w:t>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40.00</w:t>
            </w:r>
          </w:p>
        </w:tc>
        <w:tc>
          <w:tcPr>
            <w:tcW w:w="2551" w:type="dxa"/>
            <w:vAlign w:val="center"/>
          </w:tcPr>
          <w:p>
            <w:pPr>
              <w:pStyle w:val="13"/>
            </w:pPr>
            <w:r>
              <w:t>40.00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37.84</w:t>
            </w:r>
          </w:p>
        </w:tc>
        <w:tc>
          <w:tcPr>
            <w:tcW w:w="2551" w:type="dxa"/>
            <w:vAlign w:val="center"/>
          </w:tcPr>
          <w:p>
            <w:pPr>
              <w:pStyle w:val="13"/>
            </w:pPr>
          </w:p>
        </w:tc>
        <w:tc>
          <w:tcPr>
            <w:tcW w:w="2551" w:type="dxa"/>
            <w:vAlign w:val="center"/>
          </w:tcPr>
          <w:p>
            <w:pPr>
              <w:pStyle w:val="13"/>
            </w:pPr>
            <w:r>
              <w:t>37.84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5.40</w:t>
            </w:r>
          </w:p>
        </w:tc>
        <w:tc>
          <w:tcPr>
            <w:tcW w:w="2551" w:type="dxa"/>
            <w:vAlign w:val="center"/>
          </w:tcPr>
          <w:p>
            <w:pPr>
              <w:pStyle w:val="13"/>
            </w:pPr>
          </w:p>
        </w:tc>
        <w:tc>
          <w:tcPr>
            <w:tcW w:w="2551" w:type="dxa"/>
            <w:vAlign w:val="center"/>
          </w:tcPr>
          <w:p>
            <w:pPr>
              <w:pStyle w:val="13"/>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10.94</w:t>
            </w:r>
          </w:p>
        </w:tc>
        <w:tc>
          <w:tcPr>
            <w:tcW w:w="2551" w:type="dxa"/>
            <w:vAlign w:val="center"/>
          </w:tcPr>
          <w:p>
            <w:pPr>
              <w:pStyle w:val="13"/>
            </w:pPr>
          </w:p>
        </w:tc>
        <w:tc>
          <w:tcPr>
            <w:tcW w:w="2551" w:type="dxa"/>
            <w:vAlign w:val="center"/>
          </w:tcPr>
          <w:p>
            <w:pPr>
              <w:pStyle w:val="13"/>
            </w:pPr>
            <w:r>
              <w:t>10.94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2.70</w:t>
            </w:r>
          </w:p>
        </w:tc>
        <w:tc>
          <w:tcPr>
            <w:tcW w:w="2551" w:type="dxa"/>
            <w:vAlign w:val="center"/>
          </w:tcPr>
          <w:p>
            <w:pPr>
              <w:pStyle w:val="13"/>
            </w:pPr>
          </w:p>
        </w:tc>
        <w:tc>
          <w:tcPr>
            <w:tcW w:w="2551" w:type="dxa"/>
            <w:vAlign w:val="center"/>
          </w:tcPr>
          <w:p>
            <w:pPr>
              <w:pStyle w:val="13"/>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2.91</w:t>
            </w:r>
          </w:p>
        </w:tc>
        <w:tc>
          <w:tcPr>
            <w:tcW w:w="2551" w:type="dxa"/>
            <w:vAlign w:val="center"/>
          </w:tcPr>
          <w:p>
            <w:pPr>
              <w:pStyle w:val="13"/>
            </w:pPr>
          </w:p>
        </w:tc>
        <w:tc>
          <w:tcPr>
            <w:tcW w:w="2551" w:type="dxa"/>
            <w:vAlign w:val="center"/>
          </w:tcPr>
          <w:p>
            <w:pPr>
              <w:pStyle w:val="13"/>
            </w:pPr>
            <w:r>
              <w:t>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12.00</w:t>
            </w:r>
          </w:p>
        </w:tc>
        <w:tc>
          <w:tcPr>
            <w:tcW w:w="2551" w:type="dxa"/>
            <w:vAlign w:val="center"/>
          </w:tcPr>
          <w:p>
            <w:pPr>
              <w:pStyle w:val="13"/>
            </w:pPr>
          </w:p>
        </w:tc>
        <w:tc>
          <w:tcPr>
            <w:tcW w:w="2551"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3.89</w:t>
            </w:r>
          </w:p>
        </w:tc>
        <w:tc>
          <w:tcPr>
            <w:tcW w:w="2551" w:type="dxa"/>
            <w:vAlign w:val="center"/>
          </w:tcPr>
          <w:p>
            <w:pPr>
              <w:pStyle w:val="13"/>
            </w:pPr>
          </w:p>
        </w:tc>
        <w:tc>
          <w:tcPr>
            <w:tcW w:w="2551" w:type="dxa"/>
            <w:vAlign w:val="center"/>
          </w:tcPr>
          <w:p>
            <w:pPr>
              <w:pStyle w:val="13"/>
            </w:pPr>
            <w:r>
              <w:t>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13.00</w:t>
            </w:r>
          </w:p>
        </w:tc>
        <w:tc>
          <w:tcPr>
            <w:tcW w:w="2551" w:type="dxa"/>
            <w:vAlign w:val="center"/>
          </w:tcPr>
          <w:p>
            <w:pPr>
              <w:pStyle w:val="13"/>
            </w:pPr>
            <w:r>
              <w:t>13.00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13.00</w:t>
            </w:r>
          </w:p>
        </w:tc>
        <w:tc>
          <w:tcPr>
            <w:tcW w:w="2551" w:type="dxa"/>
            <w:vAlign w:val="center"/>
          </w:tcPr>
          <w:p>
            <w:pPr>
              <w:pStyle w:val="13"/>
            </w:pPr>
            <w:r>
              <w:t>13.00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211001中共莲池区委宣传部本级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60.00</w:t>
            </w:r>
          </w:p>
        </w:tc>
        <w:tc>
          <w:tcPr>
            <w:tcW w:w="2551" w:type="dxa"/>
            <w:vAlign w:val="center"/>
          </w:tcPr>
          <w:p>
            <w:pPr>
              <w:pStyle w:val="17"/>
            </w:pPr>
          </w:p>
        </w:tc>
        <w:tc>
          <w:tcPr>
            <w:tcW w:w="2551" w:type="dxa"/>
            <w:vAlign w:val="center"/>
          </w:tcPr>
          <w:p>
            <w:pPr>
              <w:pStyle w:val="17"/>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60.00</w:t>
            </w:r>
          </w:p>
        </w:tc>
        <w:tc>
          <w:tcPr>
            <w:tcW w:w="2551" w:type="dxa"/>
            <w:vAlign w:val="center"/>
          </w:tcPr>
          <w:p>
            <w:pPr>
              <w:pStyle w:val="13"/>
            </w:pPr>
          </w:p>
        </w:tc>
        <w:tc>
          <w:tcPr>
            <w:tcW w:w="2551"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20707</w:t>
            </w:r>
          </w:p>
        </w:tc>
        <w:tc>
          <w:tcPr>
            <w:tcW w:w="4535" w:type="dxa"/>
            <w:vAlign w:val="center"/>
          </w:tcPr>
          <w:p>
            <w:pPr>
              <w:pStyle w:val="14"/>
            </w:pPr>
            <w:r>
              <w:t>国家电影事业发展专项资金安排的支出</w:t>
            </w:r>
          </w:p>
        </w:tc>
        <w:tc>
          <w:tcPr>
            <w:tcW w:w="2551" w:type="dxa"/>
            <w:vAlign w:val="center"/>
          </w:tcPr>
          <w:p>
            <w:pPr>
              <w:pStyle w:val="13"/>
            </w:pPr>
            <w:r>
              <w:t>60.00</w:t>
            </w:r>
          </w:p>
        </w:tc>
        <w:tc>
          <w:tcPr>
            <w:tcW w:w="2551" w:type="dxa"/>
            <w:vAlign w:val="center"/>
          </w:tcPr>
          <w:p>
            <w:pPr>
              <w:pStyle w:val="13"/>
            </w:pPr>
          </w:p>
        </w:tc>
        <w:tc>
          <w:tcPr>
            <w:tcW w:w="2551" w:type="dxa"/>
            <w:vAlign w:val="center"/>
          </w:tcPr>
          <w:p>
            <w:pPr>
              <w:pStyle w:val="13"/>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2070799</w:t>
            </w:r>
          </w:p>
        </w:tc>
        <w:tc>
          <w:tcPr>
            <w:tcW w:w="4535" w:type="dxa"/>
            <w:vAlign w:val="center"/>
          </w:tcPr>
          <w:p>
            <w:pPr>
              <w:pStyle w:val="14"/>
            </w:pPr>
            <w:r>
              <w:t>其他国家电影事业发展专项资金支出</w:t>
            </w:r>
          </w:p>
        </w:tc>
        <w:tc>
          <w:tcPr>
            <w:tcW w:w="2551" w:type="dxa"/>
            <w:vAlign w:val="center"/>
          </w:tcPr>
          <w:p>
            <w:pPr>
              <w:pStyle w:val="13"/>
            </w:pPr>
            <w:r>
              <w:t>60.00</w:t>
            </w:r>
          </w:p>
        </w:tc>
        <w:tc>
          <w:tcPr>
            <w:tcW w:w="2551" w:type="dxa"/>
            <w:vAlign w:val="center"/>
          </w:tcPr>
          <w:p>
            <w:pPr>
              <w:pStyle w:val="13"/>
            </w:pPr>
          </w:p>
        </w:tc>
        <w:tc>
          <w:tcPr>
            <w:tcW w:w="2551" w:type="dxa"/>
            <w:vAlign w:val="center"/>
          </w:tcPr>
          <w:p>
            <w:pPr>
              <w:pStyle w:val="13"/>
            </w:pPr>
            <w:r>
              <w:t>60.00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211001中共莲池区委宣传部本级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211001中共莲池区委宣传部本级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pPr>
              <w:pStyle w:val="15"/>
              <w:rPr>
                <w:lang w:eastAsia="zh-CN"/>
              </w:rPr>
            </w:pPr>
            <w:r>
              <w:rPr>
                <w:rFonts w:hint="eastAsia"/>
                <w:lang w:eastAsia="zh-CN"/>
              </w:rPr>
              <w:t>1</w:t>
            </w:r>
          </w:p>
        </w:tc>
        <w:tc>
          <w:tcPr>
            <w:tcW w:w="3798" w:type="dxa"/>
            <w:shd w:val="clear" w:color="auto" w:fill="auto"/>
            <w:vAlign w:val="center"/>
          </w:tcPr>
          <w:p>
            <w:pPr>
              <w:pStyle w:val="16"/>
            </w:pPr>
            <w:r>
              <w:t>合计</w:t>
            </w:r>
          </w:p>
        </w:tc>
        <w:tc>
          <w:tcPr>
            <w:tcW w:w="2381" w:type="dxa"/>
            <w:shd w:val="clear" w:color="auto" w:fill="auto"/>
            <w:vAlign w:val="center"/>
          </w:tcPr>
          <w:p>
            <w:pPr>
              <w:pStyle w:val="17"/>
            </w:pPr>
            <w:r>
              <w:rPr>
                <w:rFonts w:hint="eastAsia"/>
                <w:lang w:eastAsia="zh-CN"/>
              </w:rPr>
              <w:t>2.91</w:t>
            </w:r>
          </w:p>
        </w:tc>
        <w:tc>
          <w:tcPr>
            <w:tcW w:w="2381" w:type="dxa"/>
            <w:shd w:val="clear" w:color="auto" w:fill="auto"/>
            <w:vAlign w:val="center"/>
          </w:tcPr>
          <w:p>
            <w:pPr>
              <w:pStyle w:val="17"/>
            </w:pPr>
            <w:r>
              <w:rPr>
                <w:rFonts w:hint="eastAsia"/>
                <w:lang w:eastAsia="zh-CN"/>
              </w:rPr>
              <w:t>2.91</w:t>
            </w:r>
          </w:p>
        </w:tc>
        <w:tc>
          <w:tcPr>
            <w:tcW w:w="2381" w:type="dxa"/>
            <w:shd w:val="clear" w:color="auto" w:fill="auto"/>
            <w:vAlign w:val="center"/>
          </w:tcPr>
          <w:p>
            <w:pPr>
              <w:pStyle w:val="17"/>
            </w:pPr>
          </w:p>
        </w:tc>
        <w:tc>
          <w:tcPr>
            <w:tcW w:w="2381" w:type="dxa"/>
            <w:shd w:val="clear" w:color="auto" w:fill="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tcPr>
          <w:p>
            <w:pPr>
              <w:pStyle w:val="15"/>
              <w:rPr>
                <w:lang w:eastAsia="zh-CN"/>
              </w:rPr>
            </w:pPr>
            <w:r>
              <w:rPr>
                <w:rFonts w:hint="eastAsia"/>
                <w:lang w:eastAsia="zh-CN"/>
              </w:rPr>
              <w:t>2</w:t>
            </w:r>
          </w:p>
        </w:tc>
        <w:tc>
          <w:tcPr>
            <w:tcW w:w="3798" w:type="dxa"/>
            <w:shd w:val="clear" w:color="auto" w:fill="auto"/>
            <w:vAlign w:val="center"/>
          </w:tcPr>
          <w:p>
            <w:pPr>
              <w:pStyle w:val="14"/>
            </w:pPr>
            <w:r>
              <w:t>“三公”经费小计</w:t>
            </w:r>
          </w:p>
        </w:tc>
        <w:tc>
          <w:tcPr>
            <w:tcW w:w="2381" w:type="dxa"/>
            <w:shd w:val="clear" w:color="auto" w:fill="auto"/>
            <w:vAlign w:val="center"/>
          </w:tcPr>
          <w:p>
            <w:pPr>
              <w:pStyle w:val="13"/>
            </w:pPr>
            <w:r>
              <w:rPr>
                <w:rFonts w:hint="eastAsia"/>
                <w:lang w:eastAsia="zh-CN"/>
              </w:rPr>
              <w:t>2.91</w:t>
            </w:r>
          </w:p>
        </w:tc>
        <w:tc>
          <w:tcPr>
            <w:tcW w:w="2381" w:type="dxa"/>
            <w:shd w:val="clear" w:color="auto" w:fill="auto"/>
            <w:vAlign w:val="center"/>
          </w:tcPr>
          <w:p>
            <w:pPr>
              <w:pStyle w:val="13"/>
            </w:pPr>
            <w:r>
              <w:rPr>
                <w:rFonts w:hint="eastAsia"/>
                <w:lang w:eastAsia="zh-CN"/>
              </w:rPr>
              <w:t>2.91</w:t>
            </w: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tcPr>
          <w:p>
            <w:pPr>
              <w:pStyle w:val="15"/>
              <w:rPr>
                <w:lang w:eastAsia="zh-CN"/>
              </w:rPr>
            </w:pPr>
            <w:r>
              <w:rPr>
                <w:rFonts w:hint="eastAsia"/>
                <w:lang w:eastAsia="zh-CN"/>
              </w:rPr>
              <w:t>3</w:t>
            </w:r>
          </w:p>
        </w:tc>
        <w:tc>
          <w:tcPr>
            <w:tcW w:w="3798" w:type="dxa"/>
            <w:shd w:val="clear" w:color="auto" w:fill="auto"/>
            <w:vAlign w:val="center"/>
          </w:tcPr>
          <w:p>
            <w:pPr>
              <w:pStyle w:val="14"/>
            </w:pPr>
            <w:r>
              <w:t>一、因公出国（境）费</w:t>
            </w: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tcPr>
          <w:p>
            <w:pPr>
              <w:pStyle w:val="15"/>
              <w:rPr>
                <w:lang w:eastAsia="zh-CN"/>
              </w:rPr>
            </w:pPr>
            <w:r>
              <w:rPr>
                <w:rFonts w:hint="eastAsia"/>
                <w:lang w:eastAsia="zh-CN"/>
              </w:rPr>
              <w:t>4</w:t>
            </w:r>
          </w:p>
        </w:tc>
        <w:tc>
          <w:tcPr>
            <w:tcW w:w="3798" w:type="dxa"/>
            <w:shd w:val="clear" w:color="auto" w:fill="auto"/>
            <w:vAlign w:val="center"/>
          </w:tcPr>
          <w:p>
            <w:pPr>
              <w:pStyle w:val="14"/>
            </w:pPr>
            <w:r>
              <w:t xml:space="preserve">    其中：教学科研人员因公出国（境）费</w:t>
            </w: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tcPr>
          <w:p>
            <w:pPr>
              <w:pStyle w:val="15"/>
              <w:rPr>
                <w:lang w:eastAsia="zh-CN"/>
              </w:rPr>
            </w:pPr>
            <w:r>
              <w:rPr>
                <w:rFonts w:hint="eastAsia"/>
                <w:lang w:eastAsia="zh-CN"/>
              </w:rPr>
              <w:t>5</w:t>
            </w:r>
          </w:p>
        </w:tc>
        <w:tc>
          <w:tcPr>
            <w:tcW w:w="3798" w:type="dxa"/>
            <w:shd w:val="clear" w:color="auto" w:fill="auto"/>
            <w:vAlign w:val="center"/>
          </w:tcPr>
          <w:p>
            <w:pPr>
              <w:pStyle w:val="14"/>
            </w:pPr>
            <w:r>
              <w:t xml:space="preserve">          其他因公出国（境）费</w:t>
            </w: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tcPr>
          <w:p>
            <w:pPr>
              <w:pStyle w:val="15"/>
              <w:rPr>
                <w:lang w:eastAsia="zh-CN"/>
              </w:rPr>
            </w:pPr>
            <w:r>
              <w:rPr>
                <w:rFonts w:hint="eastAsia"/>
                <w:lang w:eastAsia="zh-CN"/>
              </w:rPr>
              <w:t>6</w:t>
            </w:r>
          </w:p>
        </w:tc>
        <w:tc>
          <w:tcPr>
            <w:tcW w:w="3798" w:type="dxa"/>
            <w:shd w:val="clear" w:color="auto" w:fill="auto"/>
            <w:vAlign w:val="center"/>
          </w:tcPr>
          <w:p>
            <w:pPr>
              <w:pStyle w:val="14"/>
            </w:pPr>
            <w:r>
              <w:t>二、公务用车购置及运维费</w:t>
            </w:r>
          </w:p>
        </w:tc>
        <w:tc>
          <w:tcPr>
            <w:tcW w:w="2381" w:type="dxa"/>
            <w:shd w:val="clear" w:color="auto" w:fill="auto"/>
            <w:vAlign w:val="center"/>
          </w:tcPr>
          <w:p>
            <w:pPr>
              <w:pStyle w:val="13"/>
            </w:pPr>
            <w:r>
              <w:rPr>
                <w:rFonts w:hint="eastAsia"/>
                <w:lang w:eastAsia="zh-CN"/>
              </w:rPr>
              <w:t>2.91</w:t>
            </w:r>
          </w:p>
        </w:tc>
        <w:tc>
          <w:tcPr>
            <w:tcW w:w="2381" w:type="dxa"/>
            <w:shd w:val="clear" w:color="auto" w:fill="auto"/>
            <w:vAlign w:val="center"/>
          </w:tcPr>
          <w:p>
            <w:pPr>
              <w:pStyle w:val="13"/>
            </w:pPr>
            <w:r>
              <w:rPr>
                <w:rFonts w:hint="eastAsia"/>
                <w:lang w:eastAsia="zh-CN"/>
              </w:rPr>
              <w:t>2.91</w:t>
            </w: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tcPr>
          <w:p>
            <w:pPr>
              <w:pStyle w:val="15"/>
              <w:rPr>
                <w:lang w:eastAsia="zh-CN"/>
              </w:rPr>
            </w:pPr>
            <w:r>
              <w:rPr>
                <w:rFonts w:hint="eastAsia"/>
                <w:lang w:eastAsia="zh-CN"/>
              </w:rPr>
              <w:t>7</w:t>
            </w:r>
          </w:p>
        </w:tc>
        <w:tc>
          <w:tcPr>
            <w:tcW w:w="3798" w:type="dxa"/>
            <w:shd w:val="clear" w:color="auto" w:fill="auto"/>
            <w:vAlign w:val="center"/>
          </w:tcPr>
          <w:p>
            <w:pPr>
              <w:pStyle w:val="14"/>
            </w:pPr>
            <w:r>
              <w:t xml:space="preserve">    其中：公务用车购置费</w:t>
            </w: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tcPr>
          <w:p>
            <w:pPr>
              <w:pStyle w:val="15"/>
              <w:rPr>
                <w:lang w:eastAsia="zh-CN"/>
              </w:rPr>
            </w:pPr>
            <w:r>
              <w:rPr>
                <w:rFonts w:hint="eastAsia"/>
                <w:lang w:eastAsia="zh-CN"/>
              </w:rPr>
              <w:t>8</w:t>
            </w:r>
          </w:p>
        </w:tc>
        <w:tc>
          <w:tcPr>
            <w:tcW w:w="3798" w:type="dxa"/>
            <w:shd w:val="clear" w:color="auto" w:fill="auto"/>
            <w:vAlign w:val="center"/>
          </w:tcPr>
          <w:p>
            <w:pPr>
              <w:pStyle w:val="14"/>
            </w:pPr>
            <w:r>
              <w:t xml:space="preserve">          公务用车运行维护费</w:t>
            </w:r>
          </w:p>
        </w:tc>
        <w:tc>
          <w:tcPr>
            <w:tcW w:w="2381" w:type="dxa"/>
            <w:shd w:val="clear" w:color="auto" w:fill="auto"/>
            <w:vAlign w:val="center"/>
          </w:tcPr>
          <w:p>
            <w:pPr>
              <w:pStyle w:val="13"/>
            </w:pPr>
            <w:r>
              <w:rPr>
                <w:rFonts w:hint="eastAsia"/>
                <w:lang w:eastAsia="zh-CN"/>
              </w:rPr>
              <w:t>2.91</w:t>
            </w:r>
          </w:p>
        </w:tc>
        <w:tc>
          <w:tcPr>
            <w:tcW w:w="2381" w:type="dxa"/>
            <w:shd w:val="clear" w:color="auto" w:fill="auto"/>
            <w:vAlign w:val="center"/>
          </w:tcPr>
          <w:p>
            <w:pPr>
              <w:pStyle w:val="13"/>
            </w:pPr>
            <w:r>
              <w:rPr>
                <w:rFonts w:hint="eastAsia"/>
                <w:lang w:eastAsia="zh-CN"/>
              </w:rPr>
              <w:t>2.91</w:t>
            </w:r>
          </w:p>
        </w:tc>
        <w:tc>
          <w:tcPr>
            <w:tcW w:w="2381" w:type="dxa"/>
            <w:shd w:val="clear" w:color="auto" w:fill="auto"/>
            <w:vAlign w:val="center"/>
          </w:tcPr>
          <w:p>
            <w:pPr>
              <w:pStyle w:val="13"/>
            </w:pPr>
          </w:p>
        </w:tc>
        <w:tc>
          <w:tcPr>
            <w:tcW w:w="2381" w:type="dxa"/>
            <w:shd w:val="clear" w:color="auto" w:fill="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tcPr>
          <w:p>
            <w:pPr>
              <w:pStyle w:val="15"/>
              <w:rPr>
                <w:lang w:eastAsia="zh-CN"/>
              </w:rPr>
            </w:pPr>
            <w:r>
              <w:rPr>
                <w:rFonts w:hint="eastAsia"/>
                <w:lang w:eastAsia="zh-CN"/>
              </w:rPr>
              <w:t>9</w:t>
            </w:r>
          </w:p>
        </w:tc>
        <w:tc>
          <w:tcPr>
            <w:tcW w:w="3798" w:type="dxa"/>
            <w:shd w:val="clear" w:color="auto" w:fill="auto"/>
            <w:vAlign w:val="center"/>
          </w:tcPr>
          <w:p>
            <w:pPr>
              <w:pStyle w:val="14"/>
            </w:pPr>
            <w:r>
              <w:t>三、公务接待费</w:t>
            </w: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c>
          <w:tcPr>
            <w:tcW w:w="2381" w:type="dxa"/>
            <w:shd w:val="clear" w:color="auto" w:fill="auto"/>
            <w:vAlign w:val="center"/>
          </w:tcPr>
          <w:p>
            <w:pPr>
              <w:pStyle w:val="13"/>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中共莲池区委宣传部本级2026年单位预算信息公开情况说明</w:t>
      </w:r>
    </w:p>
    <w:p>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按照《中华人民共和国预算法》、《地方预决算公开操作规程》和《关于进一步推进预算公开工作的实施意见》规定，现将中共莲池区委宣传部本级2026年单位预算公开如下：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31"/>
      </w:pPr>
      <w:r>
        <w:t>（一）拟订全区宣传思想文化工作重大方针政策和事业发展总体规划，按照区委统一部署，协调宣传思想文化系统各部门之间的工作。</w:t>
      </w:r>
    </w:p>
    <w:p>
      <w:pPr>
        <w:pStyle w:val="31"/>
      </w:pPr>
      <w:r>
        <w:t>（二）统筹协调全区党的意识形态工作，贯彻落实区委关于意识形态工作决策部署，组织协调意识形态工作责任制落实和日常监督检查，结合巡视巡察工作开展专项检查。</w:t>
      </w:r>
    </w:p>
    <w:p>
      <w:pPr>
        <w:pStyle w:val="31"/>
      </w:pPr>
      <w:r>
        <w:t>（三）统筹指导协调全区理论研究、理论学习、理论宣传工作，组织推动理论武装工作，负责区委理论学习中心组理论学习的有关工作。</w:t>
      </w:r>
    </w:p>
    <w:p>
      <w:pPr>
        <w:pStyle w:val="31"/>
      </w:pPr>
      <w:r>
        <w:t>（四）负责规划组织全区全局性思想政治工作任务，组织对全区先进典型的学习推广。会同有关部门研究和改进群众思想教育工作。</w:t>
      </w:r>
    </w:p>
    <w:p>
      <w:pPr>
        <w:pStyle w:val="31"/>
      </w:pPr>
      <w:r>
        <w:t>（五）统筹分析研判和引导全区社会舆论，负责全区融媒体中心的建设和管理工作，组织全区突发公共事件应急新闻工作。</w:t>
      </w:r>
    </w:p>
    <w:p>
      <w:pPr>
        <w:pStyle w:val="31"/>
      </w:pPr>
      <w:r>
        <w:t>（六）负责全区印刷业的监督管理，图书发行行业、音像店、电子出版物的行业管理，著作权管理以及出版物市场的管理。组织开展“扫黄打非”工作。</w:t>
      </w:r>
    </w:p>
    <w:p>
      <w:pPr>
        <w:pStyle w:val="31"/>
      </w:pPr>
      <w:r>
        <w:t>（七）从宏观上统筹指导协调全区互联网宣传和信息内容管理工作。统筹数字新媒体的建设和管理。</w:t>
      </w:r>
    </w:p>
    <w:p>
      <w:pPr>
        <w:pStyle w:val="31"/>
      </w:pPr>
      <w:r>
        <w:t>（八）从宏观上统筹指导协调推动全区精神文化产品的创作和生产，协调组织中华优秀传统文化传承发展有关工作，指导协调推动群众文化建设。</w:t>
      </w:r>
    </w:p>
    <w:p>
      <w:pPr>
        <w:pStyle w:val="31"/>
      </w:pPr>
      <w:r>
        <w:t>（九）统筹指导全区舆情信息工作，组织协调开展区内外舆情信息收集分析研判工作，跟踪了解、研究掌握宣传舆情动态。</w:t>
      </w:r>
    </w:p>
    <w:p>
      <w:pPr>
        <w:pStyle w:val="31"/>
      </w:pPr>
      <w:r>
        <w:t>（十）统筹协调组织开展新闻发布工作。承担区委新闻发布有关组织协调工作，负责区政府新闻发布组织实施工作。指导协调区政府各部门和各乡（镇）、街道的新闻发布工作，拟定区重大问题对外宣传口径。</w:t>
      </w:r>
    </w:p>
    <w:p>
      <w:pPr>
        <w:pStyle w:val="31"/>
        <w:sectPr>
          <w:pgSz w:w="11900" w:h="16840"/>
          <w:pgMar w:top="1361" w:right="1020" w:bottom="1361" w:left="1020" w:header="720" w:footer="720" w:gutter="0"/>
          <w:pgNumType w:start="1"/>
          <w:cols w:space="720" w:num="1"/>
        </w:sectPr>
      </w:pPr>
      <w:r>
        <w:t>（十一）完成区委交办的其他任务。</w:t>
      </w:r>
    </w:p>
    <w:p>
      <w:pPr>
        <w:pStyle w:val="2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中共莲池区委宣传部本级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8"/>
        <w:rPr>
          <w:color w:val="000000"/>
        </w:rPr>
      </w:pPr>
      <w:r>
        <w:rPr>
          <w:color w:val="000000"/>
        </w:rPr>
        <w:t>按照预算管理有关规定，目前我省部门预算的编制实行综合预算管理，即全部收入和支出都反映在预算中。中共莲池区委宣传部机关及所属事业单位的收支包含在部门预算中。</w:t>
      </w:r>
    </w:p>
    <w:p>
      <w:pPr>
        <w:spacing w:line="560" w:lineRule="exact"/>
        <w:ind w:firstLine="560" w:firstLineChars="200"/>
        <w:rPr>
          <w:rFonts w:eastAsia="方正仿宋_GBK"/>
          <w:color w:val="000000"/>
          <w:sz w:val="28"/>
        </w:rPr>
      </w:pPr>
      <w:r>
        <w:rPr>
          <w:rFonts w:eastAsia="方正仿宋_GBK"/>
          <w:color w:val="000000"/>
          <w:sz w:val="28"/>
        </w:rPr>
        <w:t>（一）</w:t>
      </w:r>
      <w:r>
        <w:rPr>
          <w:rFonts w:hint="eastAsia" w:eastAsia="方正仿宋_GBK"/>
          <w:color w:val="000000"/>
          <w:sz w:val="28"/>
        </w:rPr>
        <w:t>收入说明</w:t>
      </w:r>
    </w:p>
    <w:p>
      <w:pPr>
        <w:spacing w:line="560" w:lineRule="exact"/>
        <w:ind w:firstLine="560" w:firstLineChars="200"/>
        <w:rPr>
          <w:rFonts w:eastAsia="方正仿宋_GBK"/>
          <w:color w:val="000000"/>
          <w:sz w:val="28"/>
          <w:lang w:eastAsia="zh-CN"/>
        </w:rPr>
      </w:pPr>
      <w:r>
        <w:rPr>
          <w:rFonts w:hint="eastAsia" w:eastAsia="方正仿宋_GBK"/>
          <w:color w:val="000000"/>
          <w:sz w:val="28"/>
        </w:rPr>
        <w:t>202</w:t>
      </w:r>
      <w:r>
        <w:rPr>
          <w:rFonts w:hint="eastAsia" w:eastAsia="方正仿宋_GBK"/>
          <w:color w:val="000000"/>
          <w:sz w:val="28"/>
          <w:lang w:eastAsia="zh-CN"/>
        </w:rPr>
        <w:t>6</w:t>
      </w:r>
      <w:r>
        <w:rPr>
          <w:rFonts w:hint="eastAsia" w:eastAsia="方正仿宋_GBK"/>
          <w:color w:val="000000"/>
          <w:sz w:val="28"/>
        </w:rPr>
        <w:t>年预算收入为</w:t>
      </w:r>
      <w:r>
        <w:rPr>
          <w:rFonts w:hint="eastAsia" w:eastAsia="方正仿宋_GBK"/>
          <w:color w:val="000000"/>
          <w:sz w:val="28"/>
          <w:lang w:eastAsia="zh-CN"/>
        </w:rPr>
        <w:t>940.27</w:t>
      </w:r>
      <w:r>
        <w:rPr>
          <w:rFonts w:hint="eastAsia" w:eastAsia="方正仿宋_GBK"/>
          <w:color w:val="000000"/>
          <w:sz w:val="28"/>
        </w:rPr>
        <w:t>万元,其中：一般公共预算拨款收入</w:t>
      </w:r>
      <w:r>
        <w:rPr>
          <w:rFonts w:hint="eastAsia" w:eastAsia="方正仿宋_GBK"/>
          <w:color w:val="000000"/>
          <w:sz w:val="28"/>
          <w:lang w:eastAsia="zh-CN"/>
        </w:rPr>
        <w:t>845.69</w:t>
      </w:r>
      <w:r>
        <w:rPr>
          <w:rFonts w:hint="eastAsia" w:eastAsia="方正仿宋_GBK"/>
          <w:color w:val="000000"/>
          <w:sz w:val="28"/>
        </w:rPr>
        <w:t>万元，基金预算收入</w:t>
      </w:r>
      <w:r>
        <w:rPr>
          <w:rFonts w:hint="eastAsia" w:eastAsia="方正仿宋_GBK"/>
          <w:color w:val="000000"/>
          <w:sz w:val="28"/>
          <w:lang w:eastAsia="zh-CN"/>
        </w:rPr>
        <w:t>48</w:t>
      </w:r>
      <w:r>
        <w:rPr>
          <w:rFonts w:hint="eastAsia" w:eastAsia="方正仿宋_GBK"/>
          <w:color w:val="000000"/>
          <w:sz w:val="28"/>
        </w:rPr>
        <w:t>万元，</w:t>
      </w:r>
      <w:r>
        <w:rPr>
          <w:rFonts w:hint="eastAsia" w:eastAsia="方正仿宋_GBK"/>
          <w:color w:val="000000"/>
          <w:sz w:val="28"/>
          <w:lang w:eastAsia="zh-CN"/>
        </w:rPr>
        <w:t>上年结转结余46.58万元。</w:t>
      </w:r>
    </w:p>
    <w:p>
      <w:pPr>
        <w:spacing w:line="560" w:lineRule="exact"/>
        <w:ind w:firstLine="560" w:firstLineChars="200"/>
        <w:rPr>
          <w:rFonts w:eastAsia="方正仿宋_GBK"/>
          <w:color w:val="000000"/>
          <w:sz w:val="28"/>
        </w:rPr>
      </w:pPr>
      <w:r>
        <w:rPr>
          <w:rFonts w:eastAsia="方正仿宋_GBK"/>
          <w:color w:val="000000"/>
          <w:sz w:val="28"/>
        </w:rPr>
        <w:t>（二）</w:t>
      </w:r>
      <w:r>
        <w:rPr>
          <w:rFonts w:hint="eastAsia" w:eastAsia="方正仿宋_GBK"/>
          <w:color w:val="000000"/>
          <w:sz w:val="28"/>
        </w:rPr>
        <w:t>支出说明</w:t>
      </w:r>
    </w:p>
    <w:p>
      <w:pPr>
        <w:spacing w:line="560" w:lineRule="exact"/>
        <w:ind w:firstLine="560" w:firstLineChars="200"/>
        <w:rPr>
          <w:rFonts w:eastAsia="方正仿宋_GBK"/>
          <w:color w:val="000000"/>
          <w:sz w:val="28"/>
        </w:rPr>
      </w:pPr>
      <w:r>
        <w:rPr>
          <w:rFonts w:hint="eastAsia" w:eastAsia="方正仿宋_GBK"/>
          <w:color w:val="000000"/>
          <w:sz w:val="28"/>
        </w:rPr>
        <w:t>202</w:t>
      </w:r>
      <w:r>
        <w:rPr>
          <w:rFonts w:hint="eastAsia" w:eastAsia="方正仿宋_GBK"/>
          <w:color w:val="000000"/>
          <w:sz w:val="28"/>
          <w:lang w:eastAsia="zh-CN"/>
        </w:rPr>
        <w:t>6</w:t>
      </w:r>
      <w:r>
        <w:rPr>
          <w:rFonts w:hint="eastAsia" w:eastAsia="方正仿宋_GBK"/>
          <w:color w:val="000000"/>
          <w:sz w:val="28"/>
        </w:rPr>
        <w:t>年部门支出预算：</w:t>
      </w:r>
      <w:r>
        <w:rPr>
          <w:rFonts w:hint="eastAsia" w:eastAsia="方正仿宋_GBK"/>
          <w:color w:val="000000"/>
          <w:sz w:val="28"/>
          <w:lang w:eastAsia="zh-CN"/>
        </w:rPr>
        <w:t>940.27</w:t>
      </w:r>
      <w:r>
        <w:rPr>
          <w:rFonts w:hint="eastAsia" w:eastAsia="方正仿宋_GBK"/>
          <w:color w:val="000000"/>
          <w:sz w:val="28"/>
        </w:rPr>
        <w:t>万元</w:t>
      </w:r>
      <w:r>
        <w:rPr>
          <w:rFonts w:eastAsia="方正仿宋_GBK"/>
          <w:color w:val="000000"/>
          <w:sz w:val="28"/>
        </w:rPr>
        <w:t>。</w:t>
      </w:r>
    </w:p>
    <w:p>
      <w:pPr>
        <w:spacing w:line="560" w:lineRule="exact"/>
        <w:ind w:firstLine="560" w:firstLineChars="200"/>
        <w:rPr>
          <w:rFonts w:eastAsia="方正仿宋_GBK"/>
          <w:color w:val="000000"/>
          <w:sz w:val="28"/>
        </w:rPr>
      </w:pPr>
      <w:r>
        <w:rPr>
          <w:rFonts w:hint="eastAsia" w:eastAsia="方正仿宋_GBK"/>
          <w:color w:val="000000"/>
          <w:sz w:val="28"/>
        </w:rPr>
        <w:t>基本支出</w:t>
      </w:r>
      <w:r>
        <w:rPr>
          <w:rFonts w:hint="eastAsia" w:eastAsia="方正仿宋_GBK"/>
          <w:color w:val="000000"/>
          <w:sz w:val="28"/>
          <w:lang w:eastAsia="zh-CN"/>
        </w:rPr>
        <w:t>535.05</w:t>
      </w:r>
      <w:r>
        <w:rPr>
          <w:rFonts w:hint="eastAsia" w:eastAsia="方正仿宋_GBK"/>
          <w:color w:val="000000"/>
          <w:sz w:val="28"/>
        </w:rPr>
        <w:t>万元</w:t>
      </w:r>
      <w:r>
        <w:rPr>
          <w:rFonts w:eastAsia="方正仿宋_GBK"/>
          <w:color w:val="000000"/>
          <w:sz w:val="28"/>
        </w:rPr>
        <w:t>。</w:t>
      </w:r>
      <w:r>
        <w:rPr>
          <w:rFonts w:hint="eastAsia" w:eastAsia="方正仿宋_GBK"/>
          <w:color w:val="000000"/>
          <w:sz w:val="28"/>
        </w:rPr>
        <w:t>其中：人员经费</w:t>
      </w:r>
      <w:r>
        <w:rPr>
          <w:rFonts w:hint="eastAsia" w:eastAsia="方正仿宋_GBK"/>
          <w:lang w:eastAsia="zh-CN"/>
        </w:rPr>
        <w:t>497.21</w:t>
      </w:r>
      <w:r>
        <w:rPr>
          <w:rFonts w:hint="eastAsia" w:eastAsia="方正仿宋_GBK"/>
          <w:color w:val="000000"/>
          <w:sz w:val="28"/>
        </w:rPr>
        <w:t>万元</w:t>
      </w:r>
      <w:r>
        <w:rPr>
          <w:rFonts w:eastAsia="方正仿宋_GBK"/>
          <w:color w:val="000000"/>
          <w:sz w:val="28"/>
        </w:rPr>
        <w:t>，</w:t>
      </w:r>
      <w:r>
        <w:rPr>
          <w:rFonts w:hint="eastAsia" w:eastAsia="方正仿宋_GBK"/>
          <w:color w:val="000000"/>
          <w:sz w:val="28"/>
        </w:rPr>
        <w:t>日常公用经费</w:t>
      </w:r>
      <w:r>
        <w:rPr>
          <w:rFonts w:hint="eastAsia" w:eastAsia="方正仿宋_GBK"/>
          <w:color w:val="000000"/>
          <w:sz w:val="28"/>
          <w:lang w:eastAsia="zh-CN"/>
        </w:rPr>
        <w:t>37.84</w:t>
      </w:r>
      <w:r>
        <w:rPr>
          <w:rFonts w:hint="eastAsia" w:eastAsia="方正仿宋_GBK"/>
          <w:color w:val="000000"/>
          <w:sz w:val="28"/>
        </w:rPr>
        <w:t>万元</w:t>
      </w:r>
      <w:r>
        <w:rPr>
          <w:rFonts w:eastAsia="方正仿宋_GBK"/>
          <w:color w:val="000000"/>
          <w:sz w:val="28"/>
        </w:rPr>
        <w:t>。</w:t>
      </w:r>
    </w:p>
    <w:p>
      <w:pPr>
        <w:spacing w:line="560" w:lineRule="exact"/>
        <w:ind w:firstLine="560" w:firstLineChars="200"/>
        <w:rPr>
          <w:rFonts w:eastAsia="方正仿宋_GBK"/>
          <w:color w:val="000000"/>
          <w:sz w:val="28"/>
        </w:rPr>
      </w:pPr>
      <w:r>
        <w:rPr>
          <w:rFonts w:hint="eastAsia" w:eastAsia="方正仿宋_GBK"/>
          <w:color w:val="000000"/>
          <w:sz w:val="28"/>
        </w:rPr>
        <w:t>项目支出</w:t>
      </w:r>
      <w:r>
        <w:rPr>
          <w:rFonts w:hint="eastAsia" w:eastAsia="方正仿宋_GBK"/>
          <w:color w:val="000000"/>
          <w:sz w:val="28"/>
          <w:lang w:eastAsia="zh-CN"/>
        </w:rPr>
        <w:t>405.22</w:t>
      </w:r>
      <w:r>
        <w:rPr>
          <w:rFonts w:hint="eastAsia" w:eastAsia="方正仿宋_GBK"/>
          <w:color w:val="000000"/>
          <w:sz w:val="28"/>
        </w:rPr>
        <w:t>万元</w:t>
      </w:r>
      <w:r>
        <w:rPr>
          <w:rFonts w:eastAsia="方正仿宋_GBK"/>
          <w:color w:val="000000"/>
          <w:sz w:val="28"/>
        </w:rPr>
        <w:t>。</w:t>
      </w:r>
    </w:p>
    <w:p>
      <w:pPr>
        <w:spacing w:line="560" w:lineRule="exact"/>
        <w:ind w:firstLine="560" w:firstLineChars="200"/>
        <w:rPr>
          <w:rFonts w:eastAsia="方正仿宋_GBK"/>
          <w:color w:val="000000"/>
          <w:sz w:val="28"/>
        </w:rPr>
      </w:pPr>
      <w:r>
        <w:rPr>
          <w:rFonts w:eastAsia="方正仿宋_GBK"/>
          <w:color w:val="000000"/>
          <w:sz w:val="28"/>
        </w:rPr>
        <w:t>（三）</w:t>
      </w:r>
      <w:r>
        <w:rPr>
          <w:rFonts w:hint="eastAsia" w:eastAsia="方正仿宋_GBK"/>
          <w:color w:val="000000"/>
          <w:sz w:val="28"/>
        </w:rPr>
        <w:t>比上年增减情况</w:t>
      </w:r>
    </w:p>
    <w:p>
      <w:pPr>
        <w:spacing w:line="560" w:lineRule="exact"/>
        <w:ind w:firstLine="560" w:firstLineChars="200"/>
        <w:rPr>
          <w:rFonts w:ascii="黑体" w:hAnsi="黑体" w:eastAsia="黑体" w:cs="黑体"/>
          <w:color w:val="000000"/>
          <w:sz w:val="32"/>
        </w:rPr>
      </w:pPr>
      <w:r>
        <w:rPr>
          <w:rFonts w:hint="eastAsia" w:eastAsia="方正仿宋_GBK"/>
          <w:color w:val="000000"/>
          <w:sz w:val="28"/>
        </w:rPr>
        <w:t>本年度预算收支安排</w:t>
      </w:r>
      <w:r>
        <w:rPr>
          <w:rFonts w:hint="eastAsia" w:eastAsia="方正仿宋_GBK"/>
          <w:color w:val="000000"/>
          <w:sz w:val="28"/>
          <w:lang w:eastAsia="zh-CN"/>
        </w:rPr>
        <w:t>940.27</w:t>
      </w:r>
      <w:r>
        <w:rPr>
          <w:rFonts w:hint="eastAsia" w:eastAsia="方正仿宋_GBK"/>
          <w:color w:val="000000"/>
          <w:sz w:val="28"/>
        </w:rPr>
        <w:t>万元</w:t>
      </w:r>
      <w:r>
        <w:rPr>
          <w:rFonts w:eastAsia="方正仿宋_GBK"/>
          <w:color w:val="000000"/>
          <w:sz w:val="28"/>
        </w:rPr>
        <w:t>，</w:t>
      </w:r>
      <w:r>
        <w:rPr>
          <w:rFonts w:hint="eastAsia" w:eastAsia="方正仿宋_GBK"/>
          <w:color w:val="000000"/>
          <w:sz w:val="28"/>
        </w:rPr>
        <w:t>较上年</w:t>
      </w:r>
      <w:r>
        <w:rPr>
          <w:rFonts w:hint="eastAsia" w:eastAsia="方正仿宋_GBK"/>
          <w:color w:val="000000"/>
          <w:sz w:val="28"/>
          <w:lang w:eastAsia="zh-CN"/>
        </w:rPr>
        <w:t>增加17.44</w:t>
      </w:r>
      <w:r>
        <w:rPr>
          <w:rFonts w:hint="eastAsia" w:eastAsia="方正仿宋_GBK"/>
          <w:color w:val="000000"/>
          <w:sz w:val="28"/>
        </w:rPr>
        <w:t>万元。其中:基本支出</w:t>
      </w:r>
      <w:r>
        <w:rPr>
          <w:rFonts w:hint="eastAsia" w:eastAsia="方正仿宋_GBK"/>
          <w:color w:val="000000"/>
          <w:sz w:val="28"/>
          <w:lang w:eastAsia="zh-CN"/>
        </w:rPr>
        <w:t>增加36.11</w:t>
      </w:r>
      <w:r>
        <w:rPr>
          <w:rFonts w:hint="eastAsia" w:eastAsia="方正仿宋_GBK"/>
          <w:color w:val="000000"/>
          <w:sz w:val="28"/>
        </w:rPr>
        <w:t>万元，项目支出</w:t>
      </w:r>
      <w:r>
        <w:rPr>
          <w:rFonts w:hint="eastAsia" w:eastAsia="方正仿宋_GBK"/>
          <w:color w:val="000000"/>
          <w:sz w:val="28"/>
          <w:lang w:eastAsia="zh-CN"/>
        </w:rPr>
        <w:t>减少18.67</w:t>
      </w:r>
      <w:r>
        <w:rPr>
          <w:rFonts w:hint="eastAsia" w:eastAsia="方正仿宋_GBK"/>
          <w:color w:val="000000"/>
          <w:sz w:val="28"/>
        </w:rPr>
        <w:t>万元，主要是</w:t>
      </w:r>
      <w:r>
        <w:rPr>
          <w:rFonts w:hint="eastAsia" w:eastAsia="方正仿宋_GBK"/>
          <w:color w:val="000000"/>
          <w:sz w:val="28"/>
          <w:lang w:eastAsia="zh-CN"/>
        </w:rPr>
        <w:t>人员增加</w:t>
      </w:r>
      <w:r>
        <w:rPr>
          <w:rFonts w:hint="eastAsia" w:eastAsia="方正仿宋_GBK"/>
          <w:color w:val="000000"/>
          <w:sz w:val="28"/>
        </w:rPr>
        <w:t>。</w:t>
      </w:r>
    </w:p>
    <w:p>
      <w:pPr>
        <w:pStyle w:val="28"/>
        <w:rPr>
          <w:color w:val="000000"/>
        </w:rPr>
      </w:pPr>
    </w:p>
    <w:p>
      <w:pPr>
        <w:spacing w:before="10" w:after="10"/>
        <w:ind w:firstLine="640"/>
        <w:outlineLvl w:val="5"/>
      </w:pPr>
      <w:r>
        <w:rPr>
          <w:rFonts w:ascii="黑体" w:hAnsi="黑体" w:eastAsia="黑体" w:cs="黑体"/>
          <w:color w:val="000000"/>
          <w:sz w:val="32"/>
        </w:rPr>
        <w:t>三、机关运行经费安排情况</w:t>
      </w:r>
    </w:p>
    <w:p>
      <w:pPr>
        <w:pStyle w:val="21"/>
        <w:rPr>
          <w:lang w:eastAsia="zh-CN"/>
        </w:rPr>
      </w:pPr>
      <w:r>
        <w:rPr>
          <w:rFonts w:hint="eastAsia"/>
          <w:lang w:eastAsia="zh-CN"/>
        </w:rPr>
        <w:t>2026年，我部门机关运行经费共计安排37.84万元，主要用于办公费、邮电费、</w:t>
      </w:r>
      <w:r>
        <w:rPr>
          <w:rFonts w:hint="eastAsia"/>
        </w:rPr>
        <w:t>工会经费</w:t>
      </w:r>
      <w:r>
        <w:rPr>
          <w:rFonts w:hint="eastAsia"/>
          <w:lang w:eastAsia="zh-CN"/>
        </w:rPr>
        <w:t>、</w:t>
      </w:r>
      <w:r>
        <w:rPr>
          <w:rFonts w:hint="eastAsia"/>
        </w:rPr>
        <w:t>公务用车运行维护费</w:t>
      </w:r>
      <w:r>
        <w:rPr>
          <w:rFonts w:hint="eastAsia"/>
          <w:lang w:eastAsia="zh-CN"/>
        </w:rPr>
        <w:t>、</w:t>
      </w:r>
      <w:r>
        <w:rPr>
          <w:rFonts w:hint="eastAsia"/>
        </w:rPr>
        <w:t>公务交通补贴</w:t>
      </w:r>
      <w:r>
        <w:rPr>
          <w:rFonts w:hint="eastAsia"/>
          <w:lang w:eastAsia="zh-CN"/>
        </w:rPr>
        <w:t>等日常运行支出。</w:t>
      </w:r>
    </w:p>
    <w:p>
      <w:pPr>
        <w:pStyle w:val="29"/>
      </w:pPr>
    </w:p>
    <w:p>
      <w:pPr>
        <w:spacing w:before="10" w:after="10"/>
        <w:ind w:firstLine="640"/>
        <w:outlineLvl w:val="5"/>
      </w:pPr>
      <w:r>
        <w:rPr>
          <w:rFonts w:ascii="黑体" w:hAnsi="黑体" w:eastAsia="黑体" w:cs="黑体"/>
          <w:color w:val="000000"/>
          <w:sz w:val="32"/>
        </w:rPr>
        <w:t>四、财政拨款“三公”经费预算情况及增减变化原因</w:t>
      </w:r>
    </w:p>
    <w:tbl>
      <w:tblPr>
        <w:tblStyle w:val="6"/>
        <w:tblW w:w="14554" w:type="dxa"/>
        <w:tblInd w:w="108" w:type="dxa"/>
        <w:tblLayout w:type="fixed"/>
        <w:tblCellMar>
          <w:top w:w="0" w:type="dxa"/>
          <w:left w:w="108" w:type="dxa"/>
          <w:bottom w:w="0" w:type="dxa"/>
          <w:right w:w="108" w:type="dxa"/>
        </w:tblCellMar>
      </w:tblPr>
      <w:tblGrid>
        <w:gridCol w:w="4085"/>
        <w:gridCol w:w="2955"/>
        <w:gridCol w:w="2925"/>
        <w:gridCol w:w="2355"/>
        <w:gridCol w:w="2234"/>
      </w:tblGrid>
      <w:tr>
        <w:tblPrEx>
          <w:tblCellMar>
            <w:top w:w="0" w:type="dxa"/>
            <w:left w:w="108" w:type="dxa"/>
            <w:bottom w:w="0" w:type="dxa"/>
            <w:right w:w="108" w:type="dxa"/>
          </w:tblCellMar>
        </w:tblPrEx>
        <w:trPr>
          <w:trHeight w:val="405" w:hRule="atLeast"/>
        </w:trPr>
        <w:tc>
          <w:tcPr>
            <w:tcW w:w="14554" w:type="dxa"/>
            <w:gridSpan w:val="5"/>
            <w:tcBorders>
              <w:top w:val="nil"/>
              <w:left w:val="nil"/>
              <w:bottom w:val="nil"/>
              <w:right w:val="nil"/>
              <w:tl2br w:val="nil"/>
              <w:tr2bl w:val="nil"/>
            </w:tcBorders>
            <w:noWrap/>
            <w:vAlign w:val="center"/>
          </w:tcPr>
          <w:p>
            <w:pPr>
              <w:spacing w:line="560" w:lineRule="exact"/>
              <w:ind w:firstLine="560"/>
              <w:jc w:val="center"/>
              <w:rPr>
                <w:rFonts w:eastAsia="方正仿宋_GBK"/>
                <w:color w:val="000000"/>
                <w:sz w:val="28"/>
              </w:rPr>
            </w:pPr>
            <w:r>
              <w:rPr>
                <w:rFonts w:hint="eastAsia" w:eastAsia="方正仿宋_GBK"/>
                <w:color w:val="000000"/>
                <w:sz w:val="28"/>
              </w:rPr>
              <w:t>“三公”经费预算情况及增减变化原因</w:t>
            </w:r>
          </w:p>
        </w:tc>
      </w:tr>
      <w:tr>
        <w:tblPrEx>
          <w:tblCellMar>
            <w:top w:w="0" w:type="dxa"/>
            <w:left w:w="108" w:type="dxa"/>
            <w:bottom w:w="0" w:type="dxa"/>
            <w:right w:w="108" w:type="dxa"/>
          </w:tblCellMar>
        </w:tblPrEx>
        <w:trPr>
          <w:trHeight w:val="232" w:hRule="atLeast"/>
        </w:trPr>
        <w:tc>
          <w:tcPr>
            <w:tcW w:w="4085" w:type="dxa"/>
            <w:tcBorders>
              <w:top w:val="nil"/>
              <w:left w:val="nil"/>
              <w:bottom w:val="nil"/>
              <w:right w:val="nil"/>
              <w:tl2br w:val="nil"/>
              <w:tr2bl w:val="nil"/>
            </w:tcBorders>
            <w:noWrap/>
            <w:vAlign w:val="center"/>
          </w:tcPr>
          <w:p>
            <w:pPr>
              <w:spacing w:line="560" w:lineRule="exact"/>
              <w:ind w:firstLine="560"/>
              <w:rPr>
                <w:rFonts w:eastAsia="方正仿宋_GBK"/>
                <w:color w:val="000000"/>
                <w:sz w:val="28"/>
              </w:rPr>
            </w:pPr>
          </w:p>
        </w:tc>
        <w:tc>
          <w:tcPr>
            <w:tcW w:w="2955" w:type="dxa"/>
            <w:tcBorders>
              <w:top w:val="nil"/>
              <w:left w:val="nil"/>
              <w:bottom w:val="nil"/>
              <w:right w:val="nil"/>
              <w:tl2br w:val="nil"/>
              <w:tr2bl w:val="nil"/>
            </w:tcBorders>
            <w:noWrap/>
            <w:vAlign w:val="center"/>
          </w:tcPr>
          <w:p>
            <w:pPr>
              <w:spacing w:line="560" w:lineRule="exact"/>
              <w:ind w:firstLine="560"/>
              <w:rPr>
                <w:rFonts w:eastAsia="方正仿宋_GBK"/>
                <w:color w:val="000000"/>
                <w:sz w:val="28"/>
              </w:rPr>
            </w:pPr>
          </w:p>
        </w:tc>
        <w:tc>
          <w:tcPr>
            <w:tcW w:w="2925" w:type="dxa"/>
            <w:tcBorders>
              <w:top w:val="nil"/>
              <w:left w:val="nil"/>
              <w:bottom w:val="nil"/>
              <w:right w:val="nil"/>
              <w:tl2br w:val="nil"/>
              <w:tr2bl w:val="nil"/>
            </w:tcBorders>
            <w:noWrap/>
            <w:vAlign w:val="center"/>
          </w:tcPr>
          <w:p>
            <w:pPr>
              <w:spacing w:line="560" w:lineRule="exact"/>
              <w:ind w:firstLine="560"/>
              <w:rPr>
                <w:rFonts w:eastAsia="方正仿宋_GBK"/>
                <w:color w:val="000000"/>
                <w:sz w:val="28"/>
              </w:rPr>
            </w:pPr>
          </w:p>
        </w:tc>
        <w:tc>
          <w:tcPr>
            <w:tcW w:w="2355" w:type="dxa"/>
            <w:tcBorders>
              <w:top w:val="nil"/>
              <w:left w:val="nil"/>
              <w:bottom w:val="nil"/>
              <w:right w:val="nil"/>
              <w:tl2br w:val="nil"/>
              <w:tr2bl w:val="nil"/>
            </w:tcBorders>
            <w:noWrap/>
            <w:vAlign w:val="center"/>
          </w:tcPr>
          <w:p>
            <w:pPr>
              <w:spacing w:line="560" w:lineRule="exact"/>
              <w:ind w:firstLine="560"/>
              <w:rPr>
                <w:rFonts w:eastAsia="方正仿宋_GBK"/>
                <w:color w:val="000000"/>
                <w:sz w:val="28"/>
              </w:rPr>
            </w:pPr>
          </w:p>
        </w:tc>
        <w:tc>
          <w:tcPr>
            <w:tcW w:w="2234" w:type="dxa"/>
            <w:tcBorders>
              <w:top w:val="nil"/>
              <w:left w:val="nil"/>
              <w:bottom w:val="nil"/>
              <w:right w:val="nil"/>
              <w:tl2br w:val="nil"/>
              <w:tr2bl w:val="nil"/>
            </w:tcBorders>
            <w:noWrap/>
            <w:vAlign w:val="center"/>
          </w:tcPr>
          <w:p>
            <w:pPr>
              <w:spacing w:line="560" w:lineRule="exact"/>
              <w:ind w:firstLine="560"/>
              <w:rPr>
                <w:rFonts w:eastAsia="方正仿宋_GBK"/>
                <w:color w:val="000000"/>
                <w:sz w:val="28"/>
              </w:rPr>
            </w:pPr>
            <w:r>
              <w:rPr>
                <w:rFonts w:hint="eastAsia" w:eastAsia="方正仿宋_GBK"/>
                <w:color w:val="000000"/>
                <w:sz w:val="28"/>
              </w:rPr>
              <w:t>单位：万元</w:t>
            </w:r>
          </w:p>
        </w:tc>
      </w:tr>
      <w:tr>
        <w:tblPrEx>
          <w:tblCellMar>
            <w:top w:w="0" w:type="dxa"/>
            <w:left w:w="108" w:type="dxa"/>
            <w:bottom w:w="0" w:type="dxa"/>
            <w:right w:w="108" w:type="dxa"/>
          </w:tblCellMar>
        </w:tblPrEx>
        <w:trPr>
          <w:trHeight w:val="675" w:hRule="atLeast"/>
        </w:trPr>
        <w:tc>
          <w:tcPr>
            <w:tcW w:w="40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项目名称</w:t>
            </w:r>
          </w:p>
        </w:tc>
        <w:tc>
          <w:tcPr>
            <w:tcW w:w="2955" w:type="dxa"/>
            <w:tcBorders>
              <w:top w:val="single" w:color="auto" w:sz="4" w:space="0"/>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202</w:t>
            </w:r>
            <w:r>
              <w:rPr>
                <w:rFonts w:hint="eastAsia" w:eastAsia="方正仿宋_GBK"/>
                <w:color w:val="000000"/>
                <w:sz w:val="28"/>
                <w:lang w:eastAsia="zh-CN"/>
              </w:rPr>
              <w:t>5</w:t>
            </w:r>
            <w:r>
              <w:rPr>
                <w:rFonts w:hint="eastAsia" w:eastAsia="方正仿宋_GBK"/>
                <w:color w:val="000000"/>
                <w:sz w:val="28"/>
              </w:rPr>
              <w:t>年度预算</w:t>
            </w:r>
          </w:p>
        </w:tc>
        <w:tc>
          <w:tcPr>
            <w:tcW w:w="2925" w:type="dxa"/>
            <w:tcBorders>
              <w:top w:val="single" w:color="auto" w:sz="4" w:space="0"/>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202</w:t>
            </w:r>
            <w:r>
              <w:rPr>
                <w:rFonts w:hint="eastAsia" w:eastAsia="方正仿宋_GBK"/>
                <w:color w:val="000000"/>
                <w:sz w:val="28"/>
                <w:lang w:eastAsia="zh-CN"/>
              </w:rPr>
              <w:t>6</w:t>
            </w:r>
            <w:r>
              <w:rPr>
                <w:rFonts w:hint="eastAsia" w:eastAsia="方正仿宋_GBK"/>
                <w:color w:val="000000"/>
                <w:sz w:val="28"/>
              </w:rPr>
              <w:t>年度预算</w:t>
            </w:r>
          </w:p>
        </w:tc>
        <w:tc>
          <w:tcPr>
            <w:tcW w:w="2355" w:type="dxa"/>
            <w:tcBorders>
              <w:top w:val="single" w:color="auto" w:sz="4" w:space="0"/>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增减金额</w:t>
            </w:r>
          </w:p>
        </w:tc>
        <w:tc>
          <w:tcPr>
            <w:tcW w:w="2234" w:type="dxa"/>
            <w:tcBorders>
              <w:top w:val="single" w:color="auto" w:sz="4" w:space="0"/>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变化原因</w:t>
            </w:r>
          </w:p>
        </w:tc>
      </w:tr>
      <w:tr>
        <w:tblPrEx>
          <w:tblCellMar>
            <w:top w:w="0" w:type="dxa"/>
            <w:left w:w="108" w:type="dxa"/>
            <w:bottom w:w="0" w:type="dxa"/>
            <w:right w:w="108" w:type="dxa"/>
          </w:tblCellMar>
        </w:tblPrEx>
        <w:trPr>
          <w:trHeight w:val="687" w:hRule="atLeast"/>
        </w:trPr>
        <w:tc>
          <w:tcPr>
            <w:tcW w:w="4085" w:type="dxa"/>
            <w:tcBorders>
              <w:top w:val="nil"/>
              <w:left w:val="single" w:color="auto" w:sz="4" w:space="0"/>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因公出国经费</w:t>
            </w:r>
          </w:p>
        </w:tc>
        <w:tc>
          <w:tcPr>
            <w:tcW w:w="29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92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3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234" w:type="dxa"/>
            <w:tcBorders>
              <w:top w:val="nil"/>
              <w:left w:val="nil"/>
              <w:bottom w:val="single" w:color="auto" w:sz="4" w:space="0"/>
              <w:right w:val="single" w:color="auto" w:sz="4" w:space="0"/>
              <w:tl2br w:val="nil"/>
              <w:tr2bl w:val="nil"/>
            </w:tcBorders>
            <w:vAlign w:val="center"/>
          </w:tcPr>
          <w:p>
            <w:pPr>
              <w:spacing w:line="560" w:lineRule="exact"/>
              <w:jc w:val="center"/>
              <w:rPr>
                <w:rFonts w:eastAsia="方正仿宋_GBK"/>
                <w:color w:val="000000"/>
                <w:sz w:val="28"/>
              </w:rPr>
            </w:pPr>
            <w:r>
              <w:rPr>
                <w:rFonts w:hint="eastAsia" w:eastAsia="方正仿宋_GBK"/>
                <w:color w:val="000000"/>
                <w:sz w:val="28"/>
              </w:rPr>
              <w:t>无增减变化</w:t>
            </w:r>
          </w:p>
        </w:tc>
      </w:tr>
      <w:tr>
        <w:tblPrEx>
          <w:tblCellMar>
            <w:top w:w="0" w:type="dxa"/>
            <w:left w:w="108" w:type="dxa"/>
            <w:bottom w:w="0" w:type="dxa"/>
            <w:right w:w="108" w:type="dxa"/>
          </w:tblCellMar>
        </w:tblPrEx>
        <w:trPr>
          <w:trHeight w:val="711" w:hRule="atLeast"/>
        </w:trPr>
        <w:tc>
          <w:tcPr>
            <w:tcW w:w="4085" w:type="dxa"/>
            <w:tcBorders>
              <w:top w:val="nil"/>
              <w:left w:val="single" w:color="auto" w:sz="4" w:space="0"/>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公务用车购置经费</w:t>
            </w:r>
          </w:p>
        </w:tc>
        <w:tc>
          <w:tcPr>
            <w:tcW w:w="29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92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3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234" w:type="dxa"/>
            <w:tcBorders>
              <w:top w:val="nil"/>
              <w:left w:val="nil"/>
              <w:bottom w:val="single" w:color="auto" w:sz="4" w:space="0"/>
              <w:right w:val="single" w:color="auto" w:sz="4" w:space="0"/>
              <w:tl2br w:val="nil"/>
              <w:tr2bl w:val="nil"/>
            </w:tcBorders>
            <w:vAlign w:val="center"/>
          </w:tcPr>
          <w:p>
            <w:pPr>
              <w:spacing w:line="560" w:lineRule="exact"/>
              <w:jc w:val="center"/>
              <w:rPr>
                <w:rFonts w:eastAsia="方正仿宋_GBK"/>
                <w:color w:val="000000"/>
                <w:sz w:val="28"/>
              </w:rPr>
            </w:pPr>
            <w:r>
              <w:rPr>
                <w:rFonts w:hint="eastAsia" w:eastAsia="方正仿宋_GBK"/>
                <w:color w:val="000000"/>
                <w:sz w:val="28"/>
              </w:rPr>
              <w:t>无增减变化</w:t>
            </w:r>
          </w:p>
        </w:tc>
      </w:tr>
      <w:tr>
        <w:tblPrEx>
          <w:tblCellMar>
            <w:top w:w="0" w:type="dxa"/>
            <w:left w:w="108" w:type="dxa"/>
            <w:bottom w:w="0" w:type="dxa"/>
            <w:right w:w="108" w:type="dxa"/>
          </w:tblCellMar>
        </w:tblPrEx>
        <w:trPr>
          <w:trHeight w:val="705" w:hRule="atLeast"/>
        </w:trPr>
        <w:tc>
          <w:tcPr>
            <w:tcW w:w="4085" w:type="dxa"/>
            <w:tcBorders>
              <w:top w:val="nil"/>
              <w:left w:val="single" w:color="auto" w:sz="4" w:space="0"/>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公务用车运行经费</w:t>
            </w:r>
          </w:p>
        </w:tc>
        <w:tc>
          <w:tcPr>
            <w:tcW w:w="29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lang w:eastAsia="zh-CN"/>
              </w:rPr>
              <w:t>2.91</w:t>
            </w:r>
          </w:p>
        </w:tc>
        <w:tc>
          <w:tcPr>
            <w:tcW w:w="292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lang w:eastAsia="zh-CN"/>
              </w:rPr>
              <w:t>2.91</w:t>
            </w:r>
          </w:p>
        </w:tc>
        <w:tc>
          <w:tcPr>
            <w:tcW w:w="23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234" w:type="dxa"/>
            <w:tcBorders>
              <w:top w:val="nil"/>
              <w:left w:val="nil"/>
              <w:bottom w:val="single" w:color="auto" w:sz="4" w:space="0"/>
              <w:right w:val="single" w:color="auto" w:sz="4" w:space="0"/>
              <w:tl2br w:val="nil"/>
              <w:tr2bl w:val="nil"/>
            </w:tcBorders>
            <w:vAlign w:val="center"/>
          </w:tcPr>
          <w:p>
            <w:pPr>
              <w:spacing w:line="560" w:lineRule="exact"/>
              <w:jc w:val="center"/>
              <w:rPr>
                <w:rFonts w:eastAsia="方正仿宋_GBK"/>
                <w:color w:val="000000"/>
                <w:sz w:val="28"/>
                <w:lang w:eastAsia="zh-CN"/>
              </w:rPr>
            </w:pPr>
            <w:r>
              <w:rPr>
                <w:rFonts w:hint="eastAsia" w:eastAsia="方正仿宋_GBK"/>
                <w:color w:val="000000"/>
                <w:sz w:val="28"/>
                <w:lang w:eastAsia="zh-CN"/>
              </w:rPr>
              <w:t>压减日常经费</w:t>
            </w:r>
          </w:p>
        </w:tc>
      </w:tr>
      <w:tr>
        <w:tblPrEx>
          <w:tblCellMar>
            <w:top w:w="0" w:type="dxa"/>
            <w:left w:w="108" w:type="dxa"/>
            <w:bottom w:w="0" w:type="dxa"/>
            <w:right w:w="108" w:type="dxa"/>
          </w:tblCellMar>
        </w:tblPrEx>
        <w:trPr>
          <w:trHeight w:val="587" w:hRule="atLeast"/>
        </w:trPr>
        <w:tc>
          <w:tcPr>
            <w:tcW w:w="4085" w:type="dxa"/>
            <w:tcBorders>
              <w:top w:val="nil"/>
              <w:left w:val="single" w:color="auto" w:sz="4" w:space="0"/>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公务接待费支出</w:t>
            </w:r>
          </w:p>
        </w:tc>
        <w:tc>
          <w:tcPr>
            <w:tcW w:w="29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92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3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234" w:type="dxa"/>
            <w:tcBorders>
              <w:top w:val="nil"/>
              <w:left w:val="nil"/>
              <w:bottom w:val="single" w:color="auto" w:sz="4" w:space="0"/>
              <w:right w:val="single" w:color="auto" w:sz="4" w:space="0"/>
              <w:tl2br w:val="nil"/>
              <w:tr2bl w:val="nil"/>
            </w:tcBorders>
            <w:vAlign w:val="center"/>
          </w:tcPr>
          <w:p>
            <w:pPr>
              <w:spacing w:line="560" w:lineRule="exact"/>
              <w:jc w:val="center"/>
              <w:rPr>
                <w:rFonts w:eastAsia="方正仿宋_GBK"/>
                <w:color w:val="000000"/>
                <w:sz w:val="28"/>
              </w:rPr>
            </w:pPr>
            <w:r>
              <w:rPr>
                <w:rFonts w:hint="eastAsia" w:eastAsia="方正仿宋_GBK"/>
                <w:color w:val="000000"/>
                <w:sz w:val="28"/>
              </w:rPr>
              <w:t>无增减变化</w:t>
            </w:r>
          </w:p>
        </w:tc>
      </w:tr>
      <w:tr>
        <w:tblPrEx>
          <w:tblCellMar>
            <w:top w:w="0" w:type="dxa"/>
            <w:left w:w="108" w:type="dxa"/>
            <w:bottom w:w="0" w:type="dxa"/>
            <w:right w:w="108" w:type="dxa"/>
          </w:tblCellMar>
        </w:tblPrEx>
        <w:trPr>
          <w:trHeight w:val="553" w:hRule="atLeast"/>
        </w:trPr>
        <w:tc>
          <w:tcPr>
            <w:tcW w:w="4085" w:type="dxa"/>
            <w:tcBorders>
              <w:top w:val="nil"/>
              <w:left w:val="single" w:color="auto" w:sz="4" w:space="0"/>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合计</w:t>
            </w:r>
          </w:p>
        </w:tc>
        <w:tc>
          <w:tcPr>
            <w:tcW w:w="29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lang w:eastAsia="zh-CN"/>
              </w:rPr>
              <w:t>2.91</w:t>
            </w:r>
          </w:p>
        </w:tc>
        <w:tc>
          <w:tcPr>
            <w:tcW w:w="292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lang w:eastAsia="zh-CN"/>
              </w:rPr>
              <w:t>2.91</w:t>
            </w:r>
          </w:p>
        </w:tc>
        <w:tc>
          <w:tcPr>
            <w:tcW w:w="2355" w:type="dxa"/>
            <w:tcBorders>
              <w:top w:val="nil"/>
              <w:left w:val="nil"/>
              <w:bottom w:val="single" w:color="auto" w:sz="4" w:space="0"/>
              <w:right w:val="single" w:color="auto" w:sz="4" w:space="0"/>
              <w:tl2br w:val="nil"/>
              <w:tr2bl w:val="nil"/>
            </w:tcBorders>
            <w:noWrap/>
            <w:vAlign w:val="center"/>
          </w:tcPr>
          <w:p>
            <w:pPr>
              <w:spacing w:line="560" w:lineRule="exact"/>
              <w:jc w:val="center"/>
              <w:rPr>
                <w:rFonts w:eastAsia="方正仿宋_GBK"/>
                <w:color w:val="000000"/>
                <w:sz w:val="28"/>
              </w:rPr>
            </w:pPr>
            <w:r>
              <w:rPr>
                <w:rFonts w:hint="eastAsia" w:eastAsia="方正仿宋_GBK"/>
                <w:color w:val="000000"/>
                <w:sz w:val="28"/>
              </w:rPr>
              <w:t>0.00</w:t>
            </w:r>
          </w:p>
        </w:tc>
        <w:tc>
          <w:tcPr>
            <w:tcW w:w="2234" w:type="dxa"/>
            <w:tcBorders>
              <w:top w:val="nil"/>
              <w:left w:val="nil"/>
              <w:bottom w:val="single" w:color="auto" w:sz="4" w:space="0"/>
              <w:right w:val="single" w:color="auto" w:sz="4" w:space="0"/>
              <w:tl2br w:val="nil"/>
              <w:tr2bl w:val="nil"/>
            </w:tcBorders>
            <w:vAlign w:val="center"/>
          </w:tcPr>
          <w:p>
            <w:pPr>
              <w:spacing w:line="560" w:lineRule="exact"/>
              <w:jc w:val="center"/>
              <w:rPr>
                <w:rFonts w:eastAsia="方正仿宋_GBK"/>
                <w:color w:val="000000"/>
                <w:sz w:val="28"/>
              </w:rPr>
            </w:pPr>
            <w:r>
              <w:rPr>
                <w:rFonts w:hint="eastAsia" w:eastAsia="方正仿宋_GBK"/>
                <w:color w:val="000000"/>
                <w:sz w:val="28"/>
                <w:lang w:eastAsia="zh-CN"/>
              </w:rPr>
              <w:t>压减日常经费</w:t>
            </w:r>
          </w:p>
        </w:tc>
      </w:tr>
    </w:tbl>
    <w:p>
      <w:pPr>
        <w:pStyle w:val="22"/>
      </w:pPr>
    </w:p>
    <w:p>
      <w:pPr>
        <w:pStyle w:val="30"/>
      </w:pPr>
    </w:p>
    <w:p>
      <w:pPr>
        <w:numPr>
          <w:ilvl w:val="0"/>
          <w:numId w:val="3"/>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spacing w:line="500" w:lineRule="exact"/>
        <w:ind w:firstLine="560"/>
      </w:pPr>
      <w:r>
        <w:rPr>
          <w:rFonts w:eastAsia="方正仿宋_GBK" w:cs="Times New Roman"/>
          <w:color w:val="000000"/>
          <w:sz w:val="28"/>
        </w:rPr>
        <w:t>（一）总体绩效目标</w:t>
      </w:r>
    </w:p>
    <w:p>
      <w:pPr>
        <w:pStyle w:val="23"/>
      </w:pPr>
      <w:r>
        <w:t>坚持以习近平新时代中国特色社会主义思想为指导，认真贯彻落实习近平文化思想和习近平总书记对宣传思想文化工作作出的重要指示精神，高举旗帜、围绕中心、服务大局，聚焦中央、省、市、区工作重点，精心做好宣传思想文化各项工作，为全力打造京雄保一体化创新发展先行区，加快建设新颜值、高品质、有韧性的幸福宜居示范区提供有力思想保证、舆论支撑和精神动力。</w:t>
      </w:r>
    </w:p>
    <w:p>
      <w:pPr>
        <w:spacing w:line="500" w:lineRule="exact"/>
        <w:ind w:firstLine="560"/>
      </w:pPr>
      <w:r>
        <w:rPr>
          <w:rFonts w:eastAsia="方正仿宋_GBK" w:cs="Times New Roman"/>
          <w:color w:val="000000"/>
          <w:sz w:val="28"/>
        </w:rPr>
        <w:t>（二）分项绩效目标</w:t>
      </w:r>
    </w:p>
    <w:p>
      <w:pPr>
        <w:pStyle w:val="24"/>
      </w:pPr>
      <w:r>
        <w:rPr>
          <w:rFonts w:hint="eastAsia"/>
          <w:lang w:eastAsia="zh-CN"/>
        </w:rPr>
        <w:t>1.</w:t>
      </w:r>
      <w:r>
        <w:t>夯实意识形态工作责任制</w:t>
      </w:r>
    </w:p>
    <w:p>
      <w:pPr>
        <w:pStyle w:val="24"/>
      </w:pPr>
      <w:r>
        <w:t>绩效目标：一是牢牢把握深入学习贯彻习近平新时代中国特色社会主义思想这一主题主线和根本任务，持续深化区委理论学习中心组服务，加强对各级党委（党组）理论学习中心组督促指导。二是丰富基层宣讲形式，强化宣讲队伍建设，广泛开展群众宣讲活动，开展靶向式宣讲，切实提高宣讲实效性。三是组织开展好“扫黄打非”工作。推进“护苗”专项行动，为学生健康成长护航。加强跨部门执法合作，开展好电商平台销售非法出版物、网上制售涉政有害电子出版物和社交平台传播淫秽色情信息三个专项整治工作。加大对电影院、书店和印刷企业的安全生产检查，强化监督管理，净化文化环境。</w:t>
      </w:r>
    </w:p>
    <w:p>
      <w:pPr>
        <w:pStyle w:val="24"/>
      </w:pPr>
      <w:r>
        <w:t>绩效指标：组织区委理论学习中心组集中学习每月不少于1次，全年开展</w:t>
      </w:r>
      <w:r>
        <w:rPr>
          <w:rFonts w:hint="eastAsia"/>
          <w:lang w:eastAsia="zh-CN"/>
        </w:rPr>
        <w:t>“扫黄打非”</w:t>
      </w:r>
      <w:r>
        <w:t>联合执法行动不少于4次。</w:t>
      </w:r>
    </w:p>
    <w:p>
      <w:pPr>
        <w:pStyle w:val="24"/>
      </w:pPr>
      <w:r>
        <w:rPr>
          <w:rFonts w:hint="eastAsia"/>
          <w:lang w:eastAsia="zh-CN"/>
        </w:rPr>
        <w:t>2.</w:t>
      </w:r>
      <w:r>
        <w:t>开创宣传工作新局面</w:t>
      </w:r>
    </w:p>
    <w:p>
      <w:pPr>
        <w:pStyle w:val="24"/>
      </w:pPr>
      <w:r>
        <w:t>绩效目标：一是坚持围绕突出主题宣传。持续</w:t>
      </w:r>
      <w:r>
        <w:rPr>
          <w:rFonts w:hint="eastAsia"/>
          <w:lang w:eastAsia="zh-CN"/>
        </w:rPr>
        <w:t>深入学习贯彻党的二十大精神</w:t>
      </w:r>
      <w:r>
        <w:t>和习近平总书记考察河北重要讲话精神，切实以群众喜闻乐见的形式向群众传达好政策、传播好声音。围绕区委、区政府决策部署统筹开展各类主题宣传，营造贯彻落实区委、区政府各项决策部署的浓厚社会氛围，持续弘扬和践行新时代莲池精神。二是积极推进区融媒体中心改革。从支撑保障、宣传力量、体制机制、传播力度等方面深化改革。加强业务培训和能力提高，深化“四力”教育，在坚持正确导向、握准宣传节奏、营造浓厚氛围上发力使劲，推动全区宣传思想工作再上新台阶。</w:t>
      </w:r>
    </w:p>
    <w:p>
      <w:pPr>
        <w:pStyle w:val="24"/>
      </w:pPr>
      <w:r>
        <w:t>绩效指标：全年市级以上媒体刊稿100篇以上，组织业务培训不少于3场，扎实推进区融媒体中心改革工作。</w:t>
      </w:r>
    </w:p>
    <w:p>
      <w:pPr>
        <w:pStyle w:val="24"/>
      </w:pPr>
      <w:r>
        <w:rPr>
          <w:rFonts w:hint="eastAsia"/>
          <w:lang w:eastAsia="zh-CN"/>
        </w:rPr>
        <w:t>3.</w:t>
      </w:r>
      <w:r>
        <w:t>繁荣文化事业和文化产业</w:t>
      </w:r>
    </w:p>
    <w:p>
      <w:pPr>
        <w:pStyle w:val="24"/>
      </w:pPr>
      <w:r>
        <w:t>绩效目标：一是持续打造文化惠民品牌。全力打造“乐享品质莲池 领航文化生活”莲池区主题文化惠民品牌，依托莲池文化惠民品牌和非遗项目，组织好重大节庆期间的文艺展演，推出一批本土特色文化活动。二是培育新型文化产业业态。推进文创产品开发和数字化形式转化，加快发展数字创意、数字娱乐、网络视听、线上演播、数字艺术展示、沉浸式体验等新业态,大力支持虚拟现实、交互娱乐、智慧旅游、文化新媒体推广等文化企业发展。三是加大文艺精品创作力度。着力打造高水平公共文化空间。推出更多文艺精品和原创文学作品，提升莲池区文化美誉度。</w:t>
      </w:r>
    </w:p>
    <w:p>
      <w:pPr>
        <w:pStyle w:val="24"/>
      </w:pPr>
      <w:r>
        <w:t>绩效指标：全年组织文艺展演10场以上，组织文艺家协会创作文艺作品5件以上。</w:t>
      </w:r>
    </w:p>
    <w:p>
      <w:pPr>
        <w:pStyle w:val="24"/>
      </w:pPr>
      <w:r>
        <w:rPr>
          <w:rFonts w:hint="eastAsia"/>
          <w:lang w:eastAsia="zh-CN"/>
        </w:rPr>
        <w:t>4.</w:t>
      </w:r>
      <w:r>
        <w:t>着力加强精神文明建设</w:t>
      </w:r>
    </w:p>
    <w:p>
      <w:pPr>
        <w:pStyle w:val="24"/>
      </w:pPr>
      <w:r>
        <w:t>绩效目标：一是统筹推进“双争”活动深入开展。持续推动各类志愿服务活动常态化长效化。加强</w:t>
      </w:r>
      <w:r>
        <w:rPr>
          <w:rFonts w:hint="eastAsia"/>
          <w:lang w:eastAsia="zh-CN"/>
        </w:rPr>
        <w:t>中央、省级</w:t>
      </w:r>
      <w:r>
        <w:t>文明单位、文明校园、文明村镇、文明家庭的</w:t>
      </w:r>
      <w:r>
        <w:rPr>
          <w:rFonts w:hint="eastAsia"/>
          <w:lang w:eastAsia="zh-CN"/>
        </w:rPr>
        <w:t>申报工作</w:t>
      </w:r>
      <w:r>
        <w:t>，深化“道德模范”“身边好人”“新时代好少年”的学习宣传活动。二是</w:t>
      </w:r>
      <w:r>
        <w:rPr>
          <w:rFonts w:hint="eastAsia"/>
          <w:lang w:eastAsia="zh-CN"/>
        </w:rPr>
        <w:t>配合</w:t>
      </w:r>
      <w:r>
        <w:t>做好创建</w:t>
      </w:r>
      <w:r>
        <w:rPr>
          <w:rFonts w:hint="eastAsia"/>
          <w:lang w:eastAsia="zh-CN"/>
        </w:rPr>
        <w:t>全国</w:t>
      </w:r>
      <w:r>
        <w:t>文明</w:t>
      </w:r>
      <w:r>
        <w:rPr>
          <w:rFonts w:hint="eastAsia"/>
          <w:lang w:eastAsia="zh-CN"/>
        </w:rPr>
        <w:t>城市</w:t>
      </w:r>
      <w:r>
        <w:t>工作。</w:t>
      </w:r>
    </w:p>
    <w:p>
      <w:pPr>
        <w:pStyle w:val="24"/>
      </w:pPr>
      <w:r>
        <w:t>绩效指标：全年开展志愿服务活动10场以上。</w:t>
      </w:r>
    </w:p>
    <w:p>
      <w:pPr>
        <w:spacing w:line="500" w:lineRule="exact"/>
        <w:ind w:firstLine="560"/>
      </w:pPr>
      <w:r>
        <w:rPr>
          <w:rFonts w:eastAsia="方正仿宋_GBK" w:cs="Times New Roman"/>
          <w:color w:val="000000"/>
          <w:sz w:val="28"/>
        </w:rPr>
        <w:t>（三）工作保障措施</w:t>
      </w:r>
    </w:p>
    <w:p>
      <w:pPr>
        <w:pStyle w:val="25"/>
      </w:pPr>
      <w:r>
        <w:t>202</w:t>
      </w:r>
      <w:r>
        <w:rPr>
          <w:rFonts w:hint="eastAsia"/>
          <w:lang w:eastAsia="zh-CN"/>
        </w:rPr>
        <w:t>6</w:t>
      </w:r>
      <w:r>
        <w:t>年，区委宣传部将坚持以深入开展学习贯彻习近平新时代中国特色社会主义思想主题教育为契机，落实好习近平总书记对宣传思想文化工作的重要指示精神和习近平文化思想，统筹推进各项工作开花结果、落细落实。</w:t>
      </w:r>
    </w:p>
    <w:p>
      <w:pPr>
        <w:pStyle w:val="25"/>
        <w:rPr>
          <w:lang w:eastAsia="zh-CN"/>
        </w:rPr>
      </w:pPr>
      <w:r>
        <w:rPr>
          <w:rFonts w:hint="eastAsia"/>
          <w:lang w:eastAsia="zh-CN"/>
        </w:rPr>
        <w:t>一是抓好中心任务，深入学习贯彻党的二十届四中全会精神。</w:t>
      </w:r>
    </w:p>
    <w:p>
      <w:pPr>
        <w:pStyle w:val="25"/>
        <w:rPr>
          <w:lang w:eastAsia="zh-CN"/>
        </w:rPr>
      </w:pPr>
      <w:r>
        <w:rPr>
          <w:rFonts w:hint="eastAsia"/>
          <w:lang w:eastAsia="zh-CN"/>
        </w:rPr>
        <w:t>严格按照学习贯彻党的二十届四中全会精神安排部署，进一步加强思想政治引领，把学好用好习近平新时代中国特色社会主义思想作为必修课，持续落实好习近平总书记对宣传思想文化工作的重要指示精神，统筹推进理论武装、内宣外宣、文艺文化、精神文明建设等各项工作，全面奏响宣传最强音。</w:t>
      </w:r>
    </w:p>
    <w:p>
      <w:pPr>
        <w:pStyle w:val="25"/>
        <w:rPr>
          <w:lang w:eastAsia="zh-CN"/>
        </w:rPr>
      </w:pPr>
      <w:r>
        <w:rPr>
          <w:rFonts w:hint="eastAsia"/>
          <w:lang w:eastAsia="zh-CN"/>
        </w:rPr>
        <w:t>二是抓好意识形态，不断增强党的领导力。严格落实《河北省党委（党组）意识形态工作责任制实施细则》《意识形态工作联席会议机制（试行）》要求，深化对农村、社区、企业、学校的常态化督促和指导，按照主管主办和属地管理原则，</w:t>
      </w:r>
      <w:r>
        <w:rPr>
          <w:rFonts w:hint="eastAsia"/>
        </w:rPr>
        <w:t>确保理论武装走深走实、各类阵地可管可控、各级责任</w:t>
      </w:r>
      <w:r>
        <w:rPr>
          <w:rFonts w:hint="eastAsia"/>
          <w:lang w:eastAsia="zh-CN"/>
        </w:rPr>
        <w:t>压紧压实。进一步加强与区直部门沟通协调，年初印发工作提示，就意识形态工作责任制职责清单进行分解，确保各项任务落实到位。</w:t>
      </w:r>
    </w:p>
    <w:p>
      <w:pPr>
        <w:pStyle w:val="25"/>
        <w:rPr>
          <w:lang w:eastAsia="zh-CN"/>
        </w:rPr>
      </w:pPr>
      <w:r>
        <w:rPr>
          <w:rFonts w:hint="eastAsia"/>
          <w:lang w:eastAsia="zh-CN"/>
        </w:rPr>
        <w:t>三是抓好理论武装，让学习氛围更加浓厚。深入开展理论学习，推动区委理论学习中心组规范化，提升</w:t>
      </w:r>
      <w:r>
        <w:rPr>
          <w:rFonts w:hint="eastAsia"/>
          <w:lang w:val="zh-TW" w:eastAsia="zh-CN"/>
        </w:rPr>
        <w:t>理论学习安排前瞻性计划性，</w:t>
      </w:r>
      <w:r>
        <w:rPr>
          <w:rFonts w:hint="eastAsia"/>
          <w:lang w:eastAsia="zh-CN"/>
        </w:rPr>
        <w:t>进一步完善党委（党组）理论学习中心组列席旁听制度；强化与驻区高校沟通联系，共同推出专业性强、实用性强的理论精品文章。</w:t>
      </w:r>
    </w:p>
    <w:p>
      <w:pPr>
        <w:pStyle w:val="25"/>
        <w:rPr>
          <w:lang w:eastAsia="zh-CN"/>
        </w:rPr>
      </w:pPr>
      <w:r>
        <w:rPr>
          <w:rFonts w:hint="eastAsia"/>
          <w:lang w:eastAsia="zh-CN"/>
        </w:rPr>
        <w:t>四是抓好舆论引导，让莲池形象更靓丽。不断深化内容创新，提高宣传质量，围绕</w:t>
      </w:r>
      <w:r>
        <w:rPr>
          <w:rFonts w:hint="eastAsia"/>
        </w:rPr>
        <w:t>党的二十届</w:t>
      </w:r>
      <w:r>
        <w:rPr>
          <w:rFonts w:hint="eastAsia"/>
          <w:lang w:eastAsia="zh-CN"/>
        </w:rPr>
        <w:t>四</w:t>
      </w:r>
      <w:r>
        <w:rPr>
          <w:rFonts w:hint="eastAsia"/>
        </w:rPr>
        <w:t>中全会精神，深入开展京津冀协同发展、现代化品质生活之城建设、数字莲池建设、和美乡村、“旅游+”等系列宣传报道，重点宣传新时代莲池经济社会发展的生动实践和崭新气象。</w:t>
      </w:r>
      <w:r>
        <w:rPr>
          <w:rFonts w:hint="eastAsia"/>
          <w:lang w:eastAsia="zh-CN"/>
        </w:rPr>
        <w:t>不断拓展宣传渠道，扩大影响力，</w:t>
      </w:r>
      <w:r>
        <w:rPr>
          <w:rFonts w:hint="eastAsia"/>
        </w:rPr>
        <w:t>加强与主流媒体的合作，积极投稿、交流经验。探索新的宣传方式和手段，如短</w:t>
      </w:r>
      <w:r>
        <w:rPr>
          <w:rFonts w:hint="eastAsia"/>
          <w:lang w:eastAsia="zh-CN"/>
        </w:rPr>
        <w:t>剧</w:t>
      </w:r>
      <w:r>
        <w:rPr>
          <w:rFonts w:hint="eastAsia"/>
        </w:rPr>
        <w:t>、直播等，吸引更多年轻受众。</w:t>
      </w:r>
      <w:r>
        <w:rPr>
          <w:rFonts w:hint="eastAsia"/>
          <w:lang w:eastAsia="zh-CN"/>
        </w:rPr>
        <w:t>不断加强团队建设，提升硬实力，</w:t>
      </w:r>
      <w:r>
        <w:rPr>
          <w:rFonts w:hint="eastAsia"/>
        </w:rPr>
        <w:t>建立更加科学合理的激励机制和考核机制，激发</w:t>
      </w:r>
      <w:r>
        <w:rPr>
          <w:rFonts w:hint="eastAsia"/>
          <w:lang w:eastAsia="zh-CN"/>
        </w:rPr>
        <w:t>人员</w:t>
      </w:r>
      <w:r>
        <w:rPr>
          <w:rFonts w:hint="eastAsia"/>
        </w:rPr>
        <w:t>积极性和创造力</w:t>
      </w:r>
      <w:r>
        <w:rPr>
          <w:rFonts w:hint="eastAsia"/>
          <w:lang w:eastAsia="zh-CN"/>
        </w:rPr>
        <w:t>，</w:t>
      </w:r>
      <w:r>
        <w:rPr>
          <w:rFonts w:hint="eastAsia"/>
        </w:rPr>
        <w:t>加强内部培训和学习交流活动，提高采编人员业务素质和综合能力。</w:t>
      </w:r>
      <w:r>
        <w:rPr>
          <w:rFonts w:hint="eastAsia"/>
          <w:lang w:eastAsia="zh-CN"/>
        </w:rPr>
        <w:t>严格落实突发事件舆情应对处置协调联动机制和重大舆情集中会商机制，通过密切部门协调联动、加强媒体服务保障、跟踪预设发声口径、争取上级指导支持等举措规范舆情应对处置流程。</w:t>
      </w:r>
    </w:p>
    <w:p>
      <w:pPr>
        <w:spacing w:line="520" w:lineRule="exact"/>
        <w:ind w:firstLine="560" w:firstLineChars="200"/>
        <w:jc w:val="both"/>
        <w:rPr>
          <w:rFonts w:eastAsia="方正仿宋_GBK" w:cs="Times New Roman"/>
          <w:sz w:val="28"/>
          <w:lang w:eastAsia="zh-CN"/>
        </w:rPr>
      </w:pPr>
      <w:r>
        <w:rPr>
          <w:rFonts w:hint="eastAsia" w:eastAsia="方正仿宋_GBK" w:cs="Times New Roman"/>
          <w:sz w:val="28"/>
          <w:lang w:eastAsia="zh-CN"/>
        </w:rPr>
        <w:t>五是繁荣文艺文化，厚植底蕴丰富精神。充分调动全区文艺文化阵地资源，</w:t>
      </w:r>
      <w:r>
        <w:rPr>
          <w:rFonts w:hint="eastAsia" w:eastAsia="方正仿宋_GBK" w:cs="Times New Roman"/>
          <w:sz w:val="28"/>
        </w:rPr>
        <w:t>组织开展双争系列文化惠民活动、“我们的中国梦·文化进万家”等系列主题文艺文化活动</w:t>
      </w:r>
      <w:r>
        <w:rPr>
          <w:rFonts w:hint="eastAsia" w:eastAsia="方正仿宋_GBK" w:cs="Times New Roman"/>
          <w:sz w:val="28"/>
          <w:lang w:eastAsia="zh-CN"/>
        </w:rPr>
        <w:t>，营造了</w:t>
      </w:r>
      <w:r>
        <w:rPr>
          <w:rFonts w:hint="eastAsia" w:eastAsia="方正仿宋_GBK" w:cs="Times New Roman"/>
          <w:sz w:val="28"/>
        </w:rPr>
        <w:t>全区</w:t>
      </w:r>
      <w:r>
        <w:rPr>
          <w:rFonts w:hint="eastAsia" w:eastAsia="方正仿宋_GBK" w:cs="Times New Roman"/>
          <w:sz w:val="28"/>
          <w:lang w:eastAsia="zh-CN"/>
        </w:rPr>
        <w:t>浓厚</w:t>
      </w:r>
      <w:r>
        <w:rPr>
          <w:rFonts w:hint="eastAsia" w:eastAsia="方正仿宋_GBK" w:cs="Times New Roman"/>
          <w:sz w:val="28"/>
        </w:rPr>
        <w:t>的文化艺术氛围。</w:t>
      </w:r>
      <w:r>
        <w:rPr>
          <w:rFonts w:hint="eastAsia" w:eastAsia="方正仿宋_GBK" w:cs="Times New Roman"/>
          <w:sz w:val="28"/>
          <w:lang w:eastAsia="zh-CN"/>
        </w:rPr>
        <w:t>重点瞄准微短剧领域精准发力，落实《保定市支持网络微短剧高质量发展的二十条措施》，成立区影视家协会，为我区微短剧发展注入核心动力，协调调度区文旅局、区文联等单位加强创作，摸底可拍题材和特色拍摄场景，鼓励各单位各部门结合自身工作职能拍摄微短剧。</w:t>
      </w:r>
    </w:p>
    <w:p>
      <w:pPr>
        <w:spacing w:line="520" w:lineRule="exact"/>
        <w:ind w:firstLine="560" w:firstLineChars="200"/>
        <w:jc w:val="both"/>
        <w:rPr>
          <w:rFonts w:eastAsia="方正仿宋_GBK" w:cs="Times New Roman"/>
          <w:sz w:val="28"/>
          <w:lang w:eastAsia="zh-CN"/>
        </w:rPr>
      </w:pPr>
      <w:r>
        <w:rPr>
          <w:rFonts w:hint="eastAsia" w:eastAsia="方正仿宋_GBK" w:cs="Times New Roman"/>
          <w:sz w:val="28"/>
          <w:lang w:eastAsia="zh-CN"/>
        </w:rPr>
        <w:t>六是深耕精神文明建设，积极培育新风正气。以提升城市文明程度、改善市民生活质量、增强城市综合竞争力为抓手，系统研究第八轮全国文明城市创建要求和测评体系，充分发挥保定市核心主城区优势，推动文明创建工作更加扎实有力。聚焦群众需求，让文明实践活动融入百姓日常生活，点亮群众文明生活底色。以为宣传为抓手，全方位推进移风易俗工作。</w:t>
      </w:r>
    </w:p>
    <w:p>
      <w:pPr>
        <w:spacing w:before="10" w:after="10" w:line="360" w:lineRule="auto"/>
        <w:ind w:firstLine="640" w:firstLineChars="200"/>
        <w:outlineLvl w:val="2"/>
        <w:rPr>
          <w:rFonts w:ascii="黑体" w:hAnsi="黑体" w:eastAsia="黑体" w:cs="黑体"/>
          <w:color w:val="000000"/>
          <w:sz w:val="32"/>
        </w:rPr>
      </w:pPr>
      <w:r>
        <w:rPr>
          <w:rFonts w:hint="eastAsia" w:ascii="黑体" w:hAnsi="黑体" w:eastAsia="黑体" w:cs="黑体"/>
          <w:color w:val="000000"/>
          <w:sz w:val="32"/>
          <w:lang w:eastAsia="zh-CN"/>
        </w:rPr>
        <w:t>六、</w:t>
      </w:r>
      <w:r>
        <w:rPr>
          <w:rFonts w:ascii="黑体" w:hAnsi="黑体" w:eastAsia="黑体" w:cs="黑体"/>
          <w:color w:val="000000"/>
          <w:sz w:val="32"/>
        </w:rPr>
        <w:t>部门主管专项资金预算安排情况及绩效目标</w:t>
      </w:r>
    </w:p>
    <w:p>
      <w:pPr>
        <w:spacing w:before="10" w:after="10" w:line="360" w:lineRule="auto"/>
        <w:ind w:firstLine="640" w:firstLineChars="200"/>
        <w:outlineLvl w:val="2"/>
        <w:rPr>
          <w:rFonts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firstLineChars="200"/>
        <w:outlineLvl w:val="2"/>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七、</w:t>
      </w:r>
      <w:r>
        <w:rPr>
          <w:rFonts w:ascii="黑体" w:hAnsi="黑体" w:eastAsia="黑体" w:cs="黑体"/>
          <w:color w:val="000000"/>
          <w:sz w:val="32"/>
        </w:rPr>
        <w:t>部门项目预算安排情况及绩效</w:t>
      </w:r>
    </w:p>
    <w:p>
      <w:r>
        <w:rPr>
          <w:rFonts w:ascii="方正仿宋_GBK" w:hAnsi="方正仿宋_GBK" w:eastAsia="方正仿宋_GBK" w:cs="方正仿宋_GBK"/>
          <w:b/>
          <w:color w:val="000000"/>
          <w:sz w:val="28"/>
        </w:rPr>
        <w:t>1、(保财教【2024】55号）提前下达2025年中央补助地方国家电影事业发展专项资金绩效目标表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13060625P005044100060</w:t>
            </w:r>
          </w:p>
        </w:tc>
        <w:tc>
          <w:tcPr>
            <w:tcW w:w="2835" w:type="dxa"/>
            <w:vAlign w:val="center"/>
          </w:tcPr>
          <w:p>
            <w:pPr>
              <w:pStyle w:val="12"/>
            </w:pPr>
            <w:r>
              <w:t>项目名称</w:t>
            </w:r>
          </w:p>
        </w:tc>
        <w:tc>
          <w:tcPr>
            <w:tcW w:w="6095" w:type="dxa"/>
            <w:gridSpan w:val="3"/>
            <w:vAlign w:val="center"/>
          </w:tcPr>
          <w:p>
            <w:pPr>
              <w:pStyle w:val="14"/>
            </w:pPr>
            <w:r>
              <w:t>(保财教【2024】55号）提前下达2025年中央补助地方国家电影事业发展专项资金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w:t>
            </w:r>
          </w:p>
        </w:tc>
        <w:tc>
          <w:tcPr>
            <w:tcW w:w="2835" w:type="dxa"/>
            <w:vAlign w:val="center"/>
          </w:tcPr>
          <w:p>
            <w:pPr>
              <w:pStyle w:val="12"/>
            </w:pPr>
            <w:r>
              <w:t>其中：财政    资金</w:t>
            </w:r>
          </w:p>
        </w:tc>
        <w:tc>
          <w:tcPr>
            <w:tcW w:w="2551" w:type="dxa"/>
            <w:vAlign w:val="center"/>
          </w:tcPr>
          <w:p>
            <w:pPr>
              <w:pStyle w:val="14"/>
            </w:pPr>
            <w:r>
              <w:t>12.00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用于支持辖区影院国产影片放映工作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1.给莲池区电影院发放国产影片放映奖励资金，促进中国电影持续发展。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鼓励国产影片放映</w:t>
            </w:r>
          </w:p>
        </w:tc>
        <w:tc>
          <w:tcPr>
            <w:tcW w:w="5386" w:type="dxa"/>
            <w:vAlign w:val="center"/>
          </w:tcPr>
          <w:p>
            <w:pPr>
              <w:pStyle w:val="14"/>
            </w:pPr>
            <w:r>
              <w:t>鼓励国产影片放映</w:t>
            </w:r>
          </w:p>
        </w:tc>
        <w:tc>
          <w:tcPr>
            <w:tcW w:w="2268" w:type="dxa"/>
            <w:vAlign w:val="center"/>
          </w:tcPr>
          <w:p>
            <w:pPr>
              <w:pStyle w:val="14"/>
            </w:pPr>
            <w:r>
              <w:t>2家</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影院覆盖率</w:t>
            </w:r>
          </w:p>
        </w:tc>
        <w:tc>
          <w:tcPr>
            <w:tcW w:w="5386" w:type="dxa"/>
            <w:vAlign w:val="center"/>
          </w:tcPr>
          <w:p>
            <w:pPr>
              <w:pStyle w:val="14"/>
            </w:pPr>
            <w:r>
              <w:t>受资助的影院在莲池区的覆盖率≧95%</w:t>
            </w:r>
          </w:p>
        </w:tc>
        <w:tc>
          <w:tcPr>
            <w:tcW w:w="2268" w:type="dxa"/>
            <w:vAlign w:val="center"/>
          </w:tcPr>
          <w:p>
            <w:pPr>
              <w:pStyle w:val="14"/>
            </w:pPr>
            <w:r>
              <w:t>≥95百分比</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补助及时率</w:t>
            </w:r>
          </w:p>
        </w:tc>
        <w:tc>
          <w:tcPr>
            <w:tcW w:w="5386" w:type="dxa"/>
            <w:vAlign w:val="center"/>
          </w:tcPr>
          <w:p>
            <w:pPr>
              <w:pStyle w:val="14"/>
            </w:pPr>
            <w:r>
              <w:t>在规定时间内为受补助的影院发放补助</w:t>
            </w:r>
          </w:p>
        </w:tc>
        <w:tc>
          <w:tcPr>
            <w:tcW w:w="2268" w:type="dxa"/>
            <w:vAlign w:val="center"/>
          </w:tcPr>
          <w:p>
            <w:pPr>
              <w:pStyle w:val="14"/>
            </w:pPr>
            <w:r>
              <w:t>≥100百分比</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≤12万元</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促进电影放映质量提升</w:t>
            </w:r>
          </w:p>
        </w:tc>
        <w:tc>
          <w:tcPr>
            <w:tcW w:w="5386" w:type="dxa"/>
            <w:vAlign w:val="center"/>
          </w:tcPr>
          <w:p>
            <w:pPr>
              <w:pStyle w:val="14"/>
            </w:pPr>
            <w:r>
              <w:t>促进电影放映质量提升</w:t>
            </w:r>
          </w:p>
        </w:tc>
        <w:tc>
          <w:tcPr>
            <w:tcW w:w="2268" w:type="dxa"/>
            <w:vAlign w:val="center"/>
          </w:tcPr>
          <w:p>
            <w:pPr>
              <w:pStyle w:val="14"/>
            </w:pPr>
            <w:r>
              <w:t>≥90百分比</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提升影片放映质量</w:t>
            </w:r>
          </w:p>
        </w:tc>
        <w:tc>
          <w:tcPr>
            <w:tcW w:w="5386" w:type="dxa"/>
            <w:vAlign w:val="center"/>
          </w:tcPr>
          <w:p>
            <w:pPr>
              <w:pStyle w:val="14"/>
            </w:pPr>
            <w:r>
              <w:t>提升影片放映质量</w:t>
            </w:r>
          </w:p>
        </w:tc>
        <w:tc>
          <w:tcPr>
            <w:tcW w:w="2268" w:type="dxa"/>
            <w:vAlign w:val="center"/>
          </w:tcPr>
          <w:p>
            <w:pPr>
              <w:pStyle w:val="14"/>
            </w:pPr>
            <w:r>
              <w:t>≥90百分比</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营造良好观影风气</w:t>
            </w:r>
          </w:p>
        </w:tc>
        <w:tc>
          <w:tcPr>
            <w:tcW w:w="5386" w:type="dxa"/>
            <w:vAlign w:val="center"/>
          </w:tcPr>
          <w:p>
            <w:pPr>
              <w:pStyle w:val="14"/>
            </w:pPr>
            <w:r>
              <w:t>营造良好观影风气</w:t>
            </w:r>
          </w:p>
        </w:tc>
        <w:tc>
          <w:tcPr>
            <w:tcW w:w="2268" w:type="dxa"/>
            <w:vAlign w:val="center"/>
          </w:tcPr>
          <w:p>
            <w:pPr>
              <w:pStyle w:val="14"/>
            </w:pPr>
            <w:r>
              <w:t>≥90百分比</w:t>
            </w:r>
          </w:p>
        </w:tc>
        <w:tc>
          <w:tcPr>
            <w:tcW w:w="1276" w:type="dxa"/>
            <w:vAlign w:val="center"/>
          </w:tcPr>
          <w:p>
            <w:pPr>
              <w:pStyle w:val="14"/>
            </w:pPr>
            <w:r>
              <w:t>保财教【2024】55号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观众满意度</w:t>
            </w:r>
          </w:p>
        </w:tc>
        <w:tc>
          <w:tcPr>
            <w:tcW w:w="5386" w:type="dxa"/>
            <w:vAlign w:val="center"/>
          </w:tcPr>
          <w:p>
            <w:pPr>
              <w:pStyle w:val="14"/>
            </w:pPr>
            <w:r>
              <w:t>观众对放映影片</w:t>
            </w:r>
            <w:r>
              <w:rPr>
                <w:rFonts w:hint="eastAsia"/>
                <w:lang w:eastAsia="zh-CN"/>
              </w:rPr>
              <w:t>的</w:t>
            </w:r>
            <w:r>
              <w:t>满意度</w:t>
            </w:r>
          </w:p>
        </w:tc>
        <w:tc>
          <w:tcPr>
            <w:tcW w:w="2268" w:type="dxa"/>
            <w:vAlign w:val="center"/>
          </w:tcPr>
          <w:p>
            <w:pPr>
              <w:pStyle w:val="14"/>
            </w:pPr>
            <w:r>
              <w:t>≥90百分比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2、(保财教【2024】65号）提前下达2025年中央支持地方公共文化服务体系建设补助资金绩效目标表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13060625P00504310397L</w:t>
            </w:r>
          </w:p>
        </w:tc>
        <w:tc>
          <w:tcPr>
            <w:tcW w:w="2835" w:type="dxa"/>
            <w:vAlign w:val="center"/>
          </w:tcPr>
          <w:p>
            <w:pPr>
              <w:pStyle w:val="12"/>
            </w:pPr>
            <w:r>
              <w:t>项目名称</w:t>
            </w:r>
          </w:p>
        </w:tc>
        <w:tc>
          <w:tcPr>
            <w:tcW w:w="6095" w:type="dxa"/>
            <w:gridSpan w:val="3"/>
            <w:vAlign w:val="center"/>
          </w:tcPr>
          <w:p>
            <w:pPr>
              <w:pStyle w:val="14"/>
            </w:pPr>
            <w:r>
              <w:t>(保财教【2024】65号）提前下达2025年中央支持地方公共文化服务体系建设补助资金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20.30</w:t>
            </w:r>
          </w:p>
        </w:tc>
        <w:tc>
          <w:tcPr>
            <w:tcW w:w="2835" w:type="dxa"/>
            <w:vAlign w:val="center"/>
          </w:tcPr>
          <w:p>
            <w:pPr>
              <w:pStyle w:val="12"/>
            </w:pPr>
            <w:r>
              <w:t>其中：财政    资金</w:t>
            </w:r>
          </w:p>
        </w:tc>
        <w:tc>
          <w:tcPr>
            <w:tcW w:w="2551" w:type="dxa"/>
            <w:vAlign w:val="center"/>
          </w:tcPr>
          <w:p>
            <w:pPr>
              <w:pStyle w:val="14"/>
            </w:pPr>
            <w:r>
              <w:t>20.30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用于新时代文明实践中心建设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1.合理安排财政资金支出计划，深化文明实践志愿服务，服务于单位全年目标任务。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新时代文明实践中心建设数量</w:t>
            </w:r>
          </w:p>
        </w:tc>
        <w:tc>
          <w:tcPr>
            <w:tcW w:w="5386" w:type="dxa"/>
            <w:vAlign w:val="center"/>
          </w:tcPr>
          <w:p>
            <w:pPr>
              <w:pStyle w:val="14"/>
            </w:pPr>
            <w:r>
              <w:t>新时代文明实践中心建设数量</w:t>
            </w:r>
          </w:p>
        </w:tc>
        <w:tc>
          <w:tcPr>
            <w:tcW w:w="2268" w:type="dxa"/>
            <w:vAlign w:val="center"/>
          </w:tcPr>
          <w:p>
            <w:pPr>
              <w:pStyle w:val="14"/>
            </w:pPr>
            <w:r>
              <w:t>≥1个</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有影响力的志愿服务活动品牌</w:t>
            </w:r>
          </w:p>
        </w:tc>
        <w:tc>
          <w:tcPr>
            <w:tcW w:w="5386" w:type="dxa"/>
            <w:vAlign w:val="center"/>
          </w:tcPr>
          <w:p>
            <w:pPr>
              <w:pStyle w:val="14"/>
            </w:pPr>
            <w:r>
              <w:t>有影响力的志愿服务活动品牌</w:t>
            </w:r>
          </w:p>
        </w:tc>
        <w:tc>
          <w:tcPr>
            <w:tcW w:w="2268" w:type="dxa"/>
            <w:vAlign w:val="center"/>
          </w:tcPr>
          <w:p>
            <w:pPr>
              <w:pStyle w:val="14"/>
            </w:pPr>
            <w:r>
              <w:t>≥5个</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形成富有地方特色工作经验</w:t>
            </w:r>
          </w:p>
        </w:tc>
        <w:tc>
          <w:tcPr>
            <w:tcW w:w="5386" w:type="dxa"/>
            <w:vAlign w:val="center"/>
          </w:tcPr>
          <w:p>
            <w:pPr>
              <w:pStyle w:val="14"/>
            </w:pPr>
            <w:r>
              <w:t>形成富有地方特色工作经验</w:t>
            </w:r>
          </w:p>
        </w:tc>
        <w:tc>
          <w:tcPr>
            <w:tcW w:w="2268" w:type="dxa"/>
            <w:vAlign w:val="center"/>
          </w:tcPr>
          <w:p>
            <w:pPr>
              <w:pStyle w:val="14"/>
            </w:pPr>
            <w:r>
              <w:t>效果显著</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≤25.25万元</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文明实践志愿者骨干培训覆盖率</w:t>
            </w:r>
          </w:p>
        </w:tc>
        <w:tc>
          <w:tcPr>
            <w:tcW w:w="5386" w:type="dxa"/>
            <w:vAlign w:val="center"/>
          </w:tcPr>
          <w:p>
            <w:pPr>
              <w:pStyle w:val="14"/>
            </w:pPr>
            <w:r>
              <w:t>文明实践志愿者骨干培训覆盖率</w:t>
            </w:r>
          </w:p>
        </w:tc>
        <w:tc>
          <w:tcPr>
            <w:tcW w:w="2268" w:type="dxa"/>
            <w:vAlign w:val="center"/>
          </w:tcPr>
          <w:p>
            <w:pPr>
              <w:pStyle w:val="14"/>
            </w:pPr>
            <w:r>
              <w:t>≥91百分比</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年度文明实践活动参与人数占比</w:t>
            </w:r>
          </w:p>
        </w:tc>
        <w:tc>
          <w:tcPr>
            <w:tcW w:w="5386" w:type="dxa"/>
            <w:vAlign w:val="center"/>
          </w:tcPr>
          <w:p>
            <w:pPr>
              <w:pStyle w:val="14"/>
            </w:pPr>
            <w:r>
              <w:t>年度文明实践活动参与人数占比</w:t>
            </w:r>
          </w:p>
        </w:tc>
        <w:tc>
          <w:tcPr>
            <w:tcW w:w="2268" w:type="dxa"/>
            <w:vAlign w:val="center"/>
          </w:tcPr>
          <w:p>
            <w:pPr>
              <w:pStyle w:val="14"/>
            </w:pPr>
            <w:r>
              <w:t>≥50百分比</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推动创建工作常态化</w:t>
            </w:r>
          </w:p>
        </w:tc>
        <w:tc>
          <w:tcPr>
            <w:tcW w:w="5386" w:type="dxa"/>
            <w:vAlign w:val="center"/>
          </w:tcPr>
          <w:p>
            <w:pPr>
              <w:pStyle w:val="14"/>
            </w:pPr>
            <w:r>
              <w:t>推动创建工作常态化</w:t>
            </w:r>
          </w:p>
        </w:tc>
        <w:tc>
          <w:tcPr>
            <w:tcW w:w="2268" w:type="dxa"/>
            <w:vAlign w:val="center"/>
          </w:tcPr>
          <w:p>
            <w:pPr>
              <w:pStyle w:val="14"/>
            </w:pPr>
            <w:r>
              <w:t>≥95百分比</w:t>
            </w:r>
          </w:p>
        </w:tc>
        <w:tc>
          <w:tcPr>
            <w:tcW w:w="1276" w:type="dxa"/>
            <w:vAlign w:val="center"/>
          </w:tcPr>
          <w:p>
            <w:pPr>
              <w:pStyle w:val="14"/>
            </w:pPr>
            <w:r>
              <w:t>保财教【2024】65号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满意率达82%以上</w:t>
            </w:r>
          </w:p>
        </w:tc>
        <w:tc>
          <w:tcPr>
            <w:tcW w:w="2268" w:type="dxa"/>
            <w:vAlign w:val="center"/>
          </w:tcPr>
          <w:p>
            <w:pPr>
              <w:pStyle w:val="14"/>
            </w:pPr>
            <w:r>
              <w:t>≥82百分比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3、保财教【2025】29号提前下达2026年中央支持地方公共文化服务体系建设补助资金绩效目标表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13060626P00002210373U</w:t>
            </w:r>
          </w:p>
        </w:tc>
        <w:tc>
          <w:tcPr>
            <w:tcW w:w="2835" w:type="dxa"/>
            <w:vAlign w:val="center"/>
          </w:tcPr>
          <w:p>
            <w:pPr>
              <w:pStyle w:val="12"/>
            </w:pPr>
            <w:r>
              <w:t>项目名称</w:t>
            </w:r>
          </w:p>
        </w:tc>
        <w:tc>
          <w:tcPr>
            <w:tcW w:w="6095" w:type="dxa"/>
            <w:gridSpan w:val="3"/>
            <w:vAlign w:val="center"/>
          </w:tcPr>
          <w:p>
            <w:pPr>
              <w:pStyle w:val="14"/>
            </w:pPr>
            <w:r>
              <w:t>保财教【2025】29号提前下达2026年中央支持地方公共文化服务体系建设补助资金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合理安排财政资金支出计划，深化文明实践志愿服务，服务于单位全年目标任务。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1.目标内容1合理安排财政资金支出计划，深化文明实践志愿服务，服务于单位全年目标任务。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全年开展集中性活动数量</w:t>
            </w:r>
          </w:p>
        </w:tc>
        <w:tc>
          <w:tcPr>
            <w:tcW w:w="5386" w:type="dxa"/>
            <w:vAlign w:val="center"/>
          </w:tcPr>
          <w:p>
            <w:pPr>
              <w:pStyle w:val="14"/>
            </w:pPr>
            <w:r>
              <w:t>全年开展集中性活动数量</w:t>
            </w:r>
          </w:p>
        </w:tc>
        <w:tc>
          <w:tcPr>
            <w:tcW w:w="2268" w:type="dxa"/>
            <w:vAlign w:val="center"/>
          </w:tcPr>
          <w:p>
            <w:pPr>
              <w:pStyle w:val="14"/>
            </w:pPr>
            <w:r>
              <w:t>≥8场</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文明实践志愿服务活动品牌数量</w:t>
            </w:r>
          </w:p>
        </w:tc>
        <w:tc>
          <w:tcPr>
            <w:tcW w:w="5386" w:type="dxa"/>
            <w:vAlign w:val="center"/>
          </w:tcPr>
          <w:p>
            <w:pPr>
              <w:pStyle w:val="14"/>
            </w:pPr>
            <w:r>
              <w:t>参与文明实践志愿服务活动品牌数量</w:t>
            </w:r>
          </w:p>
        </w:tc>
        <w:tc>
          <w:tcPr>
            <w:tcW w:w="2268" w:type="dxa"/>
            <w:vAlign w:val="center"/>
          </w:tcPr>
          <w:p>
            <w:pPr>
              <w:pStyle w:val="14"/>
            </w:pPr>
            <w:r>
              <w:t>≥5个</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活动开展及时率</w:t>
            </w:r>
          </w:p>
        </w:tc>
        <w:tc>
          <w:tcPr>
            <w:tcW w:w="5386" w:type="dxa"/>
            <w:vAlign w:val="center"/>
          </w:tcPr>
          <w:p>
            <w:pPr>
              <w:pStyle w:val="14"/>
            </w:pPr>
            <w:r>
              <w:t>按时开展集中性活动</w:t>
            </w:r>
          </w:p>
        </w:tc>
        <w:tc>
          <w:tcPr>
            <w:tcW w:w="2268" w:type="dxa"/>
            <w:vAlign w:val="center"/>
          </w:tcPr>
          <w:p>
            <w:pPr>
              <w:pStyle w:val="14"/>
            </w:pPr>
            <w:r>
              <w:t>≥95百分比</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≤15万元</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群众文化活动参加人次增长率</w:t>
            </w:r>
          </w:p>
        </w:tc>
        <w:tc>
          <w:tcPr>
            <w:tcW w:w="5386" w:type="dxa"/>
            <w:vAlign w:val="center"/>
          </w:tcPr>
          <w:p>
            <w:pPr>
              <w:pStyle w:val="14"/>
            </w:pPr>
            <w:r>
              <w:t>群众文化活动参加人次对比往期是否增加</w:t>
            </w:r>
          </w:p>
        </w:tc>
        <w:tc>
          <w:tcPr>
            <w:tcW w:w="2268" w:type="dxa"/>
            <w:vAlign w:val="center"/>
          </w:tcPr>
          <w:p>
            <w:pPr>
              <w:pStyle w:val="14"/>
            </w:pPr>
            <w:r>
              <w:t>≥91百分比</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提高财政资金使用率</w:t>
            </w:r>
          </w:p>
        </w:tc>
        <w:tc>
          <w:tcPr>
            <w:tcW w:w="5386" w:type="dxa"/>
            <w:vAlign w:val="center"/>
          </w:tcPr>
          <w:p>
            <w:pPr>
              <w:pStyle w:val="14"/>
            </w:pPr>
            <w:r>
              <w:t>提高财政资金使用率，杜绝浪费、挪用</w:t>
            </w:r>
          </w:p>
        </w:tc>
        <w:tc>
          <w:tcPr>
            <w:tcW w:w="2268" w:type="dxa"/>
            <w:vAlign w:val="center"/>
          </w:tcPr>
          <w:p>
            <w:pPr>
              <w:pStyle w:val="14"/>
            </w:pPr>
            <w:r>
              <w:t>≥50百分比</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形成富有地方特色工作经验</w:t>
            </w:r>
          </w:p>
        </w:tc>
        <w:tc>
          <w:tcPr>
            <w:tcW w:w="5386" w:type="dxa"/>
            <w:vAlign w:val="center"/>
          </w:tcPr>
          <w:p>
            <w:pPr>
              <w:pStyle w:val="14"/>
            </w:pPr>
            <w:r>
              <w:t>持续促进文化事业发展</w:t>
            </w:r>
          </w:p>
        </w:tc>
        <w:tc>
          <w:tcPr>
            <w:tcW w:w="2268" w:type="dxa"/>
            <w:vAlign w:val="center"/>
          </w:tcPr>
          <w:p>
            <w:pPr>
              <w:pStyle w:val="14"/>
            </w:pPr>
            <w:r>
              <w:t>可持续性</w:t>
            </w:r>
          </w:p>
        </w:tc>
        <w:tc>
          <w:tcPr>
            <w:tcW w:w="1276" w:type="dxa"/>
            <w:vAlign w:val="center"/>
          </w:tcPr>
          <w:p>
            <w:pPr>
              <w:pStyle w:val="14"/>
            </w:pPr>
            <w:r>
              <w:t>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群众对国家基本公共文化服务满意度</w:t>
            </w:r>
          </w:p>
        </w:tc>
        <w:tc>
          <w:tcPr>
            <w:tcW w:w="2268" w:type="dxa"/>
            <w:vAlign w:val="center"/>
          </w:tcPr>
          <w:p>
            <w:pPr>
              <w:pStyle w:val="14"/>
            </w:pPr>
            <w:r>
              <w:t>≥82百分比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4、保财教【2025】30号提前下达2026年中央级国家电影事业发展专项资金绩效目标表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13060626P00002210446C</w:t>
            </w:r>
          </w:p>
        </w:tc>
        <w:tc>
          <w:tcPr>
            <w:tcW w:w="2835" w:type="dxa"/>
            <w:vAlign w:val="center"/>
          </w:tcPr>
          <w:p>
            <w:pPr>
              <w:pStyle w:val="12"/>
            </w:pPr>
            <w:r>
              <w:t>项目名称</w:t>
            </w:r>
          </w:p>
        </w:tc>
        <w:tc>
          <w:tcPr>
            <w:tcW w:w="6095" w:type="dxa"/>
            <w:gridSpan w:val="3"/>
            <w:vAlign w:val="center"/>
          </w:tcPr>
          <w:p>
            <w:pPr>
              <w:pStyle w:val="14"/>
            </w:pPr>
            <w:r>
              <w:t>保财教【2025】30号提前下达2026年中央级国家电影事业发展专项资金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26.00</w:t>
            </w:r>
          </w:p>
        </w:tc>
        <w:tc>
          <w:tcPr>
            <w:tcW w:w="2835" w:type="dxa"/>
            <w:vAlign w:val="center"/>
          </w:tcPr>
          <w:p>
            <w:pPr>
              <w:pStyle w:val="12"/>
            </w:pPr>
            <w:r>
              <w:t>其中：财政    资金</w:t>
            </w:r>
          </w:p>
        </w:tc>
        <w:tc>
          <w:tcPr>
            <w:tcW w:w="2551" w:type="dxa"/>
            <w:vAlign w:val="center"/>
          </w:tcPr>
          <w:p>
            <w:pPr>
              <w:pStyle w:val="14"/>
            </w:pPr>
            <w:r>
              <w:t>26.00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给莲池区电影院发放国产影片放映奖励资金，鼓励影院放映国产电影，促进中国电影持续发展。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1.目标内容1给莲池区电影院发放国产影片放映奖励资金，鼓励影院放映国产电影，促进中国电影持续发展。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奖励影院数量</w:t>
            </w:r>
          </w:p>
        </w:tc>
        <w:tc>
          <w:tcPr>
            <w:tcW w:w="5386" w:type="dxa"/>
            <w:vAlign w:val="center"/>
          </w:tcPr>
          <w:p>
            <w:pPr>
              <w:pStyle w:val="14"/>
            </w:pPr>
            <w:r>
              <w:t>为辖区影院发放国产影片放映奖励资金</w:t>
            </w:r>
          </w:p>
        </w:tc>
        <w:tc>
          <w:tcPr>
            <w:tcW w:w="2268" w:type="dxa"/>
            <w:vAlign w:val="center"/>
          </w:tcPr>
          <w:p>
            <w:pPr>
              <w:pStyle w:val="14"/>
            </w:pPr>
            <w:r>
              <w:t>5家</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奖励影院占比</w:t>
            </w:r>
          </w:p>
        </w:tc>
        <w:tc>
          <w:tcPr>
            <w:tcW w:w="5386" w:type="dxa"/>
            <w:vAlign w:val="center"/>
          </w:tcPr>
          <w:p>
            <w:pPr>
              <w:pStyle w:val="14"/>
            </w:pPr>
            <w:r>
              <w:t>受资助的影院在莲池区的覆盖率</w:t>
            </w:r>
          </w:p>
        </w:tc>
        <w:tc>
          <w:tcPr>
            <w:tcW w:w="2268" w:type="dxa"/>
            <w:vAlign w:val="center"/>
          </w:tcPr>
          <w:p>
            <w:pPr>
              <w:pStyle w:val="14"/>
            </w:pPr>
            <w:r>
              <w:t>≥95百分比</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补助及时率</w:t>
            </w:r>
          </w:p>
        </w:tc>
        <w:tc>
          <w:tcPr>
            <w:tcW w:w="5386" w:type="dxa"/>
            <w:vAlign w:val="center"/>
          </w:tcPr>
          <w:p>
            <w:pPr>
              <w:pStyle w:val="14"/>
            </w:pPr>
            <w:r>
              <w:t>在规定时间内为受补助的影院发放补助</w:t>
            </w:r>
          </w:p>
        </w:tc>
        <w:tc>
          <w:tcPr>
            <w:tcW w:w="2268" w:type="dxa"/>
            <w:vAlign w:val="center"/>
          </w:tcPr>
          <w:p>
            <w:pPr>
              <w:pStyle w:val="14"/>
            </w:pPr>
            <w:r>
              <w:t>100百分比</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≤26万元</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促进国产电影发展</w:t>
            </w:r>
          </w:p>
        </w:tc>
        <w:tc>
          <w:tcPr>
            <w:tcW w:w="5386" w:type="dxa"/>
            <w:vAlign w:val="center"/>
          </w:tcPr>
          <w:p>
            <w:pPr>
              <w:pStyle w:val="14"/>
            </w:pPr>
            <w:r>
              <w:t>促进国产电影发展</w:t>
            </w:r>
          </w:p>
        </w:tc>
        <w:tc>
          <w:tcPr>
            <w:tcW w:w="2268" w:type="dxa"/>
            <w:vAlign w:val="center"/>
          </w:tcPr>
          <w:p>
            <w:pPr>
              <w:pStyle w:val="14"/>
            </w:pPr>
            <w:r>
              <w:t>≥90百分比</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提升国产影片票房收入</w:t>
            </w:r>
          </w:p>
        </w:tc>
        <w:tc>
          <w:tcPr>
            <w:tcW w:w="5386" w:type="dxa"/>
            <w:vAlign w:val="center"/>
          </w:tcPr>
          <w:p>
            <w:pPr>
              <w:pStyle w:val="14"/>
            </w:pPr>
            <w:r>
              <w:t>国产影片票房收入占总票房收入的55%</w:t>
            </w:r>
          </w:p>
        </w:tc>
        <w:tc>
          <w:tcPr>
            <w:tcW w:w="2268" w:type="dxa"/>
            <w:vAlign w:val="center"/>
          </w:tcPr>
          <w:p>
            <w:pPr>
              <w:pStyle w:val="14"/>
            </w:pPr>
            <w:r>
              <w:t>≥55百分比</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营造良好观影风气</w:t>
            </w:r>
          </w:p>
        </w:tc>
        <w:tc>
          <w:tcPr>
            <w:tcW w:w="5386" w:type="dxa"/>
            <w:vAlign w:val="center"/>
          </w:tcPr>
          <w:p>
            <w:pPr>
              <w:pStyle w:val="14"/>
            </w:pPr>
            <w:r>
              <w:t>营造良好观影风气</w:t>
            </w:r>
          </w:p>
        </w:tc>
        <w:tc>
          <w:tcPr>
            <w:tcW w:w="2268" w:type="dxa"/>
            <w:vAlign w:val="center"/>
          </w:tcPr>
          <w:p>
            <w:pPr>
              <w:pStyle w:val="14"/>
            </w:pPr>
            <w:r>
              <w:t>≥90百分比</w:t>
            </w:r>
          </w:p>
        </w:tc>
        <w:tc>
          <w:tcPr>
            <w:tcW w:w="1276" w:type="dxa"/>
            <w:vAlign w:val="center"/>
          </w:tcPr>
          <w:p>
            <w:pPr>
              <w:pStyle w:val="14"/>
            </w:pPr>
            <w:r>
              <w:t>保财教[2025]30号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观众满意度</w:t>
            </w:r>
          </w:p>
        </w:tc>
        <w:tc>
          <w:tcPr>
            <w:tcW w:w="5386" w:type="dxa"/>
            <w:vAlign w:val="center"/>
          </w:tcPr>
          <w:p>
            <w:pPr>
              <w:pStyle w:val="14"/>
            </w:pPr>
            <w:r>
              <w:t>受资助和奖励对象满意度</w:t>
            </w:r>
          </w:p>
        </w:tc>
        <w:tc>
          <w:tcPr>
            <w:tcW w:w="2268" w:type="dxa"/>
            <w:vAlign w:val="center"/>
          </w:tcPr>
          <w:p>
            <w:pPr>
              <w:pStyle w:val="14"/>
            </w:pPr>
            <w:r>
              <w:t>≥90百分比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5、保财教【2025】33号提前下达2026年省级国家电影事业发展专项资金绩效目标表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13060626P00002210377A</w:t>
            </w:r>
          </w:p>
        </w:tc>
        <w:tc>
          <w:tcPr>
            <w:tcW w:w="2835" w:type="dxa"/>
            <w:vAlign w:val="center"/>
          </w:tcPr>
          <w:p>
            <w:pPr>
              <w:pStyle w:val="12"/>
            </w:pPr>
            <w:r>
              <w:t>项目名称</w:t>
            </w:r>
          </w:p>
        </w:tc>
        <w:tc>
          <w:tcPr>
            <w:tcW w:w="6095" w:type="dxa"/>
            <w:gridSpan w:val="3"/>
            <w:vAlign w:val="center"/>
          </w:tcPr>
          <w:p>
            <w:pPr>
              <w:pStyle w:val="14"/>
            </w:pPr>
            <w:r>
              <w:t>保财教【2025】33号提前下达2026年省级国家电影事业发展专项资金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给莲池区电影院发放国产影片放映奖励资金，鼓励影院放映国产电影，促进中国电影持续发展。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1.目标内容1给莲池区电影院发放国产影片放映奖励资金，鼓励影院放映国产电影，促进中国电影持续发展。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资助国产影片放映奖励金</w:t>
            </w:r>
          </w:p>
        </w:tc>
        <w:tc>
          <w:tcPr>
            <w:tcW w:w="5386" w:type="dxa"/>
            <w:vAlign w:val="center"/>
          </w:tcPr>
          <w:p>
            <w:pPr>
              <w:pStyle w:val="14"/>
            </w:pPr>
            <w:r>
              <w:t>为辖区影院发放国产影片放映奖励资金</w:t>
            </w:r>
          </w:p>
        </w:tc>
        <w:tc>
          <w:tcPr>
            <w:tcW w:w="2268" w:type="dxa"/>
            <w:vAlign w:val="center"/>
          </w:tcPr>
          <w:p>
            <w:pPr>
              <w:pStyle w:val="14"/>
            </w:pPr>
            <w:r>
              <w:t>8家</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影院覆盖率</w:t>
            </w:r>
          </w:p>
        </w:tc>
        <w:tc>
          <w:tcPr>
            <w:tcW w:w="5386" w:type="dxa"/>
            <w:vAlign w:val="center"/>
          </w:tcPr>
          <w:p>
            <w:pPr>
              <w:pStyle w:val="14"/>
            </w:pPr>
            <w:r>
              <w:t>受资助的影院在莲池区的覆盖率≧95%</w:t>
            </w:r>
          </w:p>
        </w:tc>
        <w:tc>
          <w:tcPr>
            <w:tcW w:w="2268" w:type="dxa"/>
            <w:vAlign w:val="center"/>
          </w:tcPr>
          <w:p>
            <w:pPr>
              <w:pStyle w:val="14"/>
            </w:pPr>
            <w:r>
              <w:t>≥95百分比</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补助及时率</w:t>
            </w:r>
          </w:p>
        </w:tc>
        <w:tc>
          <w:tcPr>
            <w:tcW w:w="5386" w:type="dxa"/>
            <w:vAlign w:val="center"/>
          </w:tcPr>
          <w:p>
            <w:pPr>
              <w:pStyle w:val="14"/>
            </w:pPr>
            <w:r>
              <w:t>在规定时间内为受补助的影院发放补助</w:t>
            </w:r>
          </w:p>
        </w:tc>
        <w:tc>
          <w:tcPr>
            <w:tcW w:w="2268" w:type="dxa"/>
            <w:vAlign w:val="center"/>
          </w:tcPr>
          <w:p>
            <w:pPr>
              <w:pStyle w:val="14"/>
            </w:pPr>
            <w:r>
              <w:t>100百分比</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22万元</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促进国产电影发展</w:t>
            </w:r>
          </w:p>
        </w:tc>
        <w:tc>
          <w:tcPr>
            <w:tcW w:w="5386" w:type="dxa"/>
            <w:vAlign w:val="center"/>
          </w:tcPr>
          <w:p>
            <w:pPr>
              <w:pStyle w:val="14"/>
            </w:pPr>
            <w:r>
              <w:t>促进国产电影发展</w:t>
            </w:r>
          </w:p>
        </w:tc>
        <w:tc>
          <w:tcPr>
            <w:tcW w:w="2268" w:type="dxa"/>
            <w:vAlign w:val="center"/>
          </w:tcPr>
          <w:p>
            <w:pPr>
              <w:pStyle w:val="14"/>
            </w:pPr>
            <w:r>
              <w:t>≥90百分比</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提升国产影片票房收入</w:t>
            </w:r>
          </w:p>
        </w:tc>
        <w:tc>
          <w:tcPr>
            <w:tcW w:w="5386" w:type="dxa"/>
            <w:vAlign w:val="center"/>
          </w:tcPr>
          <w:p>
            <w:pPr>
              <w:pStyle w:val="14"/>
            </w:pPr>
            <w:r>
              <w:t>国产影片票房收入占总票房收入的55%</w:t>
            </w:r>
          </w:p>
        </w:tc>
        <w:tc>
          <w:tcPr>
            <w:tcW w:w="2268" w:type="dxa"/>
            <w:vAlign w:val="center"/>
          </w:tcPr>
          <w:p>
            <w:pPr>
              <w:pStyle w:val="14"/>
            </w:pPr>
            <w:r>
              <w:t>≥55百分比</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营造良好观影风气</w:t>
            </w:r>
          </w:p>
        </w:tc>
        <w:tc>
          <w:tcPr>
            <w:tcW w:w="5386" w:type="dxa"/>
            <w:vAlign w:val="center"/>
          </w:tcPr>
          <w:p>
            <w:pPr>
              <w:pStyle w:val="14"/>
            </w:pPr>
            <w:r>
              <w:t>营造良好观影风气</w:t>
            </w:r>
          </w:p>
        </w:tc>
        <w:tc>
          <w:tcPr>
            <w:tcW w:w="2268" w:type="dxa"/>
            <w:vAlign w:val="center"/>
          </w:tcPr>
          <w:p>
            <w:pPr>
              <w:pStyle w:val="14"/>
            </w:pPr>
            <w:r>
              <w:t>≥90百分比</w:t>
            </w:r>
          </w:p>
        </w:tc>
        <w:tc>
          <w:tcPr>
            <w:tcW w:w="1276" w:type="dxa"/>
            <w:vAlign w:val="center"/>
          </w:tcPr>
          <w:p>
            <w:pPr>
              <w:pStyle w:val="14"/>
            </w:pPr>
            <w:r>
              <w:t>保财教[2025]33号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观众满意度</w:t>
            </w:r>
          </w:p>
        </w:tc>
        <w:tc>
          <w:tcPr>
            <w:tcW w:w="5386" w:type="dxa"/>
            <w:vAlign w:val="center"/>
          </w:tcPr>
          <w:p>
            <w:pPr>
              <w:pStyle w:val="14"/>
            </w:pPr>
            <w:r>
              <w:t>观众对放映的国产影片</w:t>
            </w:r>
            <w:r>
              <w:rPr>
                <w:rFonts w:hint="eastAsia"/>
                <w:lang w:eastAsia="zh-CN"/>
              </w:rPr>
              <w:t>的</w:t>
            </w:r>
            <w:r>
              <w:t>满意度</w:t>
            </w:r>
          </w:p>
        </w:tc>
        <w:tc>
          <w:tcPr>
            <w:tcW w:w="2268" w:type="dxa"/>
            <w:vAlign w:val="center"/>
          </w:tcPr>
          <w:p>
            <w:pPr>
              <w:pStyle w:val="14"/>
            </w:pPr>
            <w:r>
              <w:t>≥90百分比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6、保财教【2025】38号提前下达2026年省级公共文化服务体系建设补助资金绩效目标表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13060626P00002210426L</w:t>
            </w:r>
          </w:p>
        </w:tc>
        <w:tc>
          <w:tcPr>
            <w:tcW w:w="2835" w:type="dxa"/>
            <w:vAlign w:val="center"/>
          </w:tcPr>
          <w:p>
            <w:pPr>
              <w:pStyle w:val="12"/>
            </w:pPr>
            <w:r>
              <w:t>项目名称</w:t>
            </w:r>
          </w:p>
        </w:tc>
        <w:tc>
          <w:tcPr>
            <w:tcW w:w="6095" w:type="dxa"/>
            <w:gridSpan w:val="3"/>
            <w:vAlign w:val="center"/>
          </w:tcPr>
          <w:p>
            <w:pPr>
              <w:pStyle w:val="14"/>
            </w:pPr>
            <w:r>
              <w:t>保财教【2025】38号提前下达2026年省级公共文化服务体系建设补助资金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5.76</w:t>
            </w:r>
          </w:p>
        </w:tc>
        <w:tc>
          <w:tcPr>
            <w:tcW w:w="2835" w:type="dxa"/>
            <w:vAlign w:val="center"/>
          </w:tcPr>
          <w:p>
            <w:pPr>
              <w:pStyle w:val="12"/>
            </w:pPr>
            <w:r>
              <w:t>其中：财政    资金</w:t>
            </w:r>
          </w:p>
        </w:tc>
        <w:tc>
          <w:tcPr>
            <w:tcW w:w="2551" w:type="dxa"/>
            <w:vAlign w:val="center"/>
          </w:tcPr>
          <w:p>
            <w:pPr>
              <w:pStyle w:val="14"/>
            </w:pPr>
            <w:r>
              <w:t>5.76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发放老电影放映员生活补贴，补助农村公益电影放映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1.目标内容1发放老电影放映员生活补贴，补助农村公益电影放映</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补贴农村老电影放映员数量及放映数量</w:t>
            </w:r>
          </w:p>
        </w:tc>
        <w:tc>
          <w:tcPr>
            <w:tcW w:w="5386" w:type="dxa"/>
            <w:vAlign w:val="center"/>
          </w:tcPr>
          <w:p>
            <w:pPr>
              <w:pStyle w:val="14"/>
            </w:pPr>
            <w:r>
              <w:t>补贴农村老电影放映员数量及按计划完成农村公益电影放映的场次</w:t>
            </w:r>
          </w:p>
        </w:tc>
        <w:tc>
          <w:tcPr>
            <w:tcW w:w="2268" w:type="dxa"/>
            <w:vAlign w:val="center"/>
          </w:tcPr>
          <w:p>
            <w:pPr>
              <w:pStyle w:val="14"/>
            </w:pPr>
            <w:r>
              <w:t>20人</w:t>
            </w:r>
          </w:p>
        </w:tc>
        <w:tc>
          <w:tcPr>
            <w:tcW w:w="1276" w:type="dxa"/>
            <w:vAlign w:val="center"/>
          </w:tcPr>
          <w:p>
            <w:pPr>
              <w:pStyle w:val="14"/>
            </w:pPr>
            <w:r>
              <w:t>保财教[2025]38号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准确核实老放映员资格审核合规、补贴标准符合政策要求</w:t>
            </w:r>
          </w:p>
        </w:tc>
        <w:tc>
          <w:tcPr>
            <w:tcW w:w="2268" w:type="dxa"/>
            <w:vAlign w:val="center"/>
          </w:tcPr>
          <w:p>
            <w:pPr>
              <w:pStyle w:val="14"/>
            </w:pPr>
            <w:r>
              <w:t>≥95百分比</w:t>
            </w:r>
          </w:p>
        </w:tc>
        <w:tc>
          <w:tcPr>
            <w:tcW w:w="1276" w:type="dxa"/>
            <w:vAlign w:val="center"/>
          </w:tcPr>
          <w:p>
            <w:pPr>
              <w:pStyle w:val="14"/>
            </w:pPr>
            <w:r>
              <w:t>保财教[2025]38号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公益电影播放及时率</w:t>
            </w:r>
          </w:p>
        </w:tc>
        <w:tc>
          <w:tcPr>
            <w:tcW w:w="5386" w:type="dxa"/>
            <w:vAlign w:val="center"/>
          </w:tcPr>
          <w:p>
            <w:pPr>
              <w:pStyle w:val="14"/>
            </w:pPr>
            <w:r>
              <w:t>按时播放公益电影</w:t>
            </w:r>
          </w:p>
        </w:tc>
        <w:tc>
          <w:tcPr>
            <w:tcW w:w="2268" w:type="dxa"/>
            <w:vAlign w:val="center"/>
          </w:tcPr>
          <w:p>
            <w:pPr>
              <w:pStyle w:val="14"/>
            </w:pPr>
            <w:r>
              <w:t>≥95百分比</w:t>
            </w:r>
          </w:p>
        </w:tc>
        <w:tc>
          <w:tcPr>
            <w:tcW w:w="1276" w:type="dxa"/>
            <w:vAlign w:val="center"/>
          </w:tcPr>
          <w:p>
            <w:pPr>
              <w:pStyle w:val="14"/>
            </w:pPr>
            <w:r>
              <w:t>保财教[2025]38号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5386" w:type="dxa"/>
            <w:vAlign w:val="center"/>
          </w:tcPr>
          <w:p>
            <w:pPr>
              <w:pStyle w:val="14"/>
            </w:pPr>
            <w:r>
              <w:t>不超预算</w:t>
            </w:r>
          </w:p>
        </w:tc>
        <w:tc>
          <w:tcPr>
            <w:tcW w:w="2268" w:type="dxa"/>
            <w:vAlign w:val="center"/>
          </w:tcPr>
          <w:p>
            <w:pPr>
              <w:pStyle w:val="14"/>
            </w:pPr>
            <w:r>
              <w:t>≤5.76万元</w:t>
            </w:r>
          </w:p>
        </w:tc>
        <w:tc>
          <w:tcPr>
            <w:tcW w:w="1276" w:type="dxa"/>
            <w:vAlign w:val="center"/>
          </w:tcPr>
          <w:p>
            <w:pPr>
              <w:pStyle w:val="14"/>
            </w:pPr>
            <w:r>
              <w:t>保财教[2025]38号</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公共文化服务覆盖率</w:t>
            </w:r>
          </w:p>
        </w:tc>
        <w:tc>
          <w:tcPr>
            <w:tcW w:w="5386" w:type="dxa"/>
            <w:vAlign w:val="center"/>
          </w:tcPr>
          <w:p>
            <w:pPr>
              <w:pStyle w:val="14"/>
            </w:pPr>
            <w:r>
              <w:t>农村群众享受公益电影服务的可及性、覆盖面提升比例</w:t>
            </w:r>
          </w:p>
        </w:tc>
        <w:tc>
          <w:tcPr>
            <w:tcW w:w="2268" w:type="dxa"/>
            <w:vAlign w:val="center"/>
          </w:tcPr>
          <w:p>
            <w:pPr>
              <w:pStyle w:val="14"/>
            </w:pPr>
            <w:r>
              <w:t>≥95百分比</w:t>
            </w:r>
          </w:p>
        </w:tc>
        <w:tc>
          <w:tcPr>
            <w:tcW w:w="1276" w:type="dxa"/>
            <w:vAlign w:val="center"/>
          </w:tcPr>
          <w:p>
            <w:pPr>
              <w:pStyle w:val="14"/>
            </w:pPr>
            <w:r>
              <w:t>保财教[2025]38号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资金使用精准率</w:t>
            </w:r>
          </w:p>
        </w:tc>
        <w:tc>
          <w:tcPr>
            <w:tcW w:w="5386" w:type="dxa"/>
            <w:vAlign w:val="center"/>
          </w:tcPr>
          <w:p>
            <w:pPr>
              <w:pStyle w:val="14"/>
            </w:pPr>
            <w:r>
              <w:t>补助资金精准投入至补贴发放、放映补助等核心环节</w:t>
            </w:r>
          </w:p>
        </w:tc>
        <w:tc>
          <w:tcPr>
            <w:tcW w:w="2268" w:type="dxa"/>
            <w:vAlign w:val="center"/>
          </w:tcPr>
          <w:p>
            <w:pPr>
              <w:pStyle w:val="14"/>
            </w:pPr>
            <w:r>
              <w:t>≥95百分比</w:t>
            </w:r>
          </w:p>
        </w:tc>
        <w:tc>
          <w:tcPr>
            <w:tcW w:w="1276" w:type="dxa"/>
            <w:vAlign w:val="center"/>
          </w:tcPr>
          <w:p>
            <w:pPr>
              <w:pStyle w:val="14"/>
            </w:pPr>
            <w:r>
              <w:t>保财教[2025]38号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促进农村文化事业发展</w:t>
            </w:r>
          </w:p>
        </w:tc>
        <w:tc>
          <w:tcPr>
            <w:tcW w:w="5386" w:type="dxa"/>
            <w:vAlign w:val="center"/>
          </w:tcPr>
          <w:p>
            <w:pPr>
              <w:pStyle w:val="14"/>
            </w:pPr>
            <w:r>
              <w:t>工作持续性</w:t>
            </w:r>
          </w:p>
        </w:tc>
        <w:tc>
          <w:tcPr>
            <w:tcW w:w="2268" w:type="dxa"/>
            <w:vAlign w:val="center"/>
          </w:tcPr>
          <w:p>
            <w:pPr>
              <w:pStyle w:val="14"/>
            </w:pPr>
            <w:r>
              <w:t>可持续</w:t>
            </w:r>
          </w:p>
        </w:tc>
        <w:tc>
          <w:tcPr>
            <w:tcW w:w="1276" w:type="dxa"/>
            <w:vAlign w:val="center"/>
          </w:tcPr>
          <w:p>
            <w:pPr>
              <w:pStyle w:val="14"/>
            </w:pPr>
            <w:r>
              <w:t>保财教[2025]38号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群众及老电影放映员满意度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7、创城指导中心绩效目标表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13060626P000022103463</w:t>
            </w:r>
          </w:p>
        </w:tc>
        <w:tc>
          <w:tcPr>
            <w:tcW w:w="2835" w:type="dxa"/>
            <w:vAlign w:val="center"/>
          </w:tcPr>
          <w:p>
            <w:pPr>
              <w:pStyle w:val="12"/>
            </w:pPr>
            <w:r>
              <w:t>项目名称</w:t>
            </w:r>
          </w:p>
        </w:tc>
        <w:tc>
          <w:tcPr>
            <w:tcW w:w="6095" w:type="dxa"/>
            <w:gridSpan w:val="3"/>
            <w:vAlign w:val="center"/>
          </w:tcPr>
          <w:p>
            <w:pPr>
              <w:pStyle w:val="14"/>
            </w:pPr>
            <w:r>
              <w:t>创城指导中心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保障单位正常运转，服务于单位全年目标任务。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1.目标内容1合理安排财政资金支出计划，遵循单位财务规章制度,保障单位正常运转，服务于单位全年目标任务。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工作日保障单位运转情况</w:t>
            </w:r>
          </w:p>
        </w:tc>
        <w:tc>
          <w:tcPr>
            <w:tcW w:w="2268" w:type="dxa"/>
            <w:vAlign w:val="center"/>
          </w:tcPr>
          <w:p>
            <w:pPr>
              <w:pStyle w:val="14"/>
            </w:pPr>
            <w:r>
              <w:t>≥8小时</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经费支出准确率</w:t>
            </w:r>
          </w:p>
        </w:tc>
        <w:tc>
          <w:tcPr>
            <w:tcW w:w="5386" w:type="dxa"/>
            <w:vAlign w:val="center"/>
          </w:tcPr>
          <w:p>
            <w:pPr>
              <w:pStyle w:val="14"/>
            </w:pPr>
            <w:r>
              <w:t>按财务规定准确支出</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经费支出及时率</w:t>
            </w:r>
          </w:p>
        </w:tc>
        <w:tc>
          <w:tcPr>
            <w:tcW w:w="5386" w:type="dxa"/>
            <w:vAlign w:val="center"/>
          </w:tcPr>
          <w:p>
            <w:pPr>
              <w:pStyle w:val="14"/>
            </w:pPr>
            <w:r>
              <w:t>按规定时间支出经费</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经费成本不超预算</w:t>
            </w:r>
          </w:p>
        </w:tc>
        <w:tc>
          <w:tcPr>
            <w:tcW w:w="2268" w:type="dxa"/>
            <w:vAlign w:val="center"/>
          </w:tcPr>
          <w:p>
            <w:pPr>
              <w:pStyle w:val="14"/>
            </w:pPr>
            <w:r>
              <w:t>≤8万元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正常办公条件保障情况</w:t>
            </w:r>
          </w:p>
        </w:tc>
        <w:tc>
          <w:tcPr>
            <w:tcW w:w="5386" w:type="dxa"/>
            <w:vAlign w:val="center"/>
          </w:tcPr>
          <w:p>
            <w:pPr>
              <w:pStyle w:val="14"/>
            </w:pPr>
            <w:r>
              <w:t>保障正常办公条件，促进创城工作</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发挥财政资金使用效益</w:t>
            </w:r>
          </w:p>
        </w:tc>
        <w:tc>
          <w:tcPr>
            <w:tcW w:w="5386" w:type="dxa"/>
            <w:vAlign w:val="center"/>
          </w:tcPr>
          <w:p>
            <w:pPr>
              <w:pStyle w:val="14"/>
            </w:pPr>
            <w:r>
              <w:t>压缩开支、厉行节约</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响应节能减排号召</w:t>
            </w:r>
          </w:p>
        </w:tc>
        <w:tc>
          <w:tcPr>
            <w:tcW w:w="5386" w:type="dxa"/>
            <w:vAlign w:val="center"/>
          </w:tcPr>
          <w:p>
            <w:pPr>
              <w:pStyle w:val="14"/>
            </w:pPr>
            <w:r>
              <w:t>使用节能减排产品</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机关工作人员满意度</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8、电影放映员生活补贴绩效目标表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13060626P00002210352G</w:t>
            </w:r>
          </w:p>
        </w:tc>
        <w:tc>
          <w:tcPr>
            <w:tcW w:w="2835" w:type="dxa"/>
            <w:vAlign w:val="center"/>
          </w:tcPr>
          <w:p>
            <w:pPr>
              <w:pStyle w:val="12"/>
            </w:pPr>
            <w:r>
              <w:t>项目名称</w:t>
            </w:r>
          </w:p>
        </w:tc>
        <w:tc>
          <w:tcPr>
            <w:tcW w:w="6095" w:type="dxa"/>
            <w:gridSpan w:val="3"/>
            <w:vAlign w:val="center"/>
          </w:tcPr>
          <w:p>
            <w:pPr>
              <w:pStyle w:val="14"/>
            </w:pPr>
            <w:r>
              <w:t>电影放映员生活补贴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为20名乡镇电影放映员发放补助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1.目标内容1为20名乡镇电影放映员发放补助，提高乡镇电影放映员生活水平。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补助人员数量</w:t>
            </w:r>
          </w:p>
        </w:tc>
        <w:tc>
          <w:tcPr>
            <w:tcW w:w="5386" w:type="dxa"/>
            <w:vAlign w:val="center"/>
          </w:tcPr>
          <w:p>
            <w:pPr>
              <w:pStyle w:val="14"/>
            </w:pPr>
            <w:r>
              <w:t>为20名乡镇电影放映员发放补助</w:t>
            </w:r>
          </w:p>
        </w:tc>
        <w:tc>
          <w:tcPr>
            <w:tcW w:w="2268" w:type="dxa"/>
            <w:vAlign w:val="center"/>
          </w:tcPr>
          <w:p>
            <w:pPr>
              <w:pStyle w:val="14"/>
            </w:pPr>
            <w:r>
              <w:t>≥20人</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补助发放准确率</w:t>
            </w:r>
          </w:p>
        </w:tc>
        <w:tc>
          <w:tcPr>
            <w:tcW w:w="5386" w:type="dxa"/>
            <w:vAlign w:val="center"/>
          </w:tcPr>
          <w:p>
            <w:pPr>
              <w:pStyle w:val="14"/>
            </w:pPr>
            <w:r>
              <w:t>补助发放准确无误</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补助发放及时率</w:t>
            </w:r>
          </w:p>
        </w:tc>
        <w:tc>
          <w:tcPr>
            <w:tcW w:w="5386" w:type="dxa"/>
            <w:vAlign w:val="center"/>
          </w:tcPr>
          <w:p>
            <w:pPr>
              <w:pStyle w:val="14"/>
            </w:pPr>
            <w:r>
              <w:t>在规定时间内及时发放</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≤10万元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保障老放映员群体权益</w:t>
            </w:r>
          </w:p>
        </w:tc>
        <w:tc>
          <w:tcPr>
            <w:tcW w:w="5386" w:type="dxa"/>
            <w:vAlign w:val="center"/>
          </w:tcPr>
          <w:p>
            <w:pPr>
              <w:pStyle w:val="14"/>
            </w:pPr>
            <w:r>
              <w:t>保障老放映员群体权益，提高其生活水平。</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提高资金使用率</w:t>
            </w:r>
          </w:p>
        </w:tc>
        <w:tc>
          <w:tcPr>
            <w:tcW w:w="5386" w:type="dxa"/>
            <w:vAlign w:val="center"/>
          </w:tcPr>
          <w:p>
            <w:pPr>
              <w:pStyle w:val="14"/>
            </w:pPr>
            <w:r>
              <w:t>提高财政资金使用率，杜绝浪费、挪用</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服务对象满意率</w:t>
            </w:r>
          </w:p>
        </w:tc>
        <w:tc>
          <w:tcPr>
            <w:tcW w:w="5386" w:type="dxa"/>
            <w:vAlign w:val="center"/>
          </w:tcPr>
          <w:p>
            <w:pPr>
              <w:pStyle w:val="14"/>
            </w:pPr>
            <w:r>
              <w:t>放映员群体满意度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9、公益电影放映绩效目标表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13060626P00002210351W</w:t>
            </w:r>
          </w:p>
        </w:tc>
        <w:tc>
          <w:tcPr>
            <w:tcW w:w="2835" w:type="dxa"/>
            <w:vAlign w:val="center"/>
          </w:tcPr>
          <w:p>
            <w:pPr>
              <w:pStyle w:val="12"/>
            </w:pPr>
            <w:r>
              <w:t>项目名称</w:t>
            </w:r>
          </w:p>
        </w:tc>
        <w:tc>
          <w:tcPr>
            <w:tcW w:w="6095" w:type="dxa"/>
            <w:gridSpan w:val="3"/>
            <w:vAlign w:val="center"/>
          </w:tcPr>
          <w:p>
            <w:pPr>
              <w:pStyle w:val="14"/>
            </w:pPr>
            <w:r>
              <w:t>公益电影放映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14.28</w:t>
            </w:r>
          </w:p>
        </w:tc>
        <w:tc>
          <w:tcPr>
            <w:tcW w:w="2835" w:type="dxa"/>
            <w:vAlign w:val="center"/>
          </w:tcPr>
          <w:p>
            <w:pPr>
              <w:pStyle w:val="12"/>
            </w:pPr>
            <w:r>
              <w:t>其中：财政    资金</w:t>
            </w:r>
          </w:p>
        </w:tc>
        <w:tc>
          <w:tcPr>
            <w:tcW w:w="2551" w:type="dxa"/>
            <w:vAlign w:val="center"/>
          </w:tcPr>
          <w:p>
            <w:pPr>
              <w:pStyle w:val="14"/>
            </w:pPr>
            <w:r>
              <w:t>14.28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为119个村庄每月放映电影至少一次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1.目标内容1丰富农村群众文化生活，促进农村电影放映工作。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放映场次</w:t>
            </w:r>
          </w:p>
        </w:tc>
        <w:tc>
          <w:tcPr>
            <w:tcW w:w="5386" w:type="dxa"/>
            <w:vAlign w:val="center"/>
          </w:tcPr>
          <w:p>
            <w:pPr>
              <w:pStyle w:val="14"/>
            </w:pPr>
            <w:r>
              <w:t>每村每月1场</w:t>
            </w:r>
          </w:p>
        </w:tc>
        <w:tc>
          <w:tcPr>
            <w:tcW w:w="2268" w:type="dxa"/>
            <w:vAlign w:val="center"/>
          </w:tcPr>
          <w:p>
            <w:pPr>
              <w:pStyle w:val="14"/>
            </w:pPr>
            <w:r>
              <w:t>≥1428场</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国产影片占比率</w:t>
            </w:r>
          </w:p>
        </w:tc>
        <w:tc>
          <w:tcPr>
            <w:tcW w:w="5386" w:type="dxa"/>
            <w:vAlign w:val="center"/>
          </w:tcPr>
          <w:p>
            <w:pPr>
              <w:pStyle w:val="14"/>
            </w:pPr>
            <w:r>
              <w:t>放映国产新片占比不少于1/3</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放映任务完成及时率</w:t>
            </w:r>
          </w:p>
        </w:tc>
        <w:tc>
          <w:tcPr>
            <w:tcW w:w="5386" w:type="dxa"/>
            <w:vAlign w:val="center"/>
          </w:tcPr>
          <w:p>
            <w:pPr>
              <w:pStyle w:val="14"/>
            </w:pPr>
            <w:r>
              <w:t>每月及时放映</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不超预算</w:t>
            </w:r>
          </w:p>
        </w:tc>
        <w:tc>
          <w:tcPr>
            <w:tcW w:w="2268" w:type="dxa"/>
            <w:vAlign w:val="center"/>
          </w:tcPr>
          <w:p>
            <w:pPr>
              <w:pStyle w:val="14"/>
            </w:pPr>
            <w:r>
              <w:t>≤14.28万元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丰富农村群众文化生活</w:t>
            </w:r>
          </w:p>
        </w:tc>
        <w:tc>
          <w:tcPr>
            <w:tcW w:w="5386" w:type="dxa"/>
            <w:vAlign w:val="center"/>
          </w:tcPr>
          <w:p>
            <w:pPr>
              <w:pStyle w:val="14"/>
            </w:pPr>
            <w:r>
              <w:t>丰富农村群众文化生活，促进农村电影放映</w:t>
            </w:r>
          </w:p>
        </w:tc>
        <w:tc>
          <w:tcPr>
            <w:tcW w:w="2268" w:type="dxa"/>
            <w:vAlign w:val="center"/>
          </w:tcPr>
          <w:p>
            <w:pPr>
              <w:pStyle w:val="14"/>
            </w:pPr>
            <w:r>
              <w:t>效果显著</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农村电影放映工作可持续性</w:t>
            </w:r>
          </w:p>
        </w:tc>
        <w:tc>
          <w:tcPr>
            <w:tcW w:w="5386" w:type="dxa"/>
            <w:vAlign w:val="center"/>
          </w:tcPr>
          <w:p>
            <w:pPr>
              <w:pStyle w:val="14"/>
            </w:pPr>
            <w:r>
              <w:t>促进农村电影放映工作长期运行</w:t>
            </w:r>
          </w:p>
        </w:tc>
        <w:tc>
          <w:tcPr>
            <w:tcW w:w="2268" w:type="dxa"/>
            <w:vAlign w:val="center"/>
          </w:tcPr>
          <w:p>
            <w:pPr>
              <w:pStyle w:val="14"/>
            </w:pPr>
            <w:r>
              <w:t>长期放映</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发挥财政资金使用效益</w:t>
            </w:r>
          </w:p>
        </w:tc>
        <w:tc>
          <w:tcPr>
            <w:tcW w:w="5386" w:type="dxa"/>
            <w:vAlign w:val="center"/>
          </w:tcPr>
          <w:p>
            <w:pPr>
              <w:pStyle w:val="14"/>
            </w:pPr>
            <w:r>
              <w:t>提高财政资金使用率，杜绝浪费、挪用</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村民满意率</w:t>
            </w:r>
          </w:p>
        </w:tc>
        <w:tc>
          <w:tcPr>
            <w:tcW w:w="5386" w:type="dxa"/>
            <w:vAlign w:val="center"/>
          </w:tcPr>
          <w:p>
            <w:pPr>
              <w:pStyle w:val="14"/>
            </w:pPr>
            <w:r>
              <w:t>村民满意度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10、精神文明建设绩效目标表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13060626P00002210344U</w:t>
            </w:r>
          </w:p>
        </w:tc>
        <w:tc>
          <w:tcPr>
            <w:tcW w:w="2835" w:type="dxa"/>
            <w:vAlign w:val="center"/>
          </w:tcPr>
          <w:p>
            <w:pPr>
              <w:pStyle w:val="12"/>
            </w:pPr>
            <w:r>
              <w:t>项目名称</w:t>
            </w:r>
          </w:p>
        </w:tc>
        <w:tc>
          <w:tcPr>
            <w:tcW w:w="6095" w:type="dxa"/>
            <w:gridSpan w:val="3"/>
            <w:vAlign w:val="center"/>
          </w:tcPr>
          <w:p>
            <w:pPr>
              <w:pStyle w:val="14"/>
            </w:pPr>
            <w:r>
              <w:t>精神文明建设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保障单位正常运转，服务于单位全年目标任务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1.目标内容1保障单位正常运转，服务于单位全年目标任务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工作日保障单位运转情况</w:t>
            </w:r>
          </w:p>
        </w:tc>
        <w:tc>
          <w:tcPr>
            <w:tcW w:w="2268" w:type="dxa"/>
            <w:vAlign w:val="center"/>
          </w:tcPr>
          <w:p>
            <w:pPr>
              <w:pStyle w:val="14"/>
            </w:pPr>
            <w:r>
              <w:t>≥8小时</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经费支出准确率</w:t>
            </w:r>
          </w:p>
        </w:tc>
        <w:tc>
          <w:tcPr>
            <w:tcW w:w="5386" w:type="dxa"/>
            <w:vAlign w:val="center"/>
          </w:tcPr>
          <w:p>
            <w:pPr>
              <w:pStyle w:val="14"/>
            </w:pPr>
            <w:r>
              <w:t>准确支出经费</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经费支出及时率</w:t>
            </w:r>
          </w:p>
        </w:tc>
        <w:tc>
          <w:tcPr>
            <w:tcW w:w="5386" w:type="dxa"/>
            <w:vAlign w:val="center"/>
          </w:tcPr>
          <w:p>
            <w:pPr>
              <w:pStyle w:val="14"/>
            </w:pPr>
            <w:r>
              <w:t>按规定时间支出经费</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经费成本不超预算</w:t>
            </w:r>
          </w:p>
        </w:tc>
        <w:tc>
          <w:tcPr>
            <w:tcW w:w="2268" w:type="dxa"/>
            <w:vAlign w:val="center"/>
          </w:tcPr>
          <w:p>
            <w:pPr>
              <w:pStyle w:val="14"/>
            </w:pPr>
            <w:r>
              <w:t>≤15万元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正常办公条件保障情况</w:t>
            </w:r>
          </w:p>
        </w:tc>
        <w:tc>
          <w:tcPr>
            <w:tcW w:w="5386" w:type="dxa"/>
            <w:vAlign w:val="center"/>
          </w:tcPr>
          <w:p>
            <w:pPr>
              <w:pStyle w:val="14"/>
            </w:pPr>
            <w:r>
              <w:t>保障文明办、新时代文明实践中心正常办公条件</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发挥财政资金使用效益</w:t>
            </w:r>
          </w:p>
        </w:tc>
        <w:tc>
          <w:tcPr>
            <w:tcW w:w="5386" w:type="dxa"/>
            <w:vAlign w:val="center"/>
          </w:tcPr>
          <w:p>
            <w:pPr>
              <w:pStyle w:val="14"/>
            </w:pPr>
            <w:r>
              <w:t>压缩开支、厉行节约</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响应节能减排号召</w:t>
            </w:r>
          </w:p>
        </w:tc>
        <w:tc>
          <w:tcPr>
            <w:tcW w:w="5386" w:type="dxa"/>
            <w:vAlign w:val="center"/>
          </w:tcPr>
          <w:p>
            <w:pPr>
              <w:pStyle w:val="14"/>
            </w:pPr>
            <w:r>
              <w:t>使用节能减排产品</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保障工作可持续性</w:t>
            </w:r>
          </w:p>
        </w:tc>
        <w:tc>
          <w:tcPr>
            <w:tcW w:w="5386" w:type="dxa"/>
            <w:vAlign w:val="center"/>
          </w:tcPr>
          <w:p>
            <w:pPr>
              <w:pStyle w:val="14"/>
            </w:pPr>
            <w:r>
              <w:t>业务工作可持续性</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机关工作人员满意度</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11、农家书屋绩效目标表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13060626P00002210354P</w:t>
            </w:r>
          </w:p>
        </w:tc>
        <w:tc>
          <w:tcPr>
            <w:tcW w:w="2835" w:type="dxa"/>
            <w:vAlign w:val="center"/>
          </w:tcPr>
          <w:p>
            <w:pPr>
              <w:pStyle w:val="12"/>
            </w:pPr>
            <w:r>
              <w:t>项目名称</w:t>
            </w:r>
          </w:p>
        </w:tc>
        <w:tc>
          <w:tcPr>
            <w:tcW w:w="6095" w:type="dxa"/>
            <w:gridSpan w:val="3"/>
            <w:vAlign w:val="center"/>
          </w:tcPr>
          <w:p>
            <w:pPr>
              <w:pStyle w:val="14"/>
            </w:pPr>
            <w:r>
              <w:t>农家书屋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w:t>
            </w:r>
          </w:p>
        </w:tc>
        <w:tc>
          <w:tcPr>
            <w:tcW w:w="2835" w:type="dxa"/>
            <w:vAlign w:val="center"/>
          </w:tcPr>
          <w:p>
            <w:pPr>
              <w:pStyle w:val="12"/>
            </w:pPr>
            <w:r>
              <w:t>其中：财政    资金</w:t>
            </w:r>
          </w:p>
        </w:tc>
        <w:tc>
          <w:tcPr>
            <w:tcW w:w="2551" w:type="dxa"/>
            <w:vAlign w:val="center"/>
          </w:tcPr>
          <w:p>
            <w:pPr>
              <w:pStyle w:val="14"/>
            </w:pPr>
            <w:r>
              <w:t>12.00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为辖区119个村庄购置发放书籍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1.目标内容1为辖区119个村庄购置发放书籍</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购置完成率</w:t>
            </w:r>
          </w:p>
        </w:tc>
        <w:tc>
          <w:tcPr>
            <w:tcW w:w="5386" w:type="dxa"/>
            <w:vAlign w:val="center"/>
          </w:tcPr>
          <w:p>
            <w:pPr>
              <w:pStyle w:val="14"/>
            </w:pPr>
            <w:r>
              <w:t>为119个村庄购置书籍，每个村庄不少于2000元</w:t>
            </w:r>
          </w:p>
        </w:tc>
        <w:tc>
          <w:tcPr>
            <w:tcW w:w="2268" w:type="dxa"/>
            <w:vAlign w:val="center"/>
          </w:tcPr>
          <w:p>
            <w:pPr>
              <w:pStyle w:val="14"/>
            </w:pPr>
            <w:r>
              <w:t>100百分比</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购置书籍合格率</w:t>
            </w:r>
          </w:p>
        </w:tc>
        <w:tc>
          <w:tcPr>
            <w:tcW w:w="5386" w:type="dxa"/>
            <w:vAlign w:val="center"/>
          </w:tcPr>
          <w:p>
            <w:pPr>
              <w:pStyle w:val="14"/>
            </w:pPr>
            <w:r>
              <w:t>购置的目录书籍不低于70%</w:t>
            </w:r>
          </w:p>
        </w:tc>
        <w:tc>
          <w:tcPr>
            <w:tcW w:w="2268" w:type="dxa"/>
            <w:vAlign w:val="center"/>
          </w:tcPr>
          <w:p>
            <w:pPr>
              <w:pStyle w:val="14"/>
            </w:pPr>
            <w:r>
              <w:t>≥70百分比</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购置书籍及时率</w:t>
            </w:r>
          </w:p>
        </w:tc>
        <w:tc>
          <w:tcPr>
            <w:tcW w:w="5386" w:type="dxa"/>
            <w:vAlign w:val="center"/>
          </w:tcPr>
          <w:p>
            <w:pPr>
              <w:pStyle w:val="14"/>
            </w:pPr>
            <w:r>
              <w:t>年底之前购置完成</w:t>
            </w:r>
          </w:p>
        </w:tc>
        <w:tc>
          <w:tcPr>
            <w:tcW w:w="2268" w:type="dxa"/>
            <w:vAlign w:val="center"/>
          </w:tcPr>
          <w:p>
            <w:pPr>
              <w:pStyle w:val="14"/>
            </w:pPr>
            <w:r>
              <w:t>100百分比</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书籍购置成本</w:t>
            </w:r>
          </w:p>
        </w:tc>
        <w:tc>
          <w:tcPr>
            <w:tcW w:w="5386" w:type="dxa"/>
            <w:vAlign w:val="center"/>
          </w:tcPr>
          <w:p>
            <w:pPr>
              <w:pStyle w:val="14"/>
            </w:pPr>
            <w:r>
              <w:t>不超过预算</w:t>
            </w:r>
          </w:p>
        </w:tc>
        <w:tc>
          <w:tcPr>
            <w:tcW w:w="2268" w:type="dxa"/>
            <w:vAlign w:val="center"/>
          </w:tcPr>
          <w:p>
            <w:pPr>
              <w:pStyle w:val="14"/>
            </w:pPr>
            <w:r>
              <w:t>≤12万元</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提高农村文化生活质量</w:t>
            </w:r>
          </w:p>
        </w:tc>
        <w:tc>
          <w:tcPr>
            <w:tcW w:w="5386" w:type="dxa"/>
            <w:vAlign w:val="center"/>
          </w:tcPr>
          <w:p>
            <w:pPr>
              <w:pStyle w:val="14"/>
            </w:pPr>
            <w:r>
              <w:t>丰富农村群众文化生活</w:t>
            </w:r>
          </w:p>
        </w:tc>
        <w:tc>
          <w:tcPr>
            <w:tcW w:w="2268" w:type="dxa"/>
            <w:vAlign w:val="center"/>
          </w:tcPr>
          <w:p>
            <w:pPr>
              <w:pStyle w:val="14"/>
            </w:pPr>
            <w:r>
              <w:t>≥95百分比</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促进农村文化事业发展</w:t>
            </w:r>
          </w:p>
        </w:tc>
        <w:tc>
          <w:tcPr>
            <w:tcW w:w="5386" w:type="dxa"/>
            <w:vAlign w:val="center"/>
          </w:tcPr>
          <w:p>
            <w:pPr>
              <w:pStyle w:val="14"/>
            </w:pPr>
            <w:r>
              <w:t>持续促进农村文化事业发展</w:t>
            </w:r>
          </w:p>
        </w:tc>
        <w:tc>
          <w:tcPr>
            <w:tcW w:w="2268" w:type="dxa"/>
            <w:vAlign w:val="center"/>
          </w:tcPr>
          <w:p>
            <w:pPr>
              <w:pStyle w:val="14"/>
            </w:pPr>
            <w:r>
              <w:t>有效促进</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提高财政资金使用率</w:t>
            </w:r>
          </w:p>
        </w:tc>
        <w:tc>
          <w:tcPr>
            <w:tcW w:w="5386" w:type="dxa"/>
            <w:vAlign w:val="center"/>
          </w:tcPr>
          <w:p>
            <w:pPr>
              <w:pStyle w:val="14"/>
            </w:pPr>
            <w:r>
              <w:t>提高财政资金使用率，杜绝浪费、挪用</w:t>
            </w:r>
          </w:p>
        </w:tc>
        <w:tc>
          <w:tcPr>
            <w:tcW w:w="2268" w:type="dxa"/>
            <w:vAlign w:val="center"/>
          </w:tcPr>
          <w:p>
            <w:pPr>
              <w:pStyle w:val="14"/>
            </w:pPr>
            <w:r>
              <w:t>≥95百分比</w:t>
            </w:r>
          </w:p>
        </w:tc>
        <w:tc>
          <w:tcPr>
            <w:tcW w:w="1276" w:type="dxa"/>
            <w:vAlign w:val="center"/>
          </w:tcPr>
          <w:p>
            <w:pPr>
              <w:pStyle w:val="14"/>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服务对象满意率</w:t>
            </w:r>
          </w:p>
        </w:tc>
        <w:tc>
          <w:tcPr>
            <w:tcW w:w="5386" w:type="dxa"/>
            <w:vAlign w:val="center"/>
          </w:tcPr>
          <w:p>
            <w:pPr>
              <w:pStyle w:val="14"/>
            </w:pPr>
            <w:r>
              <w:t>农村群众满意度</w:t>
            </w:r>
          </w:p>
        </w:tc>
        <w:tc>
          <w:tcPr>
            <w:tcW w:w="2268" w:type="dxa"/>
            <w:vAlign w:val="center"/>
          </w:tcPr>
          <w:p>
            <w:pPr>
              <w:pStyle w:val="14"/>
            </w:pPr>
            <w:r>
              <w:t>≥100百分比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12、融媒体中心绩效目标表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13060626P000022101668</w:t>
            </w:r>
          </w:p>
        </w:tc>
        <w:tc>
          <w:tcPr>
            <w:tcW w:w="2835" w:type="dxa"/>
            <w:vAlign w:val="center"/>
          </w:tcPr>
          <w:p>
            <w:pPr>
              <w:pStyle w:val="12"/>
            </w:pPr>
            <w:r>
              <w:t>项目名称</w:t>
            </w:r>
          </w:p>
        </w:tc>
        <w:tc>
          <w:tcPr>
            <w:tcW w:w="6095" w:type="dxa"/>
            <w:gridSpan w:val="3"/>
            <w:vAlign w:val="center"/>
          </w:tcPr>
          <w:p>
            <w:pPr>
              <w:pStyle w:val="14"/>
            </w:pPr>
            <w:r>
              <w:t>融媒体中心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保障机关正常运转，服务于机关全年目标任务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1.目标内容保障机关正常运转，服务于机关全年目标任务。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w:t>
            </w:r>
          </w:p>
        </w:tc>
        <w:tc>
          <w:tcPr>
            <w:tcW w:w="2268" w:type="dxa"/>
            <w:vAlign w:val="center"/>
          </w:tcPr>
          <w:p>
            <w:pPr>
              <w:pStyle w:val="14"/>
            </w:pPr>
            <w:r>
              <w:t>≧8小时</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经费支出准确率</w:t>
            </w:r>
          </w:p>
        </w:tc>
        <w:tc>
          <w:tcPr>
            <w:tcW w:w="5386" w:type="dxa"/>
            <w:vAlign w:val="center"/>
          </w:tcPr>
          <w:p>
            <w:pPr>
              <w:pStyle w:val="14"/>
            </w:pPr>
            <w:r>
              <w:t>准确支出经费</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经费支出及时率</w:t>
            </w:r>
          </w:p>
        </w:tc>
        <w:tc>
          <w:tcPr>
            <w:tcW w:w="5386" w:type="dxa"/>
            <w:vAlign w:val="center"/>
          </w:tcPr>
          <w:p>
            <w:pPr>
              <w:pStyle w:val="14"/>
            </w:pPr>
            <w:r>
              <w:t>按规定时间支出经费</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成本支出金额</w:t>
            </w:r>
          </w:p>
        </w:tc>
        <w:tc>
          <w:tcPr>
            <w:tcW w:w="5386" w:type="dxa"/>
            <w:vAlign w:val="center"/>
          </w:tcPr>
          <w:p>
            <w:pPr>
              <w:pStyle w:val="14"/>
            </w:pPr>
            <w:r>
              <w:t>经费成本不超预算</w:t>
            </w:r>
          </w:p>
        </w:tc>
        <w:tc>
          <w:tcPr>
            <w:tcW w:w="2268" w:type="dxa"/>
            <w:vAlign w:val="center"/>
          </w:tcPr>
          <w:p>
            <w:pPr>
              <w:pStyle w:val="14"/>
            </w:pPr>
            <w:r>
              <w:t>≦10万元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提高履职尽责服务效率</w:t>
            </w:r>
          </w:p>
        </w:tc>
        <w:tc>
          <w:tcPr>
            <w:tcW w:w="5386" w:type="dxa"/>
            <w:vAlign w:val="center"/>
          </w:tcPr>
          <w:p>
            <w:pPr>
              <w:pStyle w:val="14"/>
            </w:pPr>
            <w:r>
              <w:t>正常办公条件保障情况</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运营成本节约率</w:t>
            </w:r>
          </w:p>
        </w:tc>
        <w:tc>
          <w:tcPr>
            <w:tcW w:w="5386" w:type="dxa"/>
            <w:vAlign w:val="center"/>
          </w:tcPr>
          <w:p>
            <w:pPr>
              <w:pStyle w:val="14"/>
            </w:pPr>
            <w:r>
              <w:t>减少重复投入、提升资源复用率带来的运营成本节约</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响应节能减排号召</w:t>
            </w:r>
          </w:p>
        </w:tc>
        <w:tc>
          <w:tcPr>
            <w:tcW w:w="5386" w:type="dxa"/>
            <w:vAlign w:val="center"/>
          </w:tcPr>
          <w:p>
            <w:pPr>
              <w:pStyle w:val="14"/>
            </w:pPr>
            <w:r>
              <w:t>使用节能减排产品</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服务对象满意率</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13、融媒体中心客户端长城网冀云绩效目标表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13060626P00002210342L</w:t>
            </w:r>
          </w:p>
        </w:tc>
        <w:tc>
          <w:tcPr>
            <w:tcW w:w="2835" w:type="dxa"/>
            <w:vAlign w:val="center"/>
          </w:tcPr>
          <w:p>
            <w:pPr>
              <w:pStyle w:val="12"/>
            </w:pPr>
            <w:r>
              <w:t>项目名称</w:t>
            </w:r>
          </w:p>
        </w:tc>
        <w:tc>
          <w:tcPr>
            <w:tcW w:w="6095" w:type="dxa"/>
            <w:gridSpan w:val="3"/>
            <w:vAlign w:val="center"/>
          </w:tcPr>
          <w:p>
            <w:pPr>
              <w:pStyle w:val="14"/>
            </w:pPr>
            <w:r>
              <w:t>融媒体中心客户端长城网冀云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支付合作经费，建设区融媒体中心客户端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1.目标内容1支付合作经费，建设区融媒体中心客户端</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建设融媒体中心客户端</w:t>
            </w:r>
          </w:p>
        </w:tc>
        <w:tc>
          <w:tcPr>
            <w:tcW w:w="5386" w:type="dxa"/>
            <w:vAlign w:val="center"/>
          </w:tcPr>
          <w:p>
            <w:pPr>
              <w:pStyle w:val="14"/>
            </w:pPr>
            <w:r>
              <w:t>建设融媒体中心客户端</w:t>
            </w:r>
          </w:p>
        </w:tc>
        <w:tc>
          <w:tcPr>
            <w:tcW w:w="2268" w:type="dxa"/>
            <w:vAlign w:val="center"/>
          </w:tcPr>
          <w:p>
            <w:pPr>
              <w:pStyle w:val="14"/>
            </w:pPr>
            <w:r>
              <w:t>≥1个</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客户端正常运转率</w:t>
            </w:r>
          </w:p>
        </w:tc>
        <w:tc>
          <w:tcPr>
            <w:tcW w:w="5386" w:type="dxa"/>
            <w:vAlign w:val="center"/>
          </w:tcPr>
          <w:p>
            <w:pPr>
              <w:pStyle w:val="14"/>
            </w:pPr>
            <w:r>
              <w:t>保障客户端正常运转</w:t>
            </w:r>
          </w:p>
        </w:tc>
        <w:tc>
          <w:tcPr>
            <w:tcW w:w="2268" w:type="dxa"/>
            <w:vAlign w:val="center"/>
          </w:tcPr>
          <w:p>
            <w:pPr>
              <w:pStyle w:val="14"/>
            </w:pPr>
            <w:r>
              <w:t>100百分比</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资金支出及时率</w:t>
            </w:r>
          </w:p>
        </w:tc>
        <w:tc>
          <w:tcPr>
            <w:tcW w:w="5386" w:type="dxa"/>
            <w:vAlign w:val="center"/>
          </w:tcPr>
          <w:p>
            <w:pPr>
              <w:pStyle w:val="14"/>
            </w:pPr>
            <w:r>
              <w:t>于12月一次性支付</w:t>
            </w:r>
          </w:p>
        </w:tc>
        <w:tc>
          <w:tcPr>
            <w:tcW w:w="2268" w:type="dxa"/>
            <w:vAlign w:val="center"/>
          </w:tcPr>
          <w:p>
            <w:pPr>
              <w:pStyle w:val="14"/>
            </w:pPr>
            <w:r>
              <w:t>100百分比</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成本支出金额</w:t>
            </w:r>
          </w:p>
        </w:tc>
        <w:tc>
          <w:tcPr>
            <w:tcW w:w="5386" w:type="dxa"/>
            <w:vAlign w:val="center"/>
          </w:tcPr>
          <w:p>
            <w:pPr>
              <w:pStyle w:val="14"/>
            </w:pPr>
            <w:r>
              <w:t>经费成本不超预算</w:t>
            </w:r>
          </w:p>
        </w:tc>
        <w:tc>
          <w:tcPr>
            <w:tcW w:w="2268" w:type="dxa"/>
            <w:vAlign w:val="center"/>
          </w:tcPr>
          <w:p>
            <w:pPr>
              <w:pStyle w:val="14"/>
            </w:pPr>
            <w:r>
              <w:t>≤25万元</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推动全区思想文化工作</w:t>
            </w:r>
          </w:p>
        </w:tc>
        <w:tc>
          <w:tcPr>
            <w:tcW w:w="5386" w:type="dxa"/>
            <w:vAlign w:val="center"/>
          </w:tcPr>
          <w:p>
            <w:pPr>
              <w:pStyle w:val="14"/>
            </w:pPr>
            <w:r>
              <w:t>通过合作提升莲池形象，推动全区思想文化工作</w:t>
            </w:r>
          </w:p>
        </w:tc>
        <w:tc>
          <w:tcPr>
            <w:tcW w:w="2268" w:type="dxa"/>
            <w:vAlign w:val="center"/>
          </w:tcPr>
          <w:p>
            <w:pPr>
              <w:pStyle w:val="14"/>
            </w:pPr>
            <w:r>
              <w:t>≥95百分比</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提高资金使用率</w:t>
            </w:r>
          </w:p>
        </w:tc>
        <w:tc>
          <w:tcPr>
            <w:tcW w:w="5386" w:type="dxa"/>
            <w:vAlign w:val="center"/>
          </w:tcPr>
          <w:p>
            <w:pPr>
              <w:pStyle w:val="14"/>
            </w:pPr>
            <w:r>
              <w:t>提高资金使用率，不闲置浪费资金</w:t>
            </w:r>
          </w:p>
        </w:tc>
        <w:tc>
          <w:tcPr>
            <w:tcW w:w="2268" w:type="dxa"/>
            <w:vAlign w:val="center"/>
          </w:tcPr>
          <w:p>
            <w:pPr>
              <w:pStyle w:val="14"/>
            </w:pPr>
            <w:r>
              <w:t>≥95百分比</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保障工作可持续性</w:t>
            </w:r>
          </w:p>
        </w:tc>
        <w:tc>
          <w:tcPr>
            <w:tcW w:w="5386" w:type="dxa"/>
            <w:vAlign w:val="center"/>
          </w:tcPr>
          <w:p>
            <w:pPr>
              <w:pStyle w:val="14"/>
            </w:pPr>
            <w:r>
              <w:t>新闻报道、稿件刊发、智库服务、外宣渠道支持等工作可持续性</w:t>
            </w:r>
          </w:p>
        </w:tc>
        <w:tc>
          <w:tcPr>
            <w:tcW w:w="2268" w:type="dxa"/>
            <w:vAlign w:val="center"/>
          </w:tcPr>
          <w:p>
            <w:pPr>
              <w:pStyle w:val="14"/>
            </w:pPr>
            <w:r>
              <w:t>≥95百分比</w:t>
            </w:r>
          </w:p>
        </w:tc>
        <w:tc>
          <w:tcPr>
            <w:tcW w:w="1276" w:type="dxa"/>
            <w:vAlign w:val="center"/>
          </w:tcPr>
          <w:p>
            <w:pPr>
              <w:pStyle w:val="14"/>
            </w:pPr>
            <w:r>
              <w:t>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使用网站及机关工作人员满意度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w:t>
      </w:r>
      <w:r>
        <w:rPr>
          <w:rFonts w:hint="eastAsia" w:ascii="方正仿宋_GBK" w:hAnsi="方正仿宋_GBK" w:eastAsia="方正仿宋_GBK" w:cs="方正仿宋_GBK"/>
          <w:b/>
          <w:color w:val="000000"/>
          <w:sz w:val="28"/>
          <w:lang w:eastAsia="zh-CN"/>
        </w:rPr>
        <w:t>“扫黄打非”</w:t>
      </w:r>
      <w:r>
        <w:rPr>
          <w:rFonts w:ascii="方正仿宋_GBK" w:hAnsi="方正仿宋_GBK" w:eastAsia="方正仿宋_GBK" w:cs="方正仿宋_GBK"/>
          <w:b/>
          <w:color w:val="000000"/>
          <w:sz w:val="28"/>
        </w:rPr>
        <w:t>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13060626P00002210349X</w:t>
            </w:r>
          </w:p>
        </w:tc>
        <w:tc>
          <w:tcPr>
            <w:tcW w:w="2835" w:type="dxa"/>
            <w:vAlign w:val="center"/>
          </w:tcPr>
          <w:p>
            <w:pPr>
              <w:pStyle w:val="12"/>
            </w:pPr>
            <w:r>
              <w:t>项目名称</w:t>
            </w:r>
          </w:p>
        </w:tc>
        <w:tc>
          <w:tcPr>
            <w:tcW w:w="6095" w:type="dxa"/>
            <w:gridSpan w:val="3"/>
            <w:vAlign w:val="center"/>
          </w:tcPr>
          <w:p>
            <w:pPr>
              <w:pStyle w:val="14"/>
            </w:pPr>
            <w:r>
              <w:rPr>
                <w:rFonts w:hint="eastAsia"/>
                <w:lang w:eastAsia="zh-CN"/>
              </w:rPr>
              <w:t>“扫黄打非”</w:t>
            </w:r>
            <w:r>
              <w:t>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4.60</w:t>
            </w:r>
          </w:p>
        </w:tc>
        <w:tc>
          <w:tcPr>
            <w:tcW w:w="2835" w:type="dxa"/>
            <w:vAlign w:val="center"/>
          </w:tcPr>
          <w:p>
            <w:pPr>
              <w:pStyle w:val="12"/>
            </w:pPr>
            <w:r>
              <w:t>其中：财政    资金</w:t>
            </w:r>
          </w:p>
        </w:tc>
        <w:tc>
          <w:tcPr>
            <w:tcW w:w="2551" w:type="dxa"/>
            <w:vAlign w:val="center"/>
          </w:tcPr>
          <w:p>
            <w:pPr>
              <w:pStyle w:val="14"/>
            </w:pPr>
            <w:r>
              <w:t>4.60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全年开展联合执法次数至少2次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1.目标内容1全年开展联合执法次数至少2次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开展联合执法次数</w:t>
            </w:r>
          </w:p>
        </w:tc>
        <w:tc>
          <w:tcPr>
            <w:tcW w:w="5386" w:type="dxa"/>
            <w:vAlign w:val="center"/>
          </w:tcPr>
          <w:p>
            <w:pPr>
              <w:pStyle w:val="14"/>
            </w:pPr>
            <w:r>
              <w:t>全年开展联合执法次数至少2次</w:t>
            </w:r>
          </w:p>
        </w:tc>
        <w:tc>
          <w:tcPr>
            <w:tcW w:w="2268" w:type="dxa"/>
            <w:vAlign w:val="center"/>
          </w:tcPr>
          <w:p>
            <w:pPr>
              <w:pStyle w:val="14"/>
            </w:pPr>
            <w:r>
              <w:t>≥2次</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打击非法盗版书籍、音像制品覆盖率</w:t>
            </w:r>
          </w:p>
        </w:tc>
        <w:tc>
          <w:tcPr>
            <w:tcW w:w="5386" w:type="dxa"/>
            <w:vAlign w:val="center"/>
          </w:tcPr>
          <w:p>
            <w:pPr>
              <w:pStyle w:val="14"/>
            </w:pPr>
            <w:r>
              <w:t>打击非法盗版书籍、音像制品全覆盖</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清理非法、盗版出版物及时率</w:t>
            </w:r>
          </w:p>
        </w:tc>
        <w:tc>
          <w:tcPr>
            <w:tcW w:w="5386" w:type="dxa"/>
            <w:vAlign w:val="center"/>
          </w:tcPr>
          <w:p>
            <w:pPr>
              <w:pStyle w:val="14"/>
            </w:pPr>
            <w:r>
              <w:t>及时清理非法、盗版出版物</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经费支出不超预算</w:t>
            </w:r>
          </w:p>
        </w:tc>
        <w:tc>
          <w:tcPr>
            <w:tcW w:w="2268" w:type="dxa"/>
            <w:vAlign w:val="center"/>
          </w:tcPr>
          <w:p>
            <w:pPr>
              <w:pStyle w:val="14"/>
            </w:pPr>
            <w:r>
              <w:t>≤4.6万元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净化社会文化环境</w:t>
            </w:r>
          </w:p>
        </w:tc>
        <w:tc>
          <w:tcPr>
            <w:tcW w:w="5386" w:type="dxa"/>
            <w:vAlign w:val="center"/>
          </w:tcPr>
          <w:p>
            <w:pPr>
              <w:pStyle w:val="14"/>
            </w:pPr>
            <w:r>
              <w:t>全面推进</w:t>
            </w:r>
            <w:r>
              <w:rPr>
                <w:rFonts w:hint="eastAsia"/>
                <w:lang w:eastAsia="zh-CN"/>
              </w:rPr>
              <w:t>“扫黄打非”</w:t>
            </w:r>
            <w:r>
              <w:t>工作，净化社会文化环境</w:t>
            </w:r>
          </w:p>
        </w:tc>
        <w:tc>
          <w:tcPr>
            <w:tcW w:w="2268" w:type="dxa"/>
            <w:vAlign w:val="center"/>
          </w:tcPr>
          <w:p>
            <w:pPr>
              <w:pStyle w:val="14"/>
            </w:pPr>
            <w:r>
              <w:t>效果显著</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形成良好的社会文化氛围</w:t>
            </w:r>
          </w:p>
        </w:tc>
        <w:tc>
          <w:tcPr>
            <w:tcW w:w="5386" w:type="dxa"/>
            <w:vAlign w:val="center"/>
          </w:tcPr>
          <w:p>
            <w:pPr>
              <w:pStyle w:val="14"/>
            </w:pPr>
            <w:r>
              <w:t>形成良好的社会文化氛围，减少淫秽盗版案件发生率。</w:t>
            </w:r>
          </w:p>
        </w:tc>
        <w:tc>
          <w:tcPr>
            <w:tcW w:w="2268" w:type="dxa"/>
            <w:vAlign w:val="center"/>
          </w:tcPr>
          <w:p>
            <w:pPr>
              <w:pStyle w:val="14"/>
            </w:pPr>
            <w:r>
              <w:t>效果显著</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发挥财政资金使用效益</w:t>
            </w:r>
          </w:p>
        </w:tc>
        <w:tc>
          <w:tcPr>
            <w:tcW w:w="5386" w:type="dxa"/>
            <w:vAlign w:val="center"/>
          </w:tcPr>
          <w:p>
            <w:pPr>
              <w:pStyle w:val="14"/>
            </w:pPr>
            <w:r>
              <w:t>压缩开支、厉行节约</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群众满意率</w:t>
            </w:r>
          </w:p>
        </w:tc>
        <w:tc>
          <w:tcPr>
            <w:tcW w:w="5386" w:type="dxa"/>
            <w:vAlign w:val="center"/>
          </w:tcPr>
          <w:p>
            <w:pPr>
              <w:pStyle w:val="14"/>
            </w:pPr>
            <w:r>
              <w:t>群众满意率达95%以上</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15、文联绩效目标表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13060626P00002210348A</w:t>
            </w:r>
          </w:p>
        </w:tc>
        <w:tc>
          <w:tcPr>
            <w:tcW w:w="2835" w:type="dxa"/>
            <w:vAlign w:val="center"/>
          </w:tcPr>
          <w:p>
            <w:pPr>
              <w:pStyle w:val="12"/>
            </w:pPr>
            <w:r>
              <w:t>项目名称</w:t>
            </w:r>
          </w:p>
        </w:tc>
        <w:tc>
          <w:tcPr>
            <w:tcW w:w="6095" w:type="dxa"/>
            <w:gridSpan w:val="3"/>
            <w:vAlign w:val="center"/>
          </w:tcPr>
          <w:p>
            <w:pPr>
              <w:pStyle w:val="14"/>
            </w:pPr>
            <w:r>
              <w:t>文联</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保障单位正常运转，服务于单位全年目标任务。合理安排财政资金支出计划，遵循单位财务规章制度，监督各协会运转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1.目标内容1合理安排财政资金支出计划，遵循单位财务规章制度，监督各协会运转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w:t>
            </w:r>
          </w:p>
        </w:tc>
        <w:tc>
          <w:tcPr>
            <w:tcW w:w="2268" w:type="dxa"/>
            <w:vAlign w:val="center"/>
          </w:tcPr>
          <w:p>
            <w:pPr>
              <w:pStyle w:val="14"/>
            </w:pPr>
            <w:r>
              <w:t>≥8小时</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经费支出准确率</w:t>
            </w:r>
          </w:p>
        </w:tc>
        <w:tc>
          <w:tcPr>
            <w:tcW w:w="5386" w:type="dxa"/>
            <w:vAlign w:val="center"/>
          </w:tcPr>
          <w:p>
            <w:pPr>
              <w:pStyle w:val="14"/>
            </w:pPr>
            <w:r>
              <w:t>按财务规定准确支出</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经费支出及时率</w:t>
            </w:r>
          </w:p>
        </w:tc>
        <w:tc>
          <w:tcPr>
            <w:tcW w:w="5386" w:type="dxa"/>
            <w:vAlign w:val="center"/>
          </w:tcPr>
          <w:p>
            <w:pPr>
              <w:pStyle w:val="14"/>
            </w:pPr>
            <w:r>
              <w:t>按规定时间支出经费</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经费成本不超预算</w:t>
            </w:r>
          </w:p>
        </w:tc>
        <w:tc>
          <w:tcPr>
            <w:tcW w:w="2268" w:type="dxa"/>
            <w:vAlign w:val="center"/>
          </w:tcPr>
          <w:p>
            <w:pPr>
              <w:pStyle w:val="14"/>
            </w:pPr>
            <w:r>
              <w:t>≤5万元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正常办公条件保障情况</w:t>
            </w:r>
          </w:p>
        </w:tc>
        <w:tc>
          <w:tcPr>
            <w:tcW w:w="5386" w:type="dxa"/>
            <w:vAlign w:val="center"/>
          </w:tcPr>
          <w:p>
            <w:pPr>
              <w:pStyle w:val="14"/>
            </w:pPr>
            <w:r>
              <w:t>保障正常办公条件，促进创城工作</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发挥财政资金使用效益</w:t>
            </w:r>
          </w:p>
        </w:tc>
        <w:tc>
          <w:tcPr>
            <w:tcW w:w="5386" w:type="dxa"/>
            <w:vAlign w:val="center"/>
          </w:tcPr>
          <w:p>
            <w:pPr>
              <w:pStyle w:val="14"/>
            </w:pPr>
            <w:r>
              <w:t>压缩开支、厉行节约</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响应节能减排号召</w:t>
            </w:r>
          </w:p>
        </w:tc>
        <w:tc>
          <w:tcPr>
            <w:tcW w:w="5386" w:type="dxa"/>
            <w:vAlign w:val="center"/>
          </w:tcPr>
          <w:p>
            <w:pPr>
              <w:pStyle w:val="14"/>
            </w:pPr>
            <w:r>
              <w:t>使用节能减排产品</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机关工作人员满意度</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16、新闻媒体经费绩效目标表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13060626P00002210163D</w:t>
            </w:r>
          </w:p>
        </w:tc>
        <w:tc>
          <w:tcPr>
            <w:tcW w:w="2835" w:type="dxa"/>
            <w:vAlign w:val="center"/>
          </w:tcPr>
          <w:p>
            <w:pPr>
              <w:pStyle w:val="12"/>
            </w:pPr>
            <w:r>
              <w:t>项目名称</w:t>
            </w:r>
          </w:p>
        </w:tc>
        <w:tc>
          <w:tcPr>
            <w:tcW w:w="6095" w:type="dxa"/>
            <w:gridSpan w:val="3"/>
            <w:vAlign w:val="center"/>
          </w:tcPr>
          <w:p>
            <w:pPr>
              <w:pStyle w:val="14"/>
            </w:pPr>
            <w:r>
              <w:t>新闻媒体经费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90.00</w:t>
            </w:r>
          </w:p>
        </w:tc>
        <w:tc>
          <w:tcPr>
            <w:tcW w:w="2835" w:type="dxa"/>
            <w:vAlign w:val="center"/>
          </w:tcPr>
          <w:p>
            <w:pPr>
              <w:pStyle w:val="12"/>
            </w:pPr>
            <w:r>
              <w:t>其中：财政    资金</w:t>
            </w:r>
          </w:p>
        </w:tc>
        <w:tc>
          <w:tcPr>
            <w:tcW w:w="2551" w:type="dxa"/>
            <w:vAlign w:val="center"/>
          </w:tcPr>
          <w:p>
            <w:pPr>
              <w:pStyle w:val="14"/>
            </w:pPr>
            <w:r>
              <w:t>90.00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支付合作经费，提升传播能力，为经济社会发展提供舆论支持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1.目标内容1支付合作经费，提升传播能力，为经济社会发展提供舆论支持</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保障单位相关工资运行时间</w:t>
            </w:r>
          </w:p>
        </w:tc>
        <w:tc>
          <w:tcPr>
            <w:tcW w:w="5386" w:type="dxa"/>
            <w:vAlign w:val="center"/>
          </w:tcPr>
          <w:p>
            <w:pPr>
              <w:pStyle w:val="14"/>
            </w:pPr>
            <w:r>
              <w:t>保障单位相关工资运行时间</w:t>
            </w:r>
          </w:p>
        </w:tc>
        <w:tc>
          <w:tcPr>
            <w:tcW w:w="2268" w:type="dxa"/>
            <w:vAlign w:val="center"/>
          </w:tcPr>
          <w:p>
            <w:pPr>
              <w:pStyle w:val="14"/>
            </w:pPr>
            <w:r>
              <w:t>≥8小时</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业务经费支出准确率</w:t>
            </w:r>
          </w:p>
        </w:tc>
        <w:tc>
          <w:tcPr>
            <w:tcW w:w="5386" w:type="dxa"/>
            <w:vAlign w:val="center"/>
          </w:tcPr>
          <w:p>
            <w:pPr>
              <w:pStyle w:val="14"/>
            </w:pPr>
            <w:r>
              <w:t>资金支出准确情况</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办公经费支出及时率</w:t>
            </w:r>
          </w:p>
        </w:tc>
        <w:tc>
          <w:tcPr>
            <w:tcW w:w="5386" w:type="dxa"/>
            <w:vAlign w:val="center"/>
          </w:tcPr>
          <w:p>
            <w:pPr>
              <w:pStyle w:val="14"/>
            </w:pPr>
            <w:r>
              <w:t>按规定时间支出</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成本支出金额</w:t>
            </w:r>
          </w:p>
        </w:tc>
        <w:tc>
          <w:tcPr>
            <w:tcW w:w="5386" w:type="dxa"/>
            <w:vAlign w:val="center"/>
          </w:tcPr>
          <w:p>
            <w:pPr>
              <w:pStyle w:val="14"/>
            </w:pPr>
            <w:r>
              <w:t>经费支出不超预算</w:t>
            </w:r>
          </w:p>
        </w:tc>
        <w:tc>
          <w:tcPr>
            <w:tcW w:w="2268" w:type="dxa"/>
            <w:vAlign w:val="center"/>
          </w:tcPr>
          <w:p>
            <w:pPr>
              <w:pStyle w:val="14"/>
            </w:pPr>
            <w:r>
              <w:t>≤90万元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政策知晓率提升率</w:t>
            </w:r>
          </w:p>
        </w:tc>
        <w:tc>
          <w:tcPr>
            <w:tcW w:w="5386" w:type="dxa"/>
            <w:vAlign w:val="center"/>
          </w:tcPr>
          <w:p>
            <w:pPr>
              <w:pStyle w:val="14"/>
            </w:pPr>
            <w:r>
              <w:t>通过新闻媒体，强化新闻舆论宣传、引导</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发挥财政资金使用效率</w:t>
            </w:r>
          </w:p>
        </w:tc>
        <w:tc>
          <w:tcPr>
            <w:tcW w:w="5386" w:type="dxa"/>
            <w:vAlign w:val="center"/>
          </w:tcPr>
          <w:p>
            <w:pPr>
              <w:pStyle w:val="14"/>
            </w:pPr>
            <w:r>
              <w:t>通过宣传助力社会经济发展</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保障综合业务工作可持续性</w:t>
            </w:r>
          </w:p>
        </w:tc>
        <w:tc>
          <w:tcPr>
            <w:tcW w:w="5386" w:type="dxa"/>
            <w:vAlign w:val="center"/>
          </w:tcPr>
          <w:p>
            <w:pPr>
              <w:pStyle w:val="14"/>
            </w:pPr>
            <w:r>
              <w:t>持续提升传播能力，为经济社会发展提供舆论支持</w:t>
            </w:r>
          </w:p>
        </w:tc>
        <w:tc>
          <w:tcPr>
            <w:tcW w:w="2268" w:type="dxa"/>
            <w:vAlign w:val="center"/>
          </w:tcPr>
          <w:p>
            <w:pPr>
              <w:pStyle w:val="14"/>
            </w:pPr>
            <w:r>
              <w:t>持续保障95持续保障</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机关工作人员满意度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17、正版软件绩效目标表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13060626P000022103534</w:t>
            </w:r>
          </w:p>
        </w:tc>
        <w:tc>
          <w:tcPr>
            <w:tcW w:w="2835" w:type="dxa"/>
            <w:vAlign w:val="center"/>
          </w:tcPr>
          <w:p>
            <w:pPr>
              <w:pStyle w:val="12"/>
            </w:pPr>
            <w:r>
              <w:t>项目名称</w:t>
            </w:r>
          </w:p>
        </w:tc>
        <w:tc>
          <w:tcPr>
            <w:tcW w:w="6095" w:type="dxa"/>
            <w:gridSpan w:val="3"/>
            <w:vAlign w:val="center"/>
          </w:tcPr>
          <w:p>
            <w:pPr>
              <w:pStyle w:val="14"/>
            </w:pPr>
            <w:r>
              <w:t>正版软件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26.00</w:t>
            </w:r>
          </w:p>
        </w:tc>
        <w:tc>
          <w:tcPr>
            <w:tcW w:w="2835" w:type="dxa"/>
            <w:vAlign w:val="center"/>
          </w:tcPr>
          <w:p>
            <w:pPr>
              <w:pStyle w:val="12"/>
            </w:pPr>
            <w:r>
              <w:t>其中：财政    资金</w:t>
            </w:r>
          </w:p>
        </w:tc>
        <w:tc>
          <w:tcPr>
            <w:tcW w:w="2551" w:type="dxa"/>
            <w:vAlign w:val="center"/>
          </w:tcPr>
          <w:p>
            <w:pPr>
              <w:pStyle w:val="14"/>
            </w:pPr>
            <w:r>
              <w:t>26.00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根据单位实际情况，更换至少140套正版软件，保障单位电脑正常、安全使用，提升正版软件普及率。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1.目标内容1保障单位电脑正常、安全使用，提升正版软件普及率。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更换正版软件数量</w:t>
            </w:r>
          </w:p>
        </w:tc>
        <w:tc>
          <w:tcPr>
            <w:tcW w:w="5386" w:type="dxa"/>
            <w:vAlign w:val="center"/>
          </w:tcPr>
          <w:p>
            <w:pPr>
              <w:pStyle w:val="14"/>
            </w:pPr>
            <w:r>
              <w:t>根据单位实际情况，更换至少140套正版软件</w:t>
            </w:r>
          </w:p>
        </w:tc>
        <w:tc>
          <w:tcPr>
            <w:tcW w:w="2268" w:type="dxa"/>
            <w:vAlign w:val="center"/>
          </w:tcPr>
          <w:p>
            <w:pPr>
              <w:pStyle w:val="14"/>
            </w:pPr>
            <w:r>
              <w:t>≧140套</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软件正版率</w:t>
            </w:r>
          </w:p>
        </w:tc>
        <w:tc>
          <w:tcPr>
            <w:tcW w:w="5386" w:type="dxa"/>
            <w:vAlign w:val="center"/>
          </w:tcPr>
          <w:p>
            <w:pPr>
              <w:pStyle w:val="14"/>
            </w:pPr>
            <w:r>
              <w:t>购置并更换的软件全部为正版</w:t>
            </w:r>
          </w:p>
        </w:tc>
        <w:tc>
          <w:tcPr>
            <w:tcW w:w="2268" w:type="dxa"/>
            <w:vAlign w:val="center"/>
          </w:tcPr>
          <w:p>
            <w:pPr>
              <w:pStyle w:val="14"/>
            </w:pPr>
            <w:r>
              <w:t>100百分比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更换工作及时率</w:t>
            </w:r>
          </w:p>
        </w:tc>
        <w:tc>
          <w:tcPr>
            <w:tcW w:w="5386" w:type="dxa"/>
            <w:vAlign w:val="center"/>
          </w:tcPr>
          <w:p>
            <w:pPr>
              <w:pStyle w:val="14"/>
            </w:pPr>
            <w:r>
              <w:t>在规定时间内更换正版软件</w:t>
            </w:r>
          </w:p>
        </w:tc>
        <w:tc>
          <w:tcPr>
            <w:tcW w:w="2268" w:type="dxa"/>
            <w:vAlign w:val="center"/>
          </w:tcPr>
          <w:p>
            <w:pPr>
              <w:pStyle w:val="14"/>
            </w:pPr>
            <w:r>
              <w:t>100百分比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w:t>
            </w:r>
          </w:p>
        </w:tc>
        <w:tc>
          <w:tcPr>
            <w:tcW w:w="5386" w:type="dxa"/>
            <w:vAlign w:val="center"/>
          </w:tcPr>
          <w:p>
            <w:pPr>
              <w:pStyle w:val="14"/>
            </w:pPr>
            <w:r>
              <w:t>不超预算</w:t>
            </w:r>
          </w:p>
        </w:tc>
        <w:tc>
          <w:tcPr>
            <w:tcW w:w="2268" w:type="dxa"/>
            <w:vAlign w:val="center"/>
          </w:tcPr>
          <w:p>
            <w:pPr>
              <w:pStyle w:val="14"/>
            </w:pPr>
            <w:r>
              <w:t>≦26万元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正常办公条件保障情况</w:t>
            </w:r>
          </w:p>
        </w:tc>
        <w:tc>
          <w:tcPr>
            <w:tcW w:w="5386" w:type="dxa"/>
            <w:vAlign w:val="center"/>
          </w:tcPr>
          <w:p>
            <w:pPr>
              <w:pStyle w:val="14"/>
            </w:pPr>
            <w:r>
              <w:t>提升正版软件普及率，保障单位电脑正常、安全使用</w:t>
            </w:r>
          </w:p>
        </w:tc>
        <w:tc>
          <w:tcPr>
            <w:tcW w:w="2268" w:type="dxa"/>
            <w:vAlign w:val="center"/>
          </w:tcPr>
          <w:p>
            <w:pPr>
              <w:pStyle w:val="14"/>
            </w:pPr>
            <w:r>
              <w:t>≧95百分比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提高财政资金使用率</w:t>
            </w:r>
          </w:p>
        </w:tc>
        <w:tc>
          <w:tcPr>
            <w:tcW w:w="5386" w:type="dxa"/>
            <w:vAlign w:val="center"/>
          </w:tcPr>
          <w:p>
            <w:pPr>
              <w:pStyle w:val="14"/>
            </w:pPr>
            <w:r>
              <w:t>提高财政资金使用率，杜绝浪费、挪用</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形成支持正版社会氛围</w:t>
            </w:r>
          </w:p>
        </w:tc>
        <w:tc>
          <w:tcPr>
            <w:tcW w:w="5386" w:type="dxa"/>
            <w:vAlign w:val="center"/>
          </w:tcPr>
          <w:p>
            <w:pPr>
              <w:pStyle w:val="14"/>
            </w:pPr>
            <w:r>
              <w:t>形成支持正版社会氛围</w:t>
            </w:r>
          </w:p>
        </w:tc>
        <w:tc>
          <w:tcPr>
            <w:tcW w:w="2268" w:type="dxa"/>
            <w:vAlign w:val="center"/>
          </w:tcPr>
          <w:p>
            <w:pPr>
              <w:pStyle w:val="14"/>
            </w:pPr>
            <w:r>
              <w:t>≧95百分比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机关工作人员满意度</w:t>
            </w:r>
          </w:p>
        </w:tc>
        <w:tc>
          <w:tcPr>
            <w:tcW w:w="5386" w:type="dxa"/>
            <w:vAlign w:val="center"/>
          </w:tcPr>
          <w:p>
            <w:pPr>
              <w:pStyle w:val="14"/>
            </w:pPr>
            <w:r>
              <w:t>满意率达95%以上</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18、中央支持地方公共文化服务体系建设补助资金绩效目标表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13060625P00002010900U</w:t>
            </w:r>
          </w:p>
        </w:tc>
        <w:tc>
          <w:tcPr>
            <w:tcW w:w="2835" w:type="dxa"/>
            <w:vAlign w:val="center"/>
          </w:tcPr>
          <w:p>
            <w:pPr>
              <w:pStyle w:val="12"/>
            </w:pPr>
            <w:r>
              <w:t>项目名称</w:t>
            </w:r>
          </w:p>
        </w:tc>
        <w:tc>
          <w:tcPr>
            <w:tcW w:w="6095" w:type="dxa"/>
            <w:gridSpan w:val="3"/>
            <w:vAlign w:val="center"/>
          </w:tcPr>
          <w:p>
            <w:pPr>
              <w:pStyle w:val="14"/>
            </w:pPr>
            <w:r>
              <w:t>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14.28</w:t>
            </w:r>
          </w:p>
        </w:tc>
        <w:tc>
          <w:tcPr>
            <w:tcW w:w="2835" w:type="dxa"/>
            <w:vAlign w:val="center"/>
          </w:tcPr>
          <w:p>
            <w:pPr>
              <w:pStyle w:val="12"/>
            </w:pPr>
            <w:r>
              <w:t>其中：财政    资金</w:t>
            </w:r>
          </w:p>
        </w:tc>
        <w:tc>
          <w:tcPr>
            <w:tcW w:w="2551" w:type="dxa"/>
            <w:vAlign w:val="center"/>
          </w:tcPr>
          <w:p>
            <w:pPr>
              <w:pStyle w:val="14"/>
            </w:pPr>
            <w:r>
              <w:t>14.28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为辖区农村群众定期播放电影、购置书籍，丰富农村群众文化生活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1.为辖区农村群众定期播放电影、购置书籍，丰富农村群众文化生活</w:t>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电影播放场次</w:t>
            </w:r>
          </w:p>
        </w:tc>
        <w:tc>
          <w:tcPr>
            <w:tcW w:w="5386" w:type="dxa"/>
            <w:vAlign w:val="center"/>
          </w:tcPr>
          <w:p>
            <w:pPr>
              <w:pStyle w:val="14"/>
            </w:pPr>
            <w:r>
              <w:t>每村每月1场</w:t>
            </w:r>
          </w:p>
        </w:tc>
        <w:tc>
          <w:tcPr>
            <w:tcW w:w="2268" w:type="dxa"/>
            <w:vAlign w:val="center"/>
          </w:tcPr>
          <w:p>
            <w:pPr>
              <w:pStyle w:val="14"/>
            </w:pPr>
            <w:r>
              <w:t>≥1场</w:t>
            </w:r>
          </w:p>
        </w:tc>
        <w:tc>
          <w:tcPr>
            <w:tcW w:w="1276" w:type="dxa"/>
            <w:vAlign w:val="center"/>
          </w:tcPr>
          <w:p>
            <w:pPr>
              <w:pStyle w:val="14"/>
            </w:pPr>
            <w:r>
              <w:t>年初工作计划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购置书籍合格率</w:t>
            </w:r>
          </w:p>
        </w:tc>
        <w:tc>
          <w:tcPr>
            <w:tcW w:w="5386" w:type="dxa"/>
            <w:vAlign w:val="center"/>
          </w:tcPr>
          <w:p>
            <w:pPr>
              <w:pStyle w:val="14"/>
            </w:pPr>
            <w:r>
              <w:t>购置的目录书籍不低于70%</w:t>
            </w:r>
          </w:p>
        </w:tc>
        <w:tc>
          <w:tcPr>
            <w:tcW w:w="2268" w:type="dxa"/>
            <w:vAlign w:val="center"/>
          </w:tcPr>
          <w:p>
            <w:pPr>
              <w:pStyle w:val="14"/>
            </w:pPr>
            <w:r>
              <w:t>≥70百分比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放映任务完成及时率</w:t>
            </w:r>
          </w:p>
        </w:tc>
        <w:tc>
          <w:tcPr>
            <w:tcW w:w="5386" w:type="dxa"/>
            <w:vAlign w:val="center"/>
          </w:tcPr>
          <w:p>
            <w:pPr>
              <w:pStyle w:val="14"/>
            </w:pPr>
            <w:r>
              <w:t>每月及时放映</w:t>
            </w:r>
          </w:p>
        </w:tc>
        <w:tc>
          <w:tcPr>
            <w:tcW w:w="2268" w:type="dxa"/>
            <w:vAlign w:val="center"/>
          </w:tcPr>
          <w:p>
            <w:pPr>
              <w:pStyle w:val="14"/>
            </w:pPr>
            <w:r>
              <w:t>≥100百分比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不超预算</w:t>
            </w:r>
          </w:p>
        </w:tc>
        <w:tc>
          <w:tcPr>
            <w:tcW w:w="2268" w:type="dxa"/>
            <w:vAlign w:val="center"/>
          </w:tcPr>
          <w:p>
            <w:pPr>
              <w:pStyle w:val="14"/>
            </w:pPr>
            <w:r>
              <w:t>≤26.28万元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丰富农村群众文化生活</w:t>
            </w:r>
          </w:p>
        </w:tc>
        <w:tc>
          <w:tcPr>
            <w:tcW w:w="5386" w:type="dxa"/>
            <w:vAlign w:val="center"/>
          </w:tcPr>
          <w:p>
            <w:pPr>
              <w:pStyle w:val="14"/>
            </w:pPr>
            <w:r>
              <w:t>丰富农村群众文化生活</w:t>
            </w:r>
          </w:p>
        </w:tc>
        <w:tc>
          <w:tcPr>
            <w:tcW w:w="2268" w:type="dxa"/>
            <w:vAlign w:val="center"/>
          </w:tcPr>
          <w:p>
            <w:pPr>
              <w:pStyle w:val="14"/>
            </w:pPr>
            <w:r>
              <w:t>≥95百分比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促进农村文化事业发展</w:t>
            </w:r>
          </w:p>
        </w:tc>
        <w:tc>
          <w:tcPr>
            <w:tcW w:w="5386" w:type="dxa"/>
            <w:vAlign w:val="center"/>
          </w:tcPr>
          <w:p>
            <w:pPr>
              <w:pStyle w:val="14"/>
            </w:pPr>
            <w:r>
              <w:t>促进农村文化事业发展</w:t>
            </w:r>
          </w:p>
        </w:tc>
        <w:tc>
          <w:tcPr>
            <w:tcW w:w="2268" w:type="dxa"/>
            <w:vAlign w:val="center"/>
          </w:tcPr>
          <w:p>
            <w:pPr>
              <w:pStyle w:val="14"/>
            </w:pPr>
            <w:r>
              <w:t>≥95百分比</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19、综合业务费绩效目标表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13060626P000022101597</w:t>
            </w:r>
          </w:p>
        </w:tc>
        <w:tc>
          <w:tcPr>
            <w:tcW w:w="2835" w:type="dxa"/>
            <w:vAlign w:val="center"/>
          </w:tcPr>
          <w:p>
            <w:pPr>
              <w:pStyle w:val="12"/>
            </w:pPr>
            <w:r>
              <w:t>项目名称</w:t>
            </w:r>
          </w:p>
        </w:tc>
        <w:tc>
          <w:tcPr>
            <w:tcW w:w="6095" w:type="dxa"/>
            <w:gridSpan w:val="3"/>
            <w:vAlign w:val="center"/>
          </w:tcPr>
          <w:p>
            <w:pPr>
              <w:pStyle w:val="14"/>
            </w:pPr>
            <w:r>
              <w:t>综合业务费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合理安排财政资金支出计划，遵循单位财务规章制度，保障单位正常运转，服务于单位全年目标任务。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1.目标内容1合理安排财政资金支出计划，遵循单位财务规章制度，保障单位正常运转，服务于单位全年目标任务。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工作日保障单位运转</w:t>
            </w:r>
          </w:p>
        </w:tc>
        <w:tc>
          <w:tcPr>
            <w:tcW w:w="5386" w:type="dxa"/>
            <w:vAlign w:val="center"/>
          </w:tcPr>
          <w:p>
            <w:pPr>
              <w:pStyle w:val="14"/>
            </w:pPr>
            <w:r>
              <w:t>工作日保障单位运转情况</w:t>
            </w:r>
          </w:p>
        </w:tc>
        <w:tc>
          <w:tcPr>
            <w:tcW w:w="2268" w:type="dxa"/>
            <w:vAlign w:val="center"/>
          </w:tcPr>
          <w:p>
            <w:pPr>
              <w:pStyle w:val="14"/>
            </w:pPr>
            <w:r>
              <w:t>≥8小时</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业务经费支出准确率</w:t>
            </w:r>
          </w:p>
        </w:tc>
        <w:tc>
          <w:tcPr>
            <w:tcW w:w="5386" w:type="dxa"/>
            <w:vAlign w:val="center"/>
          </w:tcPr>
          <w:p>
            <w:pPr>
              <w:pStyle w:val="14"/>
            </w:pPr>
            <w:r>
              <w:t>及时拨付情况</w:t>
            </w:r>
          </w:p>
        </w:tc>
        <w:tc>
          <w:tcPr>
            <w:tcW w:w="2268" w:type="dxa"/>
            <w:vAlign w:val="center"/>
          </w:tcPr>
          <w:p>
            <w:pPr>
              <w:pStyle w:val="14"/>
            </w:pPr>
            <w:r>
              <w:t>100百分比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办公经费支出及时率</w:t>
            </w:r>
          </w:p>
        </w:tc>
        <w:tc>
          <w:tcPr>
            <w:tcW w:w="5386" w:type="dxa"/>
            <w:vAlign w:val="center"/>
          </w:tcPr>
          <w:p>
            <w:pPr>
              <w:pStyle w:val="14"/>
            </w:pPr>
            <w:r>
              <w:t>办公经费支出及时情况</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成本支出金额</w:t>
            </w:r>
          </w:p>
        </w:tc>
        <w:tc>
          <w:tcPr>
            <w:tcW w:w="5386" w:type="dxa"/>
            <w:vAlign w:val="center"/>
          </w:tcPr>
          <w:p>
            <w:pPr>
              <w:pStyle w:val="14"/>
            </w:pPr>
            <w:r>
              <w:t>总预算执行情况</w:t>
            </w:r>
          </w:p>
        </w:tc>
        <w:tc>
          <w:tcPr>
            <w:tcW w:w="2268" w:type="dxa"/>
            <w:vAlign w:val="center"/>
          </w:tcPr>
          <w:p>
            <w:pPr>
              <w:pStyle w:val="14"/>
            </w:pPr>
            <w:r>
              <w:t>≤70万元</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提高履职尽责服务效率</w:t>
            </w:r>
          </w:p>
        </w:tc>
        <w:tc>
          <w:tcPr>
            <w:tcW w:w="5386" w:type="dxa"/>
            <w:vAlign w:val="center"/>
          </w:tcPr>
          <w:p>
            <w:pPr>
              <w:pStyle w:val="14"/>
            </w:pPr>
            <w:r>
              <w:t>提高履职尽责服务效率</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发挥财政资金使用效率</w:t>
            </w:r>
          </w:p>
        </w:tc>
        <w:tc>
          <w:tcPr>
            <w:tcW w:w="5386" w:type="dxa"/>
            <w:vAlign w:val="center"/>
          </w:tcPr>
          <w:p>
            <w:pPr>
              <w:pStyle w:val="14"/>
            </w:pPr>
            <w:r>
              <w:t>提高财政资金使用效益，杜绝浪费、挪用</w:t>
            </w:r>
          </w:p>
        </w:tc>
        <w:tc>
          <w:tcPr>
            <w:tcW w:w="2268" w:type="dxa"/>
            <w:vAlign w:val="center"/>
          </w:tcPr>
          <w:p>
            <w:pPr>
              <w:pStyle w:val="14"/>
            </w:pPr>
            <w:r>
              <w:t>≥95百分比</w:t>
            </w:r>
          </w:p>
        </w:tc>
        <w:tc>
          <w:tcPr>
            <w:tcW w:w="1276" w:type="dxa"/>
            <w:vAlign w:val="center"/>
          </w:tcPr>
          <w:p>
            <w:pPr>
              <w:pStyle w:val="14"/>
            </w:pPr>
            <w: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机关工作人员满意率</w:t>
            </w:r>
          </w:p>
        </w:tc>
        <w:tc>
          <w:tcPr>
            <w:tcW w:w="5386" w:type="dxa"/>
            <w:vAlign w:val="center"/>
          </w:tcPr>
          <w:p>
            <w:pPr>
              <w:pStyle w:val="14"/>
            </w:pPr>
            <w:r>
              <w:t>支出是否达到工作人员满意</w:t>
            </w:r>
          </w:p>
        </w:tc>
        <w:tc>
          <w:tcPr>
            <w:tcW w:w="2268" w:type="dxa"/>
            <w:vAlign w:val="center"/>
          </w:tcPr>
          <w:p>
            <w:pPr>
              <w:pStyle w:val="14"/>
            </w:pPr>
            <w:r>
              <w:t>≥95百分比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211001中共莲池区委宣传部本级</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中共莲池区委宣传部本级上年末资产</w:t>
      </w:r>
      <w:r>
        <w:rPr>
          <w:rFonts w:hint="eastAsia" w:eastAsia="方正仿宋_GBK" w:cs="Times New Roman"/>
          <w:color w:val="000000"/>
          <w:sz w:val="28"/>
          <w:lang w:eastAsia="zh-CN"/>
        </w:rPr>
        <w:t>总</w:t>
      </w:r>
      <w:r>
        <w:rPr>
          <w:rFonts w:eastAsia="方正仿宋_GBK" w:cs="Times New Roman"/>
          <w:color w:val="000000"/>
          <w:sz w:val="28"/>
        </w:rPr>
        <w:t>额为</w:t>
      </w:r>
      <w:r>
        <w:rPr>
          <w:rFonts w:hint="eastAsia" w:eastAsia="方正仿宋_GBK" w:cs="Times New Roman"/>
          <w:color w:val="000000"/>
          <w:sz w:val="28"/>
          <w:lang w:eastAsia="zh-CN"/>
        </w:rPr>
        <w:t>99.89</w:t>
      </w:r>
      <w:r>
        <w:rPr>
          <w:rFonts w:eastAsia="方正仿宋_GBK" w:cs="Times New Roman"/>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211001中共莲池区委宣传部本级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资产总额</w:t>
            </w:r>
          </w:p>
        </w:tc>
        <w:tc>
          <w:tcPr>
            <w:tcW w:w="2835" w:type="dxa"/>
            <w:shd w:val="clear" w:color="auto" w:fill="auto"/>
            <w:vAlign w:val="center"/>
          </w:tcPr>
          <w:p>
            <w:pPr>
              <w:pStyle w:val="14"/>
              <w:jc w:val="center"/>
              <w:rPr>
                <w:lang w:eastAsia="zh-CN"/>
              </w:rPr>
            </w:pPr>
            <w:r>
              <w:rPr>
                <w:rFonts w:hint="eastAsia"/>
                <w:lang w:eastAsia="zh-CN"/>
              </w:rPr>
              <w:t>682</w:t>
            </w:r>
          </w:p>
        </w:tc>
        <w:tc>
          <w:tcPr>
            <w:tcW w:w="2835" w:type="dxa"/>
            <w:shd w:val="clear" w:color="auto" w:fill="auto"/>
            <w:vAlign w:val="center"/>
          </w:tcPr>
          <w:p>
            <w:pPr>
              <w:pStyle w:val="14"/>
              <w:jc w:val="center"/>
              <w:rPr>
                <w:lang w:eastAsia="zh-CN"/>
              </w:rPr>
            </w:pPr>
            <w:r>
              <w:rPr>
                <w:rFonts w:hint="eastAsia"/>
                <w:lang w:eastAsia="zh-CN"/>
              </w:rPr>
              <w:t>99.89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1、房屋（平方米）</w:t>
            </w:r>
          </w:p>
        </w:tc>
        <w:tc>
          <w:tcPr>
            <w:tcW w:w="2835" w:type="dxa"/>
            <w:shd w:val="clear" w:color="auto" w:fill="auto"/>
            <w:vAlign w:val="center"/>
          </w:tcPr>
          <w:p>
            <w:pPr>
              <w:pStyle w:val="14"/>
              <w:jc w:val="center"/>
              <w:rPr>
                <w:lang w:eastAsia="zh-CN"/>
              </w:rPr>
            </w:pPr>
            <w:r>
              <w:rPr>
                <w:rFonts w:hint="eastAsia"/>
                <w:lang w:eastAsia="zh-CN"/>
              </w:rPr>
              <w:t>0</w:t>
            </w:r>
          </w:p>
        </w:tc>
        <w:tc>
          <w:tcPr>
            <w:tcW w:w="2835" w:type="dxa"/>
            <w:shd w:val="clear" w:color="auto" w:fill="auto"/>
            <w:vAlign w:val="center"/>
          </w:tcPr>
          <w:p>
            <w:pPr>
              <w:pStyle w:val="14"/>
              <w:jc w:val="center"/>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其中：办公用房（平方米）</w:t>
            </w:r>
          </w:p>
        </w:tc>
        <w:tc>
          <w:tcPr>
            <w:tcW w:w="2835" w:type="dxa"/>
            <w:shd w:val="clear" w:color="auto" w:fill="auto"/>
            <w:vAlign w:val="center"/>
          </w:tcPr>
          <w:p>
            <w:pPr>
              <w:pStyle w:val="14"/>
              <w:jc w:val="center"/>
              <w:rPr>
                <w:lang w:eastAsia="zh-CN"/>
              </w:rPr>
            </w:pPr>
            <w:r>
              <w:rPr>
                <w:rFonts w:hint="eastAsia"/>
                <w:lang w:eastAsia="zh-CN"/>
              </w:rPr>
              <w:t>0</w:t>
            </w:r>
          </w:p>
        </w:tc>
        <w:tc>
          <w:tcPr>
            <w:tcW w:w="2835" w:type="dxa"/>
            <w:shd w:val="clear" w:color="auto" w:fill="auto"/>
            <w:vAlign w:val="center"/>
          </w:tcPr>
          <w:p>
            <w:pPr>
              <w:pStyle w:val="14"/>
              <w:jc w:val="center"/>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2、车辆（台、辆）</w:t>
            </w:r>
          </w:p>
        </w:tc>
        <w:tc>
          <w:tcPr>
            <w:tcW w:w="2835" w:type="dxa"/>
            <w:shd w:val="clear" w:color="auto" w:fill="auto"/>
            <w:vAlign w:val="center"/>
          </w:tcPr>
          <w:p>
            <w:pPr>
              <w:pStyle w:val="14"/>
              <w:jc w:val="center"/>
              <w:rPr>
                <w:lang w:eastAsia="zh-CN"/>
              </w:rPr>
            </w:pPr>
            <w:r>
              <w:rPr>
                <w:rFonts w:hint="eastAsia"/>
                <w:lang w:eastAsia="zh-CN"/>
              </w:rPr>
              <w:t>0</w:t>
            </w:r>
          </w:p>
        </w:tc>
        <w:tc>
          <w:tcPr>
            <w:tcW w:w="2835" w:type="dxa"/>
            <w:shd w:val="clear" w:color="auto" w:fill="auto"/>
            <w:vAlign w:val="center"/>
          </w:tcPr>
          <w:p>
            <w:pPr>
              <w:pStyle w:val="14"/>
              <w:jc w:val="center"/>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3、单价在50万元以上的设备(台、套)</w:t>
            </w:r>
          </w:p>
        </w:tc>
        <w:tc>
          <w:tcPr>
            <w:tcW w:w="2835" w:type="dxa"/>
            <w:shd w:val="clear" w:color="auto" w:fill="auto"/>
            <w:vAlign w:val="center"/>
          </w:tcPr>
          <w:p>
            <w:pPr>
              <w:pStyle w:val="14"/>
              <w:jc w:val="center"/>
              <w:rPr>
                <w:lang w:eastAsia="zh-CN"/>
              </w:rPr>
            </w:pPr>
            <w:r>
              <w:rPr>
                <w:rFonts w:hint="eastAsia"/>
                <w:lang w:eastAsia="zh-CN"/>
              </w:rPr>
              <w:t>0</w:t>
            </w:r>
          </w:p>
        </w:tc>
        <w:tc>
          <w:tcPr>
            <w:tcW w:w="2835" w:type="dxa"/>
            <w:shd w:val="clear" w:color="auto" w:fill="auto"/>
            <w:vAlign w:val="center"/>
          </w:tcPr>
          <w:p>
            <w:pPr>
              <w:pStyle w:val="14"/>
              <w:jc w:val="center"/>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其中：单价50万元（含）以上的通用设备</w:t>
            </w:r>
          </w:p>
        </w:tc>
        <w:tc>
          <w:tcPr>
            <w:tcW w:w="2835" w:type="dxa"/>
            <w:shd w:val="clear" w:color="auto" w:fill="auto"/>
            <w:vAlign w:val="center"/>
          </w:tcPr>
          <w:p>
            <w:pPr>
              <w:pStyle w:val="14"/>
              <w:jc w:val="center"/>
              <w:rPr>
                <w:lang w:eastAsia="zh-CN"/>
              </w:rPr>
            </w:pPr>
            <w:r>
              <w:rPr>
                <w:rFonts w:hint="eastAsia"/>
                <w:lang w:eastAsia="zh-CN"/>
              </w:rPr>
              <w:t>0</w:t>
            </w:r>
          </w:p>
        </w:tc>
        <w:tc>
          <w:tcPr>
            <w:tcW w:w="2835" w:type="dxa"/>
            <w:shd w:val="clear" w:color="auto" w:fill="auto"/>
            <w:vAlign w:val="center"/>
          </w:tcPr>
          <w:p>
            <w:pPr>
              <w:pStyle w:val="14"/>
              <w:jc w:val="center"/>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lang w:eastAsia="zh-CN"/>
              </w:rPr>
              <w:t>单价100万元（含）以上的通专用设备</w:t>
            </w:r>
          </w:p>
        </w:tc>
        <w:tc>
          <w:tcPr>
            <w:tcW w:w="2835" w:type="dxa"/>
            <w:shd w:val="clear" w:color="auto" w:fill="auto"/>
            <w:vAlign w:val="center"/>
          </w:tcPr>
          <w:p>
            <w:pPr>
              <w:pStyle w:val="14"/>
              <w:jc w:val="center"/>
              <w:rPr>
                <w:lang w:eastAsia="zh-CN"/>
              </w:rPr>
            </w:pPr>
            <w:r>
              <w:rPr>
                <w:rFonts w:hint="eastAsia"/>
                <w:lang w:eastAsia="zh-CN"/>
              </w:rPr>
              <w:t>0</w:t>
            </w:r>
          </w:p>
        </w:tc>
        <w:tc>
          <w:tcPr>
            <w:tcW w:w="2835" w:type="dxa"/>
            <w:shd w:val="clear" w:color="auto" w:fill="auto"/>
            <w:vAlign w:val="center"/>
          </w:tcPr>
          <w:p>
            <w:pPr>
              <w:pStyle w:val="14"/>
              <w:jc w:val="center"/>
              <w:rPr>
                <w:lang w:eastAsia="zh-CN"/>
              </w:rPr>
            </w:pP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4、其他固定资产</w:t>
            </w:r>
          </w:p>
        </w:tc>
        <w:tc>
          <w:tcPr>
            <w:tcW w:w="2835" w:type="dxa"/>
            <w:shd w:val="clear" w:color="auto" w:fill="auto"/>
            <w:vAlign w:val="center"/>
          </w:tcPr>
          <w:p>
            <w:pPr>
              <w:pStyle w:val="14"/>
              <w:jc w:val="center"/>
              <w:rPr>
                <w:lang w:eastAsia="zh-CN"/>
              </w:rPr>
            </w:pPr>
            <w:r>
              <w:rPr>
                <w:rFonts w:hint="eastAsia"/>
                <w:lang w:eastAsia="zh-CN"/>
              </w:rPr>
              <w:t>658</w:t>
            </w:r>
          </w:p>
        </w:tc>
        <w:tc>
          <w:tcPr>
            <w:tcW w:w="2835" w:type="dxa"/>
            <w:shd w:val="clear" w:color="auto" w:fill="auto"/>
            <w:vAlign w:val="center"/>
          </w:tcPr>
          <w:p>
            <w:pPr>
              <w:pStyle w:val="14"/>
              <w:jc w:val="center"/>
              <w:rPr>
                <w:lang w:eastAsia="zh-CN"/>
              </w:rPr>
            </w:pPr>
            <w:r>
              <w:rPr>
                <w:rFonts w:hint="eastAsia"/>
                <w:lang w:eastAsia="zh-CN"/>
              </w:rPr>
              <w:t>42.86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pPr>
              <w:pStyle w:val="14"/>
              <w:jc w:val="center"/>
              <w:rPr>
                <w:lang w:eastAsia="zh-CN"/>
              </w:rPr>
            </w:pPr>
            <w:r>
              <w:rPr>
                <w:rFonts w:hint="eastAsia"/>
                <w:lang w:eastAsia="zh-CN"/>
              </w:rPr>
              <w:t>5、无形资产</w:t>
            </w:r>
          </w:p>
        </w:tc>
        <w:tc>
          <w:tcPr>
            <w:tcW w:w="2835" w:type="dxa"/>
            <w:shd w:val="clear" w:color="auto" w:fill="auto"/>
            <w:vAlign w:val="center"/>
          </w:tcPr>
          <w:p>
            <w:pPr>
              <w:pStyle w:val="14"/>
              <w:jc w:val="center"/>
              <w:rPr>
                <w:lang w:eastAsia="zh-CN"/>
              </w:rPr>
            </w:pPr>
            <w:r>
              <w:rPr>
                <w:rFonts w:hint="eastAsia"/>
                <w:lang w:eastAsia="zh-CN"/>
              </w:rPr>
              <w:t xml:space="preserve">24 </w:t>
            </w:r>
          </w:p>
        </w:tc>
        <w:tc>
          <w:tcPr>
            <w:tcW w:w="2835" w:type="dxa"/>
            <w:shd w:val="clear" w:color="auto" w:fill="auto"/>
            <w:vAlign w:val="center"/>
          </w:tcPr>
          <w:p>
            <w:pPr>
              <w:pStyle w:val="14"/>
              <w:jc w:val="center"/>
              <w:rPr>
                <w:lang w:eastAsia="zh-CN"/>
              </w:rPr>
            </w:pPr>
            <w:r>
              <w:rPr>
                <w:rFonts w:hint="eastAsia"/>
                <w:lang w:eastAsia="zh-CN"/>
              </w:rPr>
              <w:t>57.03</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pPr>
        <w:spacing w:line="500" w:lineRule="exact"/>
        <w:ind w:firstLine="560"/>
      </w:pPr>
      <w:r>
        <w:rPr>
          <w:rFonts w:eastAsia="方正仿宋_GBK" w:cs="Times New Roman"/>
          <w:color w:val="000000"/>
          <w:sz w:val="28"/>
        </w:rPr>
        <w:t>7、</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B9021"/>
    <w:multiLevelType w:val="singleLevel"/>
    <w:tmpl w:val="E51B9021"/>
    <w:lvl w:ilvl="0" w:tentative="0">
      <w:start w:val="2"/>
      <w:numFmt w:val="chineseCounting"/>
      <w:suff w:val="nothing"/>
      <w:lvlText w:val="%1、"/>
      <w:lvlJc w:val="left"/>
      <w:rPr>
        <w:rFonts w:hint="eastAsia"/>
      </w:rPr>
    </w:lvl>
  </w:abstractNum>
  <w:abstractNum w:abstractNumId="1">
    <w:nsid w:val="244F8D52"/>
    <w:multiLevelType w:val="singleLevel"/>
    <w:tmpl w:val="244F8D52"/>
    <w:lvl w:ilvl="0" w:tentative="0">
      <w:start w:val="6"/>
      <w:numFmt w:val="chineseCounting"/>
      <w:suff w:val="nothing"/>
      <w:lvlText w:val="%1、"/>
      <w:lvlJc w:val="left"/>
      <w:rPr>
        <w:rFonts w:hint="eastAsia"/>
      </w:rPr>
    </w:lvl>
  </w:abstractNum>
  <w:abstractNum w:abstractNumId="2">
    <w:nsid w:val="4D45B83B"/>
    <w:multiLevelType w:val="singleLevel"/>
    <w:tmpl w:val="4D45B83B"/>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NTYyNjg0MDAzM2RmYWIxZmZhNDBkMmY4Y2M5NmMifQ=="/>
  </w:docVars>
  <w:rsids>
    <w:rsidRoot w:val="00525620"/>
    <w:rsid w:val="00525620"/>
    <w:rsid w:val="009E351F"/>
    <w:rsid w:val="00EC31C6"/>
    <w:rsid w:val="032364CD"/>
    <w:rsid w:val="03AA417C"/>
    <w:rsid w:val="04083072"/>
    <w:rsid w:val="05390223"/>
    <w:rsid w:val="0CC539BF"/>
    <w:rsid w:val="14A979BF"/>
    <w:rsid w:val="157C4384"/>
    <w:rsid w:val="17365E81"/>
    <w:rsid w:val="192166BD"/>
    <w:rsid w:val="19E226A2"/>
    <w:rsid w:val="1AF377E3"/>
    <w:rsid w:val="1B75731B"/>
    <w:rsid w:val="1CFF5E52"/>
    <w:rsid w:val="1DA92327"/>
    <w:rsid w:val="1F52138B"/>
    <w:rsid w:val="1FBF5E68"/>
    <w:rsid w:val="21AF090B"/>
    <w:rsid w:val="23D762F6"/>
    <w:rsid w:val="24994DA3"/>
    <w:rsid w:val="24AC7783"/>
    <w:rsid w:val="25CE6C15"/>
    <w:rsid w:val="261D1740"/>
    <w:rsid w:val="270F7B55"/>
    <w:rsid w:val="2A2B2EF8"/>
    <w:rsid w:val="2C7C04FF"/>
    <w:rsid w:val="2F28348D"/>
    <w:rsid w:val="313237D7"/>
    <w:rsid w:val="32E008FA"/>
    <w:rsid w:val="35E14DB3"/>
    <w:rsid w:val="373F127A"/>
    <w:rsid w:val="37CD1A92"/>
    <w:rsid w:val="3ACB0218"/>
    <w:rsid w:val="3AD81B3F"/>
    <w:rsid w:val="3D6469F5"/>
    <w:rsid w:val="3FED003F"/>
    <w:rsid w:val="3FF12096"/>
    <w:rsid w:val="42CC4B0D"/>
    <w:rsid w:val="4379487C"/>
    <w:rsid w:val="44240C8C"/>
    <w:rsid w:val="469D68FA"/>
    <w:rsid w:val="496833C9"/>
    <w:rsid w:val="4DB766CD"/>
    <w:rsid w:val="4E6F0D56"/>
    <w:rsid w:val="50116BEC"/>
    <w:rsid w:val="50C64E79"/>
    <w:rsid w:val="52263E21"/>
    <w:rsid w:val="526F3A1A"/>
    <w:rsid w:val="528F2791"/>
    <w:rsid w:val="529C0587"/>
    <w:rsid w:val="53A72B4B"/>
    <w:rsid w:val="55342CF9"/>
    <w:rsid w:val="55AA2FBB"/>
    <w:rsid w:val="56DF19D0"/>
    <w:rsid w:val="587D6C4E"/>
    <w:rsid w:val="59D14FBA"/>
    <w:rsid w:val="5ACE0A9F"/>
    <w:rsid w:val="5C5A1297"/>
    <w:rsid w:val="5D2E002E"/>
    <w:rsid w:val="5DDC289B"/>
    <w:rsid w:val="5E84084D"/>
    <w:rsid w:val="5FC353A5"/>
    <w:rsid w:val="60681AA9"/>
    <w:rsid w:val="63272711"/>
    <w:rsid w:val="64361D0B"/>
    <w:rsid w:val="64813139"/>
    <w:rsid w:val="649216BA"/>
    <w:rsid w:val="66D41C46"/>
    <w:rsid w:val="69085F63"/>
    <w:rsid w:val="6A1449CF"/>
    <w:rsid w:val="6D6B6A1F"/>
    <w:rsid w:val="6DFF2509"/>
    <w:rsid w:val="70904E30"/>
    <w:rsid w:val="70FD7FEB"/>
    <w:rsid w:val="73C31078"/>
    <w:rsid w:val="73F13E37"/>
    <w:rsid w:val="747674B1"/>
    <w:rsid w:val="777032C5"/>
    <w:rsid w:val="787B4617"/>
    <w:rsid w:val="79584959"/>
    <w:rsid w:val="79D815F5"/>
    <w:rsid w:val="7A4647B1"/>
    <w:rsid w:val="7B0408F4"/>
    <w:rsid w:val="7CF910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ind w:firstLine="560"/>
    </w:pPr>
    <w:rPr>
      <w:rFonts w:eastAsia="方正仿宋_GBK" w:cs="Times New Roman"/>
      <w:color w:val="000000"/>
      <w:sz w:val="28"/>
    </w:rPr>
  </w:style>
  <w:style w:type="paragraph" w:styleId="4">
    <w:name w:val="toc 4"/>
    <w:basedOn w:val="1"/>
    <w:next w:val="1"/>
    <w:autoRedefine/>
    <w:qFormat/>
    <w:uiPriority w:val="0"/>
    <w:pPr>
      <w:ind w:left="720"/>
    </w:pPr>
  </w:style>
  <w:style w:type="paragraph" w:styleId="5">
    <w:name w:val="toc 2"/>
    <w:basedOn w:val="1"/>
    <w:next w:val="1"/>
    <w:autoRedefine/>
    <w:qFormat/>
    <w:uiPriority w:val="0"/>
    <w:pPr>
      <w:ind w:left="240"/>
    </w:pPr>
  </w:style>
  <w:style w:type="table" w:styleId="7">
    <w:name w:val="Table Grid"/>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9">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0">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1">
    <w:name w:val="单元格样式20"/>
    <w:basedOn w:val="1"/>
    <w:autoRedefine/>
    <w:qFormat/>
    <w:uiPriority w:val="0"/>
    <w:rPr>
      <w:rFonts w:ascii="方正小标宋_GBK" w:hAnsi="方正小标宋_GBK" w:eastAsia="方正小标宋_GBK" w:cs="方正小标宋_GBK"/>
    </w:rPr>
  </w:style>
  <w:style w:type="paragraph" w:customStyle="1" w:styleId="12">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3">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4">
    <w:name w:val="单元格样式2"/>
    <w:basedOn w:val="1"/>
    <w:autoRedefine/>
    <w:qFormat/>
    <w:uiPriority w:val="0"/>
    <w:rPr>
      <w:rFonts w:ascii="方正书宋_GBK" w:hAnsi="方正书宋_GBK" w:eastAsia="方正书宋_GBK" w:cs="方正书宋_GBK"/>
      <w:sz w:val="21"/>
    </w:rPr>
  </w:style>
  <w:style w:type="paragraph" w:customStyle="1" w:styleId="15">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6">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8">
    <w:name w:val="单元格样式5"/>
    <w:basedOn w:val="1"/>
    <w:autoRedefine/>
    <w:qFormat/>
    <w:uiPriority w:val="0"/>
    <w:rPr>
      <w:rFonts w:ascii="方正书宋_GBK" w:hAnsi="方正书宋_GBK" w:eastAsia="方正书宋_GBK" w:cs="方正书宋_GBK"/>
      <w:b/>
      <w:sz w:val="21"/>
    </w:rPr>
  </w:style>
  <w:style w:type="paragraph" w:customStyle="1" w:styleId="19">
    <w:name w:val="插入文本样式-插入预算公开部门职责文件"/>
    <w:basedOn w:val="1"/>
    <w:autoRedefine/>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autoRedefine/>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autoRedefine/>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autoRedefine/>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autoRedefine/>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autoRedefine/>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autoRedefine/>
    <w:qFormat/>
    <w:uiPriority w:val="0"/>
    <w:pPr>
      <w:spacing w:line="500" w:lineRule="exact"/>
      <w:ind w:firstLine="560"/>
    </w:pPr>
    <w:rPr>
      <w:rFonts w:eastAsia="方正仿宋_GBK" w:cs="Times New Roman"/>
      <w:sz w:val="28"/>
    </w:rPr>
  </w:style>
  <w:style w:type="paragraph" w:customStyle="1" w:styleId="26">
    <w:name w:val="单元格样式23"/>
    <w:autoRedefine/>
    <w:qFormat/>
    <w:uiPriority w:val="0"/>
    <w:pPr>
      <w:jc w:val="right"/>
    </w:pPr>
    <w:rPr>
      <w:rFonts w:ascii="方正书宋_GBK" w:hAnsi="方正书宋_GBK" w:eastAsia="方正书宋_GBK" w:cs="方正书宋_GBK"/>
      <w:sz w:val="24"/>
      <w:szCs w:val="22"/>
      <w:lang w:val="en-US" w:eastAsia="zh-CN" w:bidi="ar-SA"/>
    </w:rPr>
  </w:style>
  <w:style w:type="paragraph" w:customStyle="1" w:styleId="27">
    <w:name w:val="插入文本样式-插入单位职责文件"/>
    <w:autoRedefine/>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28">
    <w:name w:val="插入文本样式-插入预算公开单位预算安排的总体情况文件"/>
    <w:autoRedefine/>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29">
    <w:name w:val="插入文本样式-插入预算公开单位机关运行经费安排情况文件"/>
    <w:autoRedefine/>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30">
    <w:name w:val="插入文本样式-插入预算公开单位财政拨款三公经费预算情况及增减变化原因文件"/>
    <w:autoRedefine/>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31">
    <w:name w:val="插入文本样式-插入部门职责文件"/>
    <w:basedOn w:val="1"/>
    <w:autoRedefine/>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99</Pages>
  <Words>4199</Words>
  <Characters>5493</Characters>
  <Lines>345</Lines>
  <Paragraphs>97</Paragraphs>
  <TotalTime>7</TotalTime>
  <ScaleCrop>false</ScaleCrop>
  <LinksUpToDate>false</LinksUpToDate>
  <CharactersWithSpaces>5634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2026-03-30T14:40:00Z</dcterms:created>
  <dc:creator>admin</dc:creator>
  <cp:lastModifiedBy>火</cp:lastModifiedBy>
  <cp:lastPrinted>2026-02-04T01:28:00Z</cp:lastPrinted>
  <dcterms:modified xsi:type="dcterms:W3CDTF">2026-05-27T02:29:06Z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eyJoZGlkIjoiYWZmODkwMDA0ZjE0ZTA0M2QyM2FkNmVkOTJlNjFlYmEiLCJ1c2VySWQiOiIzNTQyMjA0MDQifQ==</vt:lpwstr>
  </property>
  <property fmtid="{D5CDD505-2E9C-101B-9397-08002B2CF9AE}" pid="4" name="ICV">
    <vt:lpwstr>CD9201F2C8874793888C29DF2F3601A8_13</vt:lpwstr>
  </property>
</Properties>
</file>