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pPr>
        <w:jc w:val="center"/>
      </w:pPr>
      <w:r>
        <w:rPr>
          <w:rFonts w:ascii="黑体" w:hAnsi="黑体" w:eastAsia="黑体" w:cs="黑体"/>
          <w:b/>
          <w:color w:val="000000"/>
          <w:sz w:val="30"/>
        </w:rPr>
        <w:t>部门预算</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19</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0"/>
        <w:rPr>
          <w:rFonts w:ascii="方正小标宋_GBK" w:hAnsi="方正小标宋_GBK" w:eastAsia="方正小标宋_GBK" w:cs="方正小标宋_GBK"/>
          <w:color w:val="000000"/>
          <w:sz w:val="72"/>
        </w:rPr>
      </w:pPr>
    </w:p>
    <w:p>
      <w:pPr>
        <w:jc w:val="center"/>
        <w:outlineLvl w:val="0"/>
        <w:rPr>
          <w:rFonts w:ascii="方正小标宋_GBK" w:hAnsi="方正小标宋_GBK" w:eastAsia="方正小标宋_GBK" w:cs="方正小标宋_GBK"/>
          <w:color w:val="000000"/>
          <w:sz w:val="72"/>
        </w:rPr>
      </w:pPr>
      <w:r>
        <w:rPr>
          <w:rFonts w:ascii="方正小标宋_GBK" w:hAnsi="方正小标宋_GBK" w:eastAsia="方正小标宋_GBK" w:cs="方正小标宋_GBK"/>
          <w:color w:val="000000"/>
          <w:sz w:val="72"/>
        </w:rPr>
        <w:t xml:space="preserve"> 部门预算</w:t>
      </w:r>
      <w:bookmarkStart w:id="0" w:name="_Toc_2_2_0000000001"/>
    </w:p>
    <w:p>
      <w:pPr>
        <w:jc w:val="center"/>
        <w:outlineLvl w:val="0"/>
      </w:pPr>
      <w:r>
        <w:rPr>
          <w:rFonts w:ascii="方正小标宋_GBK" w:hAnsi="方正小标宋_GBK" w:eastAsia="方正小标宋_GBK" w:cs="方正小标宋_GBK"/>
          <w:color w:val="000000"/>
          <w:sz w:val="36"/>
        </w:rPr>
        <w:t>部门预算收支总表</w:t>
      </w:r>
      <w:bookmarkEnd w:id="0"/>
    </w:p>
    <w:tbl>
      <w:tblPr>
        <w:tblStyle w:val="6"/>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855保定市莲池区古城保护区管理委员会</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122.64</w:t>
            </w:r>
          </w:p>
        </w:tc>
        <w:tc>
          <w:tcPr>
            <w:tcW w:w="4535" w:type="dxa"/>
            <w:vAlign w:val="center"/>
          </w:tcPr>
          <w:p>
            <w:pPr>
              <w:pStyle w:val="14"/>
            </w:pPr>
            <w:r>
              <w:t>一、一般公共服务支出</w:t>
            </w:r>
          </w:p>
        </w:tc>
        <w:tc>
          <w:tcPr>
            <w:tcW w:w="2126" w:type="dxa"/>
            <w:vAlign w:val="center"/>
          </w:tcPr>
          <w:p>
            <w:pPr>
              <w:pStyle w:val="13"/>
            </w:pPr>
            <w:r>
              <w:t>122.64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122.64</w:t>
            </w:r>
          </w:p>
        </w:tc>
        <w:tc>
          <w:tcPr>
            <w:tcW w:w="4535" w:type="dxa"/>
            <w:vAlign w:val="center"/>
          </w:tcPr>
          <w:p>
            <w:pPr>
              <w:pStyle w:val="16"/>
            </w:pPr>
            <w:r>
              <w:t>本年支出合计</w:t>
            </w:r>
          </w:p>
        </w:tc>
        <w:tc>
          <w:tcPr>
            <w:tcW w:w="2126" w:type="dxa"/>
            <w:vAlign w:val="center"/>
          </w:tcPr>
          <w:p>
            <w:pPr>
              <w:pStyle w:val="17"/>
            </w:pPr>
            <w:r>
              <w:t>122.64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122.64</w:t>
            </w:r>
          </w:p>
        </w:tc>
        <w:tc>
          <w:tcPr>
            <w:tcW w:w="4535" w:type="dxa"/>
            <w:vAlign w:val="center"/>
          </w:tcPr>
          <w:p>
            <w:pPr>
              <w:pStyle w:val="16"/>
            </w:pPr>
            <w:r>
              <w:t>支出总计</w:t>
            </w:r>
          </w:p>
        </w:tc>
        <w:tc>
          <w:tcPr>
            <w:tcW w:w="2126" w:type="dxa"/>
            <w:vAlign w:val="center"/>
          </w:tcPr>
          <w:p>
            <w:pPr>
              <w:pStyle w:val="17"/>
            </w:pPr>
            <w:r>
              <w:t>122.64</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855保定市莲池区古城保护区管理委员会</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122.64</w:t>
            </w:r>
          </w:p>
        </w:tc>
        <w:tc>
          <w:tcPr>
            <w:tcW w:w="1134" w:type="dxa"/>
            <w:vAlign w:val="center"/>
          </w:tcPr>
          <w:p>
            <w:pPr>
              <w:pStyle w:val="17"/>
            </w:pPr>
            <w:r>
              <w:t>122.64</w:t>
            </w:r>
          </w:p>
        </w:tc>
        <w:tc>
          <w:tcPr>
            <w:tcW w:w="1134" w:type="dxa"/>
            <w:vAlign w:val="center"/>
          </w:tcPr>
          <w:p>
            <w:pPr>
              <w:pStyle w:val="17"/>
            </w:pPr>
            <w:r>
              <w:t>122.64</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122.64</w:t>
            </w:r>
          </w:p>
        </w:tc>
        <w:tc>
          <w:tcPr>
            <w:tcW w:w="1134" w:type="dxa"/>
            <w:vAlign w:val="center"/>
          </w:tcPr>
          <w:p>
            <w:pPr>
              <w:pStyle w:val="13"/>
            </w:pPr>
            <w:r>
              <w:t>122.64</w:t>
            </w:r>
          </w:p>
        </w:tc>
        <w:tc>
          <w:tcPr>
            <w:tcW w:w="1134" w:type="dxa"/>
            <w:vAlign w:val="center"/>
          </w:tcPr>
          <w:p>
            <w:pPr>
              <w:pStyle w:val="13"/>
            </w:pPr>
            <w:r>
              <w:t>122.64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122.64</w:t>
            </w:r>
          </w:p>
        </w:tc>
        <w:tc>
          <w:tcPr>
            <w:tcW w:w="1134" w:type="dxa"/>
            <w:vAlign w:val="center"/>
          </w:tcPr>
          <w:p>
            <w:pPr>
              <w:pStyle w:val="13"/>
            </w:pPr>
            <w:r>
              <w:t>122.64</w:t>
            </w:r>
          </w:p>
        </w:tc>
        <w:tc>
          <w:tcPr>
            <w:tcW w:w="1134" w:type="dxa"/>
            <w:vAlign w:val="center"/>
          </w:tcPr>
          <w:p>
            <w:pPr>
              <w:pStyle w:val="13"/>
            </w:pPr>
            <w:r>
              <w:t>122.64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2010301</w:t>
            </w:r>
          </w:p>
        </w:tc>
        <w:tc>
          <w:tcPr>
            <w:tcW w:w="1559" w:type="dxa"/>
            <w:vAlign w:val="center"/>
          </w:tcPr>
          <w:p>
            <w:pPr>
              <w:pStyle w:val="14"/>
            </w:pPr>
            <w:r>
              <w:t>行政运行</w:t>
            </w:r>
          </w:p>
        </w:tc>
        <w:tc>
          <w:tcPr>
            <w:tcW w:w="1134" w:type="dxa"/>
            <w:vAlign w:val="center"/>
          </w:tcPr>
          <w:p>
            <w:pPr>
              <w:pStyle w:val="13"/>
            </w:pPr>
            <w:r>
              <w:t>122.64</w:t>
            </w:r>
          </w:p>
        </w:tc>
        <w:tc>
          <w:tcPr>
            <w:tcW w:w="1134" w:type="dxa"/>
            <w:vAlign w:val="center"/>
          </w:tcPr>
          <w:p>
            <w:pPr>
              <w:pStyle w:val="13"/>
            </w:pPr>
            <w:r>
              <w:t>122.64</w:t>
            </w:r>
          </w:p>
        </w:tc>
        <w:tc>
          <w:tcPr>
            <w:tcW w:w="1134" w:type="dxa"/>
            <w:vAlign w:val="center"/>
          </w:tcPr>
          <w:p>
            <w:pPr>
              <w:pStyle w:val="13"/>
            </w:pPr>
            <w:r>
              <w:t>122.64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855保定市莲池区古城保护区管理委员会</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122.64</w:t>
            </w:r>
          </w:p>
        </w:tc>
        <w:tc>
          <w:tcPr>
            <w:tcW w:w="1361" w:type="dxa"/>
            <w:vAlign w:val="center"/>
          </w:tcPr>
          <w:p>
            <w:pPr>
              <w:pStyle w:val="17"/>
            </w:pPr>
            <w:r>
              <w:t>122.64</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122.64</w:t>
            </w:r>
          </w:p>
        </w:tc>
        <w:tc>
          <w:tcPr>
            <w:tcW w:w="1361" w:type="dxa"/>
            <w:vAlign w:val="center"/>
          </w:tcPr>
          <w:p>
            <w:pPr>
              <w:pStyle w:val="13"/>
            </w:pPr>
            <w:r>
              <w:t>122.64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122.64</w:t>
            </w:r>
          </w:p>
        </w:tc>
        <w:tc>
          <w:tcPr>
            <w:tcW w:w="1361" w:type="dxa"/>
            <w:vAlign w:val="center"/>
          </w:tcPr>
          <w:p>
            <w:pPr>
              <w:pStyle w:val="13"/>
            </w:pPr>
            <w:r>
              <w:t>122.64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2010301</w:t>
            </w:r>
          </w:p>
        </w:tc>
        <w:tc>
          <w:tcPr>
            <w:tcW w:w="4535" w:type="dxa"/>
            <w:vAlign w:val="center"/>
          </w:tcPr>
          <w:p>
            <w:pPr>
              <w:pStyle w:val="14"/>
            </w:pPr>
            <w:r>
              <w:t>行政运行</w:t>
            </w:r>
          </w:p>
        </w:tc>
        <w:tc>
          <w:tcPr>
            <w:tcW w:w="1361" w:type="dxa"/>
            <w:vAlign w:val="center"/>
          </w:tcPr>
          <w:p>
            <w:pPr>
              <w:pStyle w:val="13"/>
            </w:pPr>
            <w:r>
              <w:t>122.64</w:t>
            </w:r>
          </w:p>
        </w:tc>
        <w:tc>
          <w:tcPr>
            <w:tcW w:w="1361" w:type="dxa"/>
            <w:vAlign w:val="center"/>
          </w:tcPr>
          <w:p>
            <w:pPr>
              <w:pStyle w:val="13"/>
            </w:pPr>
            <w:r>
              <w:t>122.64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855保定市莲池区古城保护区管理委员会</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122.64</w:t>
            </w:r>
          </w:p>
        </w:tc>
        <w:tc>
          <w:tcPr>
            <w:tcW w:w="3402" w:type="dxa"/>
            <w:vAlign w:val="center"/>
          </w:tcPr>
          <w:p>
            <w:pPr>
              <w:pStyle w:val="14"/>
            </w:pPr>
            <w:r>
              <w:t>一、一般公共服务支出</w:t>
            </w:r>
          </w:p>
        </w:tc>
        <w:tc>
          <w:tcPr>
            <w:tcW w:w="1474" w:type="dxa"/>
            <w:vAlign w:val="center"/>
          </w:tcPr>
          <w:p>
            <w:pPr>
              <w:pStyle w:val="13"/>
            </w:pPr>
            <w:r>
              <w:t>122.64</w:t>
            </w:r>
          </w:p>
        </w:tc>
        <w:tc>
          <w:tcPr>
            <w:tcW w:w="1474" w:type="dxa"/>
            <w:vAlign w:val="center"/>
          </w:tcPr>
          <w:p>
            <w:pPr>
              <w:pStyle w:val="13"/>
            </w:pPr>
            <w:r>
              <w:t>122.64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122.64</w:t>
            </w:r>
          </w:p>
        </w:tc>
        <w:tc>
          <w:tcPr>
            <w:tcW w:w="3402" w:type="dxa"/>
            <w:vAlign w:val="center"/>
          </w:tcPr>
          <w:p>
            <w:pPr>
              <w:pStyle w:val="16"/>
            </w:pPr>
            <w:r>
              <w:t>本年支出合计</w:t>
            </w:r>
          </w:p>
        </w:tc>
        <w:tc>
          <w:tcPr>
            <w:tcW w:w="1474" w:type="dxa"/>
            <w:vAlign w:val="center"/>
          </w:tcPr>
          <w:p>
            <w:pPr>
              <w:pStyle w:val="17"/>
            </w:pPr>
            <w:r>
              <w:t>122.64</w:t>
            </w:r>
          </w:p>
        </w:tc>
        <w:tc>
          <w:tcPr>
            <w:tcW w:w="1474" w:type="dxa"/>
            <w:vAlign w:val="center"/>
          </w:tcPr>
          <w:p>
            <w:pPr>
              <w:pStyle w:val="17"/>
            </w:pPr>
            <w:r>
              <w:t>122.64</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122.64</w:t>
            </w:r>
          </w:p>
        </w:tc>
        <w:tc>
          <w:tcPr>
            <w:tcW w:w="3402" w:type="dxa"/>
            <w:vAlign w:val="center"/>
          </w:tcPr>
          <w:p>
            <w:pPr>
              <w:pStyle w:val="16"/>
            </w:pPr>
            <w:r>
              <w:t>支出总计</w:t>
            </w:r>
          </w:p>
        </w:tc>
        <w:tc>
          <w:tcPr>
            <w:tcW w:w="1474" w:type="dxa"/>
            <w:vAlign w:val="center"/>
          </w:tcPr>
          <w:p>
            <w:pPr>
              <w:pStyle w:val="17"/>
            </w:pPr>
            <w:r>
              <w:t>122.64</w:t>
            </w:r>
          </w:p>
        </w:tc>
        <w:tc>
          <w:tcPr>
            <w:tcW w:w="1474" w:type="dxa"/>
            <w:vAlign w:val="center"/>
          </w:tcPr>
          <w:p>
            <w:pPr>
              <w:pStyle w:val="17"/>
            </w:pPr>
            <w:r>
              <w:t>122.64</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855保定市莲池区古城保护区管理委员会</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122.64</w:t>
            </w:r>
          </w:p>
        </w:tc>
        <w:tc>
          <w:tcPr>
            <w:tcW w:w="2551" w:type="dxa"/>
            <w:vAlign w:val="center"/>
          </w:tcPr>
          <w:p>
            <w:pPr>
              <w:pStyle w:val="17"/>
            </w:pPr>
            <w:r>
              <w:t>122.64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122.64</w:t>
            </w:r>
          </w:p>
        </w:tc>
        <w:tc>
          <w:tcPr>
            <w:tcW w:w="2551" w:type="dxa"/>
            <w:vAlign w:val="center"/>
          </w:tcPr>
          <w:p>
            <w:pPr>
              <w:pStyle w:val="13"/>
            </w:pPr>
            <w:r>
              <w:t>122.64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122.64</w:t>
            </w:r>
          </w:p>
        </w:tc>
        <w:tc>
          <w:tcPr>
            <w:tcW w:w="2551" w:type="dxa"/>
            <w:vAlign w:val="center"/>
          </w:tcPr>
          <w:p>
            <w:pPr>
              <w:pStyle w:val="13"/>
            </w:pPr>
            <w:r>
              <w:t>122.64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2010301</w:t>
            </w:r>
          </w:p>
        </w:tc>
        <w:tc>
          <w:tcPr>
            <w:tcW w:w="4535" w:type="dxa"/>
            <w:vAlign w:val="center"/>
          </w:tcPr>
          <w:p>
            <w:pPr>
              <w:pStyle w:val="14"/>
            </w:pPr>
            <w:r>
              <w:t>行政运行</w:t>
            </w:r>
          </w:p>
        </w:tc>
        <w:tc>
          <w:tcPr>
            <w:tcW w:w="2551" w:type="dxa"/>
            <w:vAlign w:val="center"/>
          </w:tcPr>
          <w:p>
            <w:pPr>
              <w:pStyle w:val="13"/>
            </w:pPr>
            <w:r>
              <w:t>122.64</w:t>
            </w:r>
          </w:p>
        </w:tc>
        <w:tc>
          <w:tcPr>
            <w:tcW w:w="2551" w:type="dxa"/>
            <w:vAlign w:val="center"/>
          </w:tcPr>
          <w:p>
            <w:pPr>
              <w:pStyle w:val="13"/>
            </w:pPr>
            <w:r>
              <w:t>122.64</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855保定市莲池区古城保护区管理委员会</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122.64</w:t>
            </w:r>
          </w:p>
        </w:tc>
        <w:tc>
          <w:tcPr>
            <w:tcW w:w="2551" w:type="dxa"/>
            <w:vAlign w:val="center"/>
          </w:tcPr>
          <w:p>
            <w:pPr>
              <w:pStyle w:val="17"/>
            </w:pPr>
            <w:r>
              <w:t>112.00</w:t>
            </w:r>
          </w:p>
        </w:tc>
        <w:tc>
          <w:tcPr>
            <w:tcW w:w="2551" w:type="dxa"/>
            <w:vAlign w:val="center"/>
          </w:tcPr>
          <w:p>
            <w:pPr>
              <w:pStyle w:val="17"/>
            </w:pPr>
            <w:r>
              <w:t>10.64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112.88</w:t>
            </w:r>
          </w:p>
        </w:tc>
        <w:tc>
          <w:tcPr>
            <w:tcW w:w="2551" w:type="dxa"/>
            <w:vAlign w:val="center"/>
          </w:tcPr>
          <w:p>
            <w:pPr>
              <w:pStyle w:val="13"/>
            </w:pPr>
            <w:r>
              <w:t>112.00</w:t>
            </w:r>
          </w:p>
        </w:tc>
        <w:tc>
          <w:tcPr>
            <w:tcW w:w="2551" w:type="dxa"/>
            <w:vAlign w:val="center"/>
          </w:tcPr>
          <w:p>
            <w:pPr>
              <w:pStyle w:val="13"/>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36.00</w:t>
            </w:r>
          </w:p>
        </w:tc>
        <w:tc>
          <w:tcPr>
            <w:tcW w:w="2551" w:type="dxa"/>
            <w:vAlign w:val="center"/>
          </w:tcPr>
          <w:p>
            <w:pPr>
              <w:pStyle w:val="13"/>
            </w:pPr>
            <w:r>
              <w:t>36.00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26.00</w:t>
            </w:r>
          </w:p>
        </w:tc>
        <w:tc>
          <w:tcPr>
            <w:tcW w:w="2551" w:type="dxa"/>
            <w:vAlign w:val="center"/>
          </w:tcPr>
          <w:p>
            <w:pPr>
              <w:pStyle w:val="13"/>
            </w:pPr>
            <w:r>
              <w:t>26.00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22.00</w:t>
            </w:r>
          </w:p>
        </w:tc>
        <w:tc>
          <w:tcPr>
            <w:tcW w:w="2551" w:type="dxa"/>
            <w:vAlign w:val="center"/>
          </w:tcPr>
          <w:p>
            <w:pPr>
              <w:pStyle w:val="13"/>
            </w:pPr>
            <w:r>
              <w:t>22.00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12.00</w:t>
            </w:r>
          </w:p>
        </w:tc>
        <w:tc>
          <w:tcPr>
            <w:tcW w:w="2551" w:type="dxa"/>
            <w:vAlign w:val="center"/>
          </w:tcPr>
          <w:p>
            <w:pPr>
              <w:pStyle w:val="13"/>
            </w:pPr>
            <w:r>
              <w:t>12.00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4.00</w:t>
            </w:r>
          </w:p>
        </w:tc>
        <w:tc>
          <w:tcPr>
            <w:tcW w:w="2551" w:type="dxa"/>
            <w:vAlign w:val="center"/>
          </w:tcPr>
          <w:p>
            <w:pPr>
              <w:pStyle w:val="13"/>
            </w:pPr>
            <w:r>
              <w:t>4.00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3"/>
            </w:pPr>
            <w:r>
              <w:t>2.00</w:t>
            </w:r>
          </w:p>
        </w:tc>
        <w:tc>
          <w:tcPr>
            <w:tcW w:w="2551" w:type="dxa"/>
            <w:vAlign w:val="center"/>
          </w:tcPr>
          <w:p>
            <w:pPr>
              <w:pStyle w:val="13"/>
            </w:pPr>
            <w:r>
              <w:t>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1.00</w:t>
            </w:r>
          </w:p>
        </w:tc>
        <w:tc>
          <w:tcPr>
            <w:tcW w:w="2551" w:type="dxa"/>
            <w:vAlign w:val="center"/>
          </w:tcPr>
          <w:p>
            <w:pPr>
              <w:pStyle w:val="13"/>
            </w:pPr>
            <w:r>
              <w:t>1.00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9.00</w:t>
            </w:r>
          </w:p>
        </w:tc>
        <w:tc>
          <w:tcPr>
            <w:tcW w:w="2551" w:type="dxa"/>
            <w:vAlign w:val="center"/>
          </w:tcPr>
          <w:p>
            <w:pPr>
              <w:pStyle w:val="13"/>
            </w:pPr>
            <w:r>
              <w:t>9.00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0.88</w:t>
            </w:r>
          </w:p>
        </w:tc>
        <w:tc>
          <w:tcPr>
            <w:tcW w:w="2551" w:type="dxa"/>
            <w:vAlign w:val="center"/>
          </w:tcPr>
          <w:p>
            <w:pPr>
              <w:pStyle w:val="13"/>
            </w:pPr>
          </w:p>
        </w:tc>
        <w:tc>
          <w:tcPr>
            <w:tcW w:w="2551" w:type="dxa"/>
            <w:vAlign w:val="center"/>
          </w:tcPr>
          <w:p>
            <w:pPr>
              <w:pStyle w:val="13"/>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9.76</w:t>
            </w:r>
          </w:p>
        </w:tc>
        <w:tc>
          <w:tcPr>
            <w:tcW w:w="2551" w:type="dxa"/>
            <w:vAlign w:val="center"/>
          </w:tcPr>
          <w:p>
            <w:pPr>
              <w:pStyle w:val="13"/>
            </w:pPr>
          </w:p>
        </w:tc>
        <w:tc>
          <w:tcPr>
            <w:tcW w:w="2551" w:type="dxa"/>
            <w:vAlign w:val="center"/>
          </w:tcPr>
          <w:p>
            <w:pPr>
              <w:pStyle w:val="13"/>
            </w:pPr>
            <w:r>
              <w:t>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1.08</w:t>
            </w:r>
          </w:p>
        </w:tc>
        <w:tc>
          <w:tcPr>
            <w:tcW w:w="2551" w:type="dxa"/>
            <w:vAlign w:val="center"/>
          </w:tcPr>
          <w:p>
            <w:pPr>
              <w:pStyle w:val="13"/>
            </w:pPr>
          </w:p>
        </w:tc>
        <w:tc>
          <w:tcPr>
            <w:tcW w:w="2551" w:type="dxa"/>
            <w:vAlign w:val="center"/>
          </w:tcPr>
          <w:p>
            <w:pPr>
              <w:pStyle w:val="13"/>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0.65</w:t>
            </w:r>
          </w:p>
        </w:tc>
        <w:tc>
          <w:tcPr>
            <w:tcW w:w="2551" w:type="dxa"/>
            <w:vAlign w:val="center"/>
          </w:tcPr>
          <w:p>
            <w:pPr>
              <w:pStyle w:val="13"/>
            </w:pPr>
          </w:p>
        </w:tc>
        <w:tc>
          <w:tcPr>
            <w:tcW w:w="2551" w:type="dxa"/>
            <w:vAlign w:val="center"/>
          </w:tcPr>
          <w:p>
            <w:pPr>
              <w:pStyle w:val="13"/>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0.03</w:t>
            </w:r>
          </w:p>
        </w:tc>
        <w:tc>
          <w:tcPr>
            <w:tcW w:w="2551" w:type="dxa"/>
            <w:vAlign w:val="center"/>
          </w:tcPr>
          <w:p>
            <w:pPr>
              <w:pStyle w:val="13"/>
            </w:pPr>
          </w:p>
        </w:tc>
        <w:tc>
          <w:tcPr>
            <w:tcW w:w="2551" w:type="dxa"/>
            <w:vAlign w:val="center"/>
          </w:tcPr>
          <w:p>
            <w:pPr>
              <w:pStyle w:val="13"/>
            </w:pPr>
            <w:r>
              <w:t>0.03</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855保定市莲池区古城保护区管理委员会</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855保定市莲池区古城保护区管理委员会</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855保定市莲池区古城保护区管理委员会</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ind w:firstLine="420"/>
      </w:pPr>
      <w:r>
        <w:rPr>
          <w:rFonts w:ascii="方正书宋_GBK" w:hAnsi="方正书宋_GBK" w:eastAsia="方正书宋_GBK" w:cs="方正书宋_GBK"/>
          <w:color w:val="000000"/>
          <w:sz w:val="21"/>
        </w:rPr>
        <w:t>注：无财政拨款“三公”经费支出预算，空表列示。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保定市莲池区古城保护区管理委员会2026年部门预算信息公开情况说明</w:t>
      </w:r>
    </w:p>
    <w:p>
      <w:pPr>
        <w:jc w:val="center"/>
      </w:pPr>
      <w:r>
        <w:rPr>
          <w:rFonts w:ascii="方正小标宋_GBK" w:hAnsi="方正小标宋_GBK" w:eastAsia="方正小标宋_GBK" w:cs="方正小标宋_GBK"/>
          <w:color w:val="000000"/>
          <w:sz w:val="44"/>
        </w:rPr>
        <w:t>保定市莲池区古城保护区管理委员会2026年部门预算信息公开情况说明</w:t>
      </w:r>
    </w:p>
    <w:p>
      <w:pPr>
        <w:spacing w:line="500" w:lineRule="exact"/>
        <w:ind w:firstLine="560"/>
      </w:pPr>
      <w:r>
        <w:rPr>
          <w:rFonts w:eastAsia="方正仿宋_GBK" w:cs="Times New Roman"/>
          <w:color w:val="000000"/>
          <w:sz w:val="28"/>
        </w:rPr>
        <w:t>按照《中华人民共和国预算法</w:t>
      </w:r>
      <w:r>
        <w:rPr>
          <w:rFonts w:hint="eastAsia" w:eastAsia="方正仿宋_GBK" w:cs="Times New Roman"/>
          <w:color w:val="000000"/>
          <w:sz w:val="28"/>
          <w:lang w:eastAsia="zh-CN"/>
        </w:rPr>
        <w:t>》《</w:t>
      </w:r>
      <w:r>
        <w:rPr>
          <w:rFonts w:eastAsia="方正仿宋_GBK" w:cs="Times New Roman"/>
          <w:color w:val="000000"/>
          <w:sz w:val="28"/>
        </w:rPr>
        <w:t>地方预决算公开操作规程》和《关于进一步推进预算公开工作的实施意见》规定，现将保定市莲池区古城保护区管理委员会2026年部门预算公开如下：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31"/>
      </w:pPr>
      <w:r>
        <w:t>1、贯彻落实党的路线、方针、政策和上级党委的决定、指示，研究保护区内重大古城保护问题。</w:t>
      </w:r>
    </w:p>
    <w:p>
      <w:pPr>
        <w:pStyle w:val="31"/>
      </w:pPr>
      <w:r>
        <w:t>2、编制保护区总体规划及其他专业规划，经批准后与相关部门实施。</w:t>
      </w:r>
    </w:p>
    <w:p>
      <w:pPr>
        <w:pStyle w:val="31"/>
      </w:pPr>
      <w:r>
        <w:t>3、负责莲池区管理的景区景点开发管理工作。</w:t>
      </w:r>
    </w:p>
    <w:p>
      <w:pPr>
        <w:pStyle w:val="31"/>
      </w:pPr>
      <w:r>
        <w:t>4、负责开展保护区文化旅游产业融合发展、社会投资和外资利用工作。</w:t>
      </w:r>
    </w:p>
    <w:p>
      <w:pPr>
        <w:pStyle w:val="19"/>
      </w:pPr>
      <w:r>
        <w:t>5、协同有关部门做好保护区内绿化、市容市貌和环境卫生管理工作。</w:t>
      </w:r>
    </w:p>
    <w:p>
      <w:pPr>
        <w:ind w:firstLine="640"/>
        <w:rPr>
          <w:rFonts w:ascii="方正楷体_GBK" w:hAnsi="方正楷体_GBK" w:eastAsia="方正楷体_GBK" w:cs="方正楷体_GBK"/>
          <w:b/>
          <w:color w:val="000000"/>
          <w:sz w:val="32"/>
        </w:rPr>
      </w:pPr>
    </w:p>
    <w:p>
      <w:pPr>
        <w:ind w:firstLine="640"/>
        <w:rPr>
          <w:rFonts w:ascii="方正楷体_GBK" w:hAnsi="方正楷体_GBK" w:eastAsia="方正楷体_GBK" w:cs="方正楷体_GBK"/>
          <w:b/>
          <w:color w:val="000000"/>
          <w:sz w:val="32"/>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6"/>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保定市莲池区古城保护区管理委员会本级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outlineLvl w:val="2"/>
        <w:rPr>
          <w:rFonts w:ascii="黑体" w:hAnsi="黑体" w:eastAsia="黑体" w:cs="黑体"/>
          <w:color w:val="000000"/>
          <w:sz w:val="32"/>
        </w:rPr>
      </w:pPr>
      <w:bookmarkStart w:id="10" w:name="_Toc_3_3_0000000011"/>
    </w:p>
    <w:p>
      <w:pPr>
        <w:spacing w:before="10" w:after="10" w:line="360" w:lineRule="auto"/>
        <w:ind w:firstLine="640"/>
        <w:outlineLvl w:val="2"/>
      </w:pPr>
      <w:r>
        <w:rPr>
          <w:rFonts w:ascii="黑体" w:hAnsi="黑体" w:eastAsia="黑体" w:cs="黑体"/>
          <w:color w:val="000000"/>
          <w:sz w:val="32"/>
        </w:rPr>
        <w:t>二、部门预算安排的总体情况</w:t>
      </w:r>
      <w:bookmarkEnd w:id="10"/>
    </w:p>
    <w:p>
      <w:pPr>
        <w:spacing w:before="10" w:after="10" w:line="360" w:lineRule="auto"/>
        <w:ind w:firstLine="640"/>
        <w:outlineLvl w:val="2"/>
        <w:rPr>
          <w:rFonts w:ascii="黑体" w:hAnsi="黑体" w:eastAsia="黑体" w:cs="黑体"/>
          <w:color w:val="000000"/>
          <w:sz w:val="32"/>
          <w:lang w:eastAsia="zh-CN"/>
        </w:rPr>
      </w:pPr>
      <w:r>
        <w:rPr>
          <w:rFonts w:hint="eastAsia" w:ascii="黑体" w:hAnsi="黑体" w:eastAsia="黑体" w:cs="黑体"/>
          <w:color w:val="000000"/>
          <w:sz w:val="32"/>
          <w:lang w:eastAsia="zh-CN"/>
        </w:rPr>
        <w:t>按照预算管理有关规定，目前部门预算的编制实行综合预算管理，即全部收入和支出都反映在预算中，莲池区古城保护区管理委员会机关的收支包含在部门预算中。</w:t>
      </w:r>
    </w:p>
    <w:p>
      <w:pPr>
        <w:numPr>
          <w:ilvl w:val="0"/>
          <w:numId w:val="1"/>
        </w:numPr>
        <w:spacing w:before="10" w:after="10" w:line="360" w:lineRule="auto"/>
        <w:ind w:firstLine="640"/>
        <w:outlineLvl w:val="2"/>
        <w:rPr>
          <w:rFonts w:ascii="黑体" w:hAnsi="黑体" w:eastAsia="黑体" w:cs="黑体"/>
          <w:color w:val="000000"/>
          <w:sz w:val="32"/>
          <w:lang w:eastAsia="zh-CN"/>
        </w:rPr>
      </w:pPr>
      <w:r>
        <w:rPr>
          <w:rFonts w:hint="eastAsia" w:ascii="黑体" w:hAnsi="黑体" w:eastAsia="黑体" w:cs="黑体"/>
          <w:color w:val="000000"/>
          <w:sz w:val="32"/>
          <w:lang w:eastAsia="zh-CN"/>
        </w:rPr>
        <w:t>收入说明</w:t>
      </w:r>
    </w:p>
    <w:p>
      <w:pPr>
        <w:spacing w:before="10" w:after="10" w:line="360" w:lineRule="auto"/>
        <w:ind w:firstLine="640"/>
        <w:outlineLvl w:val="2"/>
        <w:rPr>
          <w:rFonts w:ascii="黑体" w:hAnsi="黑体" w:eastAsia="黑体" w:cs="黑体"/>
          <w:color w:val="000000"/>
          <w:sz w:val="32"/>
          <w:lang w:eastAsia="zh-CN"/>
        </w:rPr>
      </w:pPr>
      <w:r>
        <w:rPr>
          <w:rFonts w:hint="eastAsia" w:ascii="黑体" w:hAnsi="黑体" w:eastAsia="黑体" w:cs="黑体"/>
          <w:color w:val="000000"/>
          <w:sz w:val="32"/>
          <w:lang w:eastAsia="zh-CN"/>
        </w:rPr>
        <w:t>反映本部门当年全部收入。2026年预算收入122.64万元，其中一般公共预算收入122.64万元，基金收入0.00万元，财政专户核拨收入0.00万元，单位资金收入0.00万元，上年结转结余0.00万元。</w:t>
      </w:r>
    </w:p>
    <w:p>
      <w:pPr>
        <w:numPr>
          <w:ilvl w:val="0"/>
          <w:numId w:val="1"/>
        </w:numPr>
        <w:spacing w:before="10" w:after="10" w:line="360" w:lineRule="auto"/>
        <w:ind w:firstLine="640"/>
        <w:outlineLvl w:val="2"/>
        <w:rPr>
          <w:rFonts w:ascii="黑体" w:hAnsi="黑体" w:eastAsia="黑体" w:cs="黑体"/>
          <w:color w:val="000000"/>
          <w:sz w:val="32"/>
          <w:lang w:eastAsia="zh-CN"/>
        </w:rPr>
      </w:pPr>
      <w:r>
        <w:rPr>
          <w:rFonts w:hint="eastAsia" w:ascii="黑体" w:hAnsi="黑体" w:eastAsia="黑体" w:cs="黑体"/>
          <w:color w:val="000000"/>
          <w:sz w:val="32"/>
          <w:lang w:eastAsia="zh-CN"/>
        </w:rPr>
        <w:t>支出说明</w:t>
      </w:r>
    </w:p>
    <w:p>
      <w:pPr>
        <w:spacing w:before="10" w:after="10" w:line="360" w:lineRule="auto"/>
        <w:ind w:firstLine="640" w:firstLineChars="200"/>
        <w:outlineLvl w:val="2"/>
        <w:rPr>
          <w:rFonts w:ascii="黑体" w:hAnsi="黑体" w:eastAsia="黑体" w:cs="黑体"/>
          <w:color w:val="000000"/>
          <w:sz w:val="32"/>
          <w:lang w:eastAsia="zh-CN"/>
        </w:rPr>
      </w:pPr>
      <w:r>
        <w:rPr>
          <w:rFonts w:hint="eastAsia" w:ascii="黑体" w:hAnsi="黑体" w:eastAsia="黑体" w:cs="黑体"/>
          <w:color w:val="000000"/>
          <w:sz w:val="32"/>
          <w:lang w:eastAsia="zh-CN"/>
        </w:rPr>
        <w:t>收支预算总表支出栏、基本支出表、项目支出表按经济分类和支出功能分类科目编制，反映莲池区古城保护区管理委员会年度部门预算中支出预算的总体情况。2026年支出预算122.64万元，其中基本支出122.64万元，包括人员经费112万元和日常公用经费10.64万元。</w:t>
      </w:r>
    </w:p>
    <w:p>
      <w:pPr>
        <w:numPr>
          <w:ilvl w:val="0"/>
          <w:numId w:val="1"/>
        </w:numPr>
        <w:spacing w:before="10" w:after="10" w:line="360" w:lineRule="auto"/>
        <w:ind w:firstLine="640"/>
        <w:outlineLvl w:val="2"/>
        <w:rPr>
          <w:rFonts w:ascii="黑体" w:hAnsi="黑体" w:eastAsia="黑体" w:cs="黑体"/>
          <w:color w:val="000000"/>
          <w:sz w:val="32"/>
          <w:lang w:eastAsia="zh-CN"/>
        </w:rPr>
      </w:pPr>
      <w:r>
        <w:rPr>
          <w:rFonts w:hint="eastAsia" w:ascii="黑体" w:hAnsi="黑体" w:eastAsia="黑体" w:cs="黑体"/>
          <w:color w:val="000000"/>
          <w:sz w:val="32"/>
          <w:lang w:eastAsia="zh-CN"/>
        </w:rPr>
        <w:t>比上年增减情况</w:t>
      </w:r>
    </w:p>
    <w:p>
      <w:pPr>
        <w:spacing w:before="10" w:after="10" w:line="360" w:lineRule="auto"/>
        <w:ind w:firstLine="640" w:firstLineChars="200"/>
        <w:outlineLvl w:val="2"/>
        <w:rPr>
          <w:rFonts w:ascii="黑体" w:hAnsi="黑体" w:eastAsia="黑体" w:cs="黑体"/>
          <w:color w:val="000000"/>
          <w:sz w:val="32"/>
          <w:lang w:eastAsia="zh-CN"/>
        </w:rPr>
      </w:pPr>
      <w:r>
        <w:rPr>
          <w:rFonts w:hint="eastAsia" w:ascii="黑体" w:hAnsi="黑体" w:eastAsia="黑体" w:cs="黑体"/>
          <w:color w:val="000000"/>
          <w:sz w:val="32"/>
          <w:lang w:eastAsia="zh-CN"/>
        </w:rPr>
        <w:t>2026年预算收支安排122.64万元，，较2025年预算增加22.53万元，其中基本支出增加11.89万元，主要为：2026年新调入一名工作人员。</w:t>
      </w:r>
    </w:p>
    <w:p>
      <w:pPr>
        <w:pStyle w:val="20"/>
      </w:pPr>
    </w:p>
    <w:p>
      <w:pPr>
        <w:pStyle w:val="20"/>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1"/>
        <w:rPr>
          <w:lang w:eastAsia="zh-CN"/>
        </w:rPr>
      </w:pPr>
      <w:r>
        <w:rPr>
          <w:rFonts w:hint="eastAsia"/>
          <w:lang w:eastAsia="zh-CN"/>
        </w:rPr>
        <w:t>2026年，我部门机关运行经费共计安排10.64万元，主要用于日常办公等日常运行支出。</w:t>
      </w:r>
    </w:p>
    <w:p>
      <w:pPr>
        <w:pStyle w:val="21"/>
        <w:ind w:firstLine="0"/>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rPr>
          <w:lang w:eastAsia="zh-CN"/>
        </w:rPr>
      </w:pPr>
      <w:r>
        <w:rPr>
          <w:rFonts w:hint="eastAsia"/>
          <w:lang w:eastAsia="zh-CN"/>
        </w:rPr>
        <w:t xml:space="preserve">  无</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spacing w:line="560" w:lineRule="exact"/>
        <w:ind w:firstLine="640" w:firstLineChars="200"/>
      </w:pPr>
      <w:r>
        <w:rPr>
          <w:rStyle w:val="32"/>
          <w:rFonts w:hint="eastAsia" w:ascii="仿宋" w:hAnsi="仿宋" w:eastAsia="仿宋" w:cs="方正仿宋_GBK"/>
          <w:bCs/>
          <w:sz w:val="32"/>
          <w:szCs w:val="32"/>
          <w:lang w:eastAsia="zh-CN"/>
        </w:rPr>
        <w:t>坚持以</w:t>
      </w:r>
      <w:r>
        <w:rPr>
          <w:rFonts w:hint="eastAsia" w:ascii="仿宋" w:hAnsi="仿宋" w:eastAsia="仿宋" w:cs="仿宋"/>
          <w:sz w:val="32"/>
          <w:szCs w:val="32"/>
        </w:rPr>
        <w:t>习近平</w:t>
      </w:r>
      <w:r>
        <w:rPr>
          <w:rFonts w:hint="eastAsia" w:ascii="仿宋" w:hAnsi="仿宋" w:eastAsia="仿宋" w:cs="仿宋"/>
          <w:sz w:val="32"/>
          <w:szCs w:val="32"/>
          <w:lang w:eastAsia="zh-CN"/>
        </w:rPr>
        <w:t>文化</w:t>
      </w:r>
      <w:r>
        <w:rPr>
          <w:rFonts w:hint="eastAsia" w:ascii="仿宋" w:hAnsi="仿宋" w:eastAsia="仿宋" w:cs="仿宋"/>
          <w:sz w:val="32"/>
          <w:szCs w:val="32"/>
        </w:rPr>
        <w:t>思想为指导，按照市委、市政府关于品质生活之城建设和</w:t>
      </w:r>
      <w:r>
        <w:rPr>
          <w:rFonts w:hint="eastAsia" w:ascii="仿宋" w:hAnsi="仿宋" w:eastAsia="仿宋" w:cs="仿宋"/>
          <w:sz w:val="32"/>
          <w:szCs w:val="32"/>
          <w:lang w:eastAsia="zh-CN"/>
        </w:rPr>
        <w:t>实施</w:t>
      </w:r>
      <w:r>
        <w:rPr>
          <w:rFonts w:hint="eastAsia" w:ascii="仿宋" w:hAnsi="仿宋" w:eastAsia="仿宋" w:cs="仿宋"/>
          <w:sz w:val="32"/>
          <w:szCs w:val="32"/>
        </w:rPr>
        <w:t>古城保护更新</w:t>
      </w:r>
      <w:r>
        <w:rPr>
          <w:rFonts w:hint="eastAsia" w:ascii="仿宋" w:hAnsi="仿宋" w:eastAsia="仿宋" w:cs="仿宋"/>
          <w:sz w:val="32"/>
          <w:szCs w:val="32"/>
          <w:lang w:eastAsia="zh-CN"/>
        </w:rPr>
        <w:t>的</w:t>
      </w:r>
      <w:r>
        <w:rPr>
          <w:rFonts w:hint="eastAsia" w:ascii="仿宋" w:hAnsi="仿宋" w:eastAsia="仿宋" w:cs="仿宋"/>
          <w:sz w:val="32"/>
          <w:szCs w:val="32"/>
        </w:rPr>
        <w:t>决策部署，在区委、区政府</w:t>
      </w:r>
      <w:r>
        <w:rPr>
          <w:rFonts w:hint="eastAsia" w:ascii="仿宋" w:hAnsi="仿宋" w:eastAsia="仿宋" w:cs="仿宋"/>
          <w:sz w:val="32"/>
          <w:szCs w:val="32"/>
          <w:lang w:eastAsia="zh-CN"/>
        </w:rPr>
        <w:t>、</w:t>
      </w:r>
      <w:r>
        <w:rPr>
          <w:rFonts w:hint="eastAsia" w:ascii="仿宋" w:hAnsi="仿宋" w:eastAsia="仿宋" w:cs="仿宋"/>
          <w:sz w:val="32"/>
          <w:szCs w:val="32"/>
        </w:rPr>
        <w:t>市古城管委会筹委会</w:t>
      </w:r>
      <w:r>
        <w:rPr>
          <w:rFonts w:hint="eastAsia" w:ascii="仿宋" w:hAnsi="仿宋" w:eastAsia="仿宋" w:cs="仿宋"/>
          <w:sz w:val="32"/>
          <w:szCs w:val="32"/>
          <w:lang w:eastAsia="zh-CN"/>
        </w:rPr>
        <w:t>和市历史文化名城保护发展中心</w:t>
      </w:r>
      <w:r>
        <w:rPr>
          <w:rFonts w:hint="eastAsia" w:ascii="仿宋" w:hAnsi="仿宋" w:eastAsia="仿宋" w:cs="仿宋"/>
          <w:sz w:val="32"/>
          <w:szCs w:val="32"/>
        </w:rPr>
        <w:t>的</w:t>
      </w:r>
      <w:r>
        <w:rPr>
          <w:rFonts w:hint="eastAsia" w:ascii="仿宋" w:hAnsi="仿宋" w:eastAsia="仿宋" w:cs="仿宋"/>
          <w:sz w:val="32"/>
          <w:szCs w:val="32"/>
          <w:lang w:eastAsia="zh-CN"/>
        </w:rPr>
        <w:t>坚强</w:t>
      </w:r>
      <w:r>
        <w:rPr>
          <w:rFonts w:hint="eastAsia" w:ascii="仿宋" w:hAnsi="仿宋" w:eastAsia="仿宋" w:cs="仿宋"/>
          <w:sz w:val="32"/>
          <w:szCs w:val="32"/>
        </w:rPr>
        <w:t>领导下，</w:t>
      </w:r>
      <w:r>
        <w:rPr>
          <w:rFonts w:hint="eastAsia" w:ascii="仿宋" w:hAnsi="仿宋" w:eastAsia="仿宋" w:cs="仿宋"/>
          <w:sz w:val="32"/>
          <w:szCs w:val="32"/>
          <w:lang w:eastAsia="zh-CN"/>
        </w:rPr>
        <w:t>协调配合市区相关部门和古城公司，以西大街为轴，辐射推动古城片区保护更新工作，古城热度持续提升、古城文化得以彰显、街区经济不断向好</w:t>
      </w:r>
      <w:r>
        <w:rPr>
          <w:rFonts w:hint="eastAsia" w:ascii="仿宋" w:hAnsi="仿宋" w:eastAsia="仿宋" w:cs="仿宋"/>
          <w:sz w:val="32"/>
          <w:szCs w:val="32"/>
        </w:rPr>
        <w:t>为现代化品质生活之城</w:t>
      </w:r>
      <w:r>
        <w:rPr>
          <w:rFonts w:hint="eastAsia" w:ascii="仿宋" w:hAnsi="仿宋" w:eastAsia="仿宋" w:cs="仿宋"/>
          <w:sz w:val="32"/>
          <w:szCs w:val="32"/>
          <w:lang w:eastAsia="zh-CN"/>
        </w:rPr>
        <w:t>和品质莲池、幸福莲池</w:t>
      </w:r>
      <w:r>
        <w:rPr>
          <w:rFonts w:hint="eastAsia" w:ascii="仿宋" w:hAnsi="仿宋" w:eastAsia="仿宋" w:cs="仿宋"/>
          <w:sz w:val="32"/>
          <w:szCs w:val="32"/>
        </w:rPr>
        <w:t>建设做出</w:t>
      </w:r>
      <w:r>
        <w:rPr>
          <w:rFonts w:hint="eastAsia" w:ascii="仿宋" w:hAnsi="仿宋" w:eastAsia="仿宋" w:cs="仿宋"/>
          <w:sz w:val="32"/>
          <w:szCs w:val="32"/>
          <w:lang w:eastAsia="zh-CN"/>
        </w:rPr>
        <w:t>重要</w:t>
      </w:r>
      <w:r>
        <w:rPr>
          <w:rFonts w:hint="eastAsia" w:ascii="仿宋" w:hAnsi="仿宋" w:eastAsia="仿宋" w:cs="仿宋"/>
          <w:sz w:val="32"/>
          <w:szCs w:val="32"/>
        </w:rPr>
        <w:t>贡献。</w:t>
      </w:r>
    </w:p>
    <w:p>
      <w:pPr>
        <w:numPr>
          <w:ilvl w:val="0"/>
          <w:numId w:val="2"/>
        </w:numPr>
        <w:spacing w:line="500" w:lineRule="exact"/>
        <w:ind w:firstLine="560"/>
        <w:rPr>
          <w:rFonts w:eastAsia="方正仿宋_GBK"/>
          <w:color w:val="000000"/>
          <w:sz w:val="28"/>
        </w:rPr>
      </w:pPr>
      <w:r>
        <w:rPr>
          <w:rFonts w:eastAsia="方正仿宋_GBK"/>
          <w:color w:val="000000"/>
          <w:sz w:val="28"/>
        </w:rPr>
        <w:t>分项绩效目标</w:t>
      </w:r>
    </w:p>
    <w:p>
      <w:pPr>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1、贯彻落实党的路线方针政策和上级党委的决议指示，研究保护区内重大古城保护问题；</w:t>
      </w:r>
    </w:p>
    <w:p>
      <w:pPr>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2、党建、宣传和精神文明建设工作；</w:t>
      </w:r>
    </w:p>
    <w:p>
      <w:pPr>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3、协调有关部门做好保护区绿化、市容市貌和环境卫生管理工作；</w:t>
      </w:r>
    </w:p>
    <w:p>
      <w:pPr>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4、负责保护区上级有关部门派驻机构的协调工作；</w:t>
      </w:r>
    </w:p>
    <w:p>
      <w:pPr>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5、负责开展保护区文化旅游产业融合发展、社会投资和外资利用工作。</w:t>
      </w:r>
    </w:p>
    <w:p>
      <w:pPr>
        <w:spacing w:line="500" w:lineRule="exact"/>
        <w:ind w:firstLine="560"/>
        <w:rPr>
          <w:rFonts w:ascii="仿宋" w:hAnsi="仿宋" w:eastAsia="仿宋" w:cs="仿宋"/>
          <w:sz w:val="32"/>
          <w:szCs w:val="32"/>
        </w:rPr>
      </w:pPr>
      <w:r>
        <w:rPr>
          <w:rFonts w:hint="eastAsia" w:ascii="仿宋" w:hAnsi="仿宋" w:eastAsia="仿宋" w:cs="仿宋"/>
          <w:color w:val="000000"/>
          <w:sz w:val="32"/>
          <w:szCs w:val="32"/>
        </w:rPr>
        <w:t>（三）工作保障措施</w:t>
      </w:r>
    </w:p>
    <w:p>
      <w:pPr>
        <w:widowControl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lang w:eastAsia="zh-CN"/>
        </w:rPr>
        <w:t>1.以党纪党规为重点，</w:t>
      </w:r>
      <w:r>
        <w:rPr>
          <w:rFonts w:hint="eastAsia" w:ascii="仿宋" w:hAnsi="仿宋" w:eastAsia="仿宋" w:cs="仿宋"/>
          <w:b/>
          <w:bCs/>
          <w:sz w:val="32"/>
          <w:szCs w:val="32"/>
        </w:rPr>
        <w:t>强化政治理论学习。</w:t>
      </w:r>
      <w:r>
        <w:rPr>
          <w:rFonts w:hint="eastAsia" w:ascii="仿宋" w:hAnsi="仿宋" w:eastAsia="仿宋" w:cs="仿宋"/>
          <w:sz w:val="32"/>
          <w:szCs w:val="32"/>
        </w:rPr>
        <w:t>组织督促</w:t>
      </w:r>
      <w:r>
        <w:rPr>
          <w:rFonts w:hint="eastAsia" w:ascii="仿宋" w:hAnsi="仿宋" w:eastAsia="仿宋" w:cs="仿宋"/>
          <w:sz w:val="32"/>
          <w:szCs w:val="32"/>
          <w:lang w:eastAsia="zh-CN"/>
        </w:rPr>
        <w:t>党工委、</w:t>
      </w:r>
      <w:r>
        <w:rPr>
          <w:rFonts w:hint="eastAsia" w:ascii="仿宋" w:hAnsi="仿宋" w:eastAsia="仿宋" w:cs="仿宋"/>
          <w:sz w:val="32"/>
          <w:szCs w:val="32"/>
        </w:rPr>
        <w:t>管委会</w:t>
      </w:r>
      <w:r>
        <w:rPr>
          <w:rFonts w:hint="eastAsia" w:ascii="仿宋" w:hAnsi="仿宋" w:eastAsia="仿宋" w:cs="仿宋"/>
          <w:sz w:val="32"/>
          <w:szCs w:val="32"/>
          <w:lang w:eastAsia="zh-CN"/>
        </w:rPr>
        <w:t>全体</w:t>
      </w:r>
      <w:r>
        <w:rPr>
          <w:rFonts w:hint="eastAsia" w:ascii="仿宋" w:hAnsi="仿宋" w:eastAsia="仿宋" w:cs="仿宋"/>
          <w:sz w:val="32"/>
          <w:szCs w:val="32"/>
        </w:rPr>
        <w:t>同志通过多种形式</w:t>
      </w:r>
      <w:r>
        <w:rPr>
          <w:rFonts w:hint="eastAsia" w:ascii="仿宋" w:hAnsi="仿宋" w:eastAsia="仿宋" w:cs="仿宋"/>
          <w:sz w:val="32"/>
          <w:szCs w:val="32"/>
          <w:lang w:eastAsia="zh-CN"/>
        </w:rPr>
        <w:t>深入学习贯彻习近平新时代中国</w:t>
      </w:r>
      <w:r>
        <w:rPr>
          <w:rFonts w:hint="eastAsia" w:ascii="仿宋" w:hAnsi="仿宋" w:eastAsia="仿宋" w:cs="仿宋"/>
          <w:sz w:val="32"/>
          <w:szCs w:val="32"/>
        </w:rPr>
        <w:t>特色社会主义思想及关于保护古城历史文化方面的重要论述，</w:t>
      </w:r>
      <w:r>
        <w:rPr>
          <w:rFonts w:hint="eastAsia" w:ascii="仿宋" w:hAnsi="仿宋" w:eastAsia="仿宋" w:cs="仿宋"/>
          <w:sz w:val="32"/>
          <w:szCs w:val="32"/>
          <w:lang w:eastAsia="zh-CN"/>
        </w:rPr>
        <w:t>积极开展党纪学习教育，切实做到明党纪、讲规矩、守戒律，衷心</w:t>
      </w:r>
      <w:r>
        <w:rPr>
          <w:rFonts w:hint="eastAsia" w:ascii="仿宋" w:hAnsi="仿宋" w:eastAsia="仿宋" w:cs="仿宋"/>
          <w:sz w:val="32"/>
          <w:szCs w:val="32"/>
        </w:rPr>
        <w:t>拥护“两个确立”，牢固</w:t>
      </w:r>
      <w:r>
        <w:rPr>
          <w:rFonts w:hint="eastAsia" w:ascii="仿宋" w:hAnsi="仿宋" w:eastAsia="仿宋" w:cs="仿宋"/>
          <w:sz w:val="32"/>
          <w:szCs w:val="32"/>
          <w:lang w:eastAsia="zh-CN"/>
        </w:rPr>
        <w:t>增强四个意识</w:t>
      </w:r>
      <w:r>
        <w:rPr>
          <w:rFonts w:hint="eastAsia" w:ascii="仿宋" w:hAnsi="仿宋" w:eastAsia="仿宋" w:cs="仿宋"/>
          <w:sz w:val="32"/>
          <w:szCs w:val="32"/>
        </w:rPr>
        <w:t>，</w:t>
      </w:r>
      <w:r>
        <w:rPr>
          <w:rFonts w:hint="eastAsia" w:ascii="仿宋" w:hAnsi="仿宋" w:eastAsia="仿宋" w:cs="仿宋"/>
          <w:sz w:val="32"/>
          <w:szCs w:val="32"/>
          <w:lang w:eastAsia="zh-CN"/>
        </w:rPr>
        <w:t>坚定“四个自信”、全面</w:t>
      </w:r>
      <w:r>
        <w:rPr>
          <w:rFonts w:hint="eastAsia" w:ascii="仿宋" w:hAnsi="仿宋" w:eastAsia="仿宋" w:cs="仿宋"/>
          <w:sz w:val="32"/>
          <w:szCs w:val="32"/>
        </w:rPr>
        <w:t>做到“两个维护”，自觉加强党性修养，始终保持正确的政治方向、坚定的政治立场，坚决贯彻执行中央和省、市、区委的各项决策部署。</w:t>
      </w:r>
      <w:bookmarkStart w:id="20" w:name="_GoBack"/>
      <w:bookmarkEnd w:id="20"/>
    </w:p>
    <w:p>
      <w:pPr>
        <w:widowControl w:val="0"/>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lang w:eastAsia="zh-CN"/>
        </w:rPr>
        <w:t>2.以政策法规为重点，</w:t>
      </w:r>
      <w:r>
        <w:rPr>
          <w:rFonts w:hint="eastAsia" w:ascii="仿宋" w:hAnsi="仿宋" w:eastAsia="仿宋" w:cs="仿宋"/>
          <w:b/>
          <w:bCs/>
          <w:sz w:val="32"/>
          <w:szCs w:val="32"/>
        </w:rPr>
        <w:t>强化政策业务学习。</w:t>
      </w:r>
      <w:r>
        <w:rPr>
          <w:rFonts w:hint="eastAsia" w:ascii="仿宋" w:hAnsi="仿宋" w:eastAsia="仿宋" w:cs="仿宋"/>
          <w:sz w:val="32"/>
          <w:szCs w:val="32"/>
          <w:lang w:eastAsia="zh-CN"/>
        </w:rPr>
        <w:t>进一步深入</w:t>
      </w:r>
      <w:r>
        <w:rPr>
          <w:rFonts w:hint="eastAsia" w:ascii="仿宋" w:hAnsi="仿宋" w:eastAsia="仿宋" w:cs="仿宋"/>
          <w:sz w:val="32"/>
          <w:szCs w:val="32"/>
        </w:rPr>
        <w:t>学习把握古城保护更新的各项方针政策，</w:t>
      </w:r>
      <w:r>
        <w:rPr>
          <w:rFonts w:hint="eastAsia" w:ascii="仿宋" w:hAnsi="仿宋" w:eastAsia="仿宋" w:cs="仿宋"/>
          <w:sz w:val="32"/>
          <w:szCs w:val="32"/>
          <w:lang w:eastAsia="zh-CN"/>
        </w:rPr>
        <w:t>特别是深入学习宣传《保定市历史文化名城保护条例》，</w:t>
      </w:r>
      <w:r>
        <w:rPr>
          <w:rFonts w:hint="eastAsia" w:ascii="仿宋" w:hAnsi="仿宋" w:eastAsia="仿宋" w:cs="仿宋"/>
          <w:sz w:val="32"/>
          <w:szCs w:val="32"/>
        </w:rPr>
        <w:t>紧密结合我区古城保护区工作实际，学通弄透，提高站位，加强统筹，为区委、区政府和市古城管委会筹委会提出古城保护更新的意见和建议，在学习、谋划、实践中提升自己的工作本领。</w:t>
      </w:r>
    </w:p>
    <w:p>
      <w:pPr>
        <w:spacing w:line="500" w:lineRule="exact"/>
        <w:ind w:firstLine="560"/>
      </w:pPr>
      <w:r>
        <w:rPr>
          <w:rFonts w:hint="eastAsia" w:ascii="仿宋" w:hAnsi="仿宋" w:eastAsia="仿宋" w:cs="仿宋"/>
          <w:b/>
          <w:bCs/>
          <w:sz w:val="32"/>
          <w:szCs w:val="32"/>
          <w:lang w:eastAsia="zh-CN"/>
        </w:rPr>
        <w:t>3.以文物古迹为重点，</w:t>
      </w:r>
      <w:r>
        <w:rPr>
          <w:rFonts w:hint="eastAsia" w:ascii="仿宋" w:hAnsi="仿宋" w:eastAsia="仿宋" w:cs="仿宋"/>
          <w:b/>
          <w:bCs/>
          <w:sz w:val="32"/>
          <w:szCs w:val="32"/>
        </w:rPr>
        <w:t>强化</w:t>
      </w:r>
      <w:r>
        <w:rPr>
          <w:rFonts w:hint="eastAsia" w:ascii="仿宋" w:hAnsi="仿宋" w:eastAsia="仿宋" w:cs="仿宋"/>
          <w:b/>
          <w:bCs/>
          <w:sz w:val="32"/>
          <w:szCs w:val="32"/>
          <w:lang w:eastAsia="zh-CN"/>
        </w:rPr>
        <w:t>基层</w:t>
      </w:r>
      <w:r>
        <w:rPr>
          <w:rFonts w:hint="eastAsia" w:ascii="仿宋" w:hAnsi="仿宋" w:eastAsia="仿宋" w:cs="仿宋"/>
          <w:b/>
          <w:bCs/>
          <w:sz w:val="32"/>
          <w:szCs w:val="32"/>
        </w:rPr>
        <w:t>基础调研。</w:t>
      </w:r>
      <w:r>
        <w:rPr>
          <w:rFonts w:hint="eastAsia" w:ascii="仿宋" w:hAnsi="仿宋" w:eastAsia="仿宋" w:cs="仿宋"/>
          <w:sz w:val="32"/>
          <w:szCs w:val="32"/>
        </w:rPr>
        <w:t>根据</w:t>
      </w:r>
      <w:r>
        <w:rPr>
          <w:rFonts w:hint="eastAsia" w:ascii="仿宋" w:hAnsi="仿宋" w:eastAsia="仿宋" w:cs="仿宋"/>
          <w:sz w:val="32"/>
          <w:szCs w:val="32"/>
          <w:lang w:eastAsia="zh-CN"/>
        </w:rPr>
        <w:t>古城</w:t>
      </w:r>
      <w:r>
        <w:rPr>
          <w:rFonts w:hint="eastAsia" w:ascii="仿宋" w:hAnsi="仿宋" w:eastAsia="仿宋" w:cs="仿宋"/>
          <w:sz w:val="32"/>
          <w:szCs w:val="32"/>
        </w:rPr>
        <w:t>工作</w:t>
      </w:r>
      <w:r>
        <w:rPr>
          <w:rFonts w:hint="eastAsia" w:ascii="仿宋" w:hAnsi="仿宋" w:eastAsia="仿宋" w:cs="仿宋"/>
          <w:sz w:val="32"/>
          <w:szCs w:val="32"/>
          <w:lang w:eastAsia="zh-CN"/>
        </w:rPr>
        <w:t>特点</w:t>
      </w:r>
      <w:r>
        <w:rPr>
          <w:rFonts w:hint="eastAsia" w:ascii="仿宋" w:hAnsi="仿宋" w:eastAsia="仿宋" w:cs="仿宋"/>
          <w:sz w:val="32"/>
          <w:szCs w:val="32"/>
        </w:rPr>
        <w:t>，采取多种形式，借助各方力量，就古城保定文物古迹现状、存在的问题，以及以后如何保护和发展，群众关心的热点难点问题，</w:t>
      </w:r>
      <w:r>
        <w:rPr>
          <w:rFonts w:hint="eastAsia" w:ascii="仿宋" w:hAnsi="仿宋" w:eastAsia="仿宋" w:cs="仿宋"/>
          <w:sz w:val="32"/>
          <w:szCs w:val="32"/>
          <w:lang w:eastAsia="zh-CN"/>
        </w:rPr>
        <w:t>持续</w:t>
      </w:r>
      <w:r>
        <w:rPr>
          <w:rFonts w:hint="eastAsia" w:ascii="仿宋" w:hAnsi="仿宋" w:eastAsia="仿宋" w:cs="仿宋"/>
          <w:sz w:val="32"/>
          <w:szCs w:val="32"/>
        </w:rPr>
        <w:t>对西大街、光园、淮军公所、清河道署、大慈阁</w:t>
      </w:r>
      <w:r>
        <w:rPr>
          <w:rFonts w:hint="eastAsia" w:ascii="仿宋" w:hAnsi="仿宋" w:eastAsia="仿宋" w:cs="仿宋"/>
          <w:sz w:val="32"/>
          <w:szCs w:val="32"/>
          <w:lang w:eastAsia="zh-CN"/>
        </w:rPr>
        <w:t>和各类保护院落</w:t>
      </w:r>
      <w:r>
        <w:rPr>
          <w:rFonts w:hint="eastAsia" w:ascii="仿宋" w:hAnsi="仿宋" w:eastAsia="仿宋" w:cs="仿宋"/>
          <w:sz w:val="32"/>
          <w:szCs w:val="32"/>
        </w:rPr>
        <w:t>等文物古迹进行了实地调研走访</w:t>
      </w:r>
      <w:r>
        <w:rPr>
          <w:rFonts w:hint="eastAsia" w:ascii="仿宋" w:hAnsi="仿宋" w:eastAsia="仿宋" w:cs="仿宋"/>
          <w:sz w:val="32"/>
          <w:szCs w:val="32"/>
          <w:lang w:eastAsia="zh-CN"/>
        </w:rPr>
        <w:t>，尽最大努力掌握基层基础资料</w:t>
      </w:r>
      <w:r>
        <w:rPr>
          <w:rFonts w:hint="eastAsia" w:ascii="仿宋" w:hAnsi="仿宋" w:eastAsia="仿宋" w:cs="仿宋"/>
          <w:sz w:val="32"/>
          <w:szCs w:val="32"/>
        </w:rPr>
        <w:t>。针对古城保护核心片区和</w:t>
      </w:r>
      <w:r>
        <w:rPr>
          <w:rFonts w:hint="eastAsia" w:ascii="仿宋" w:hAnsi="仿宋" w:eastAsia="仿宋" w:cs="仿宋"/>
          <w:sz w:val="32"/>
          <w:szCs w:val="32"/>
          <w:lang w:eastAsia="zh-CN"/>
        </w:rPr>
        <w:t>体育场</w:t>
      </w:r>
      <w:r>
        <w:rPr>
          <w:rFonts w:hint="eastAsia" w:ascii="仿宋" w:hAnsi="仿宋" w:eastAsia="仿宋" w:cs="仿宋"/>
          <w:sz w:val="32"/>
          <w:szCs w:val="32"/>
        </w:rPr>
        <w:t>片区的保护开发项目，借助执法</w:t>
      </w:r>
      <w:r>
        <w:rPr>
          <w:rFonts w:hint="eastAsia" w:ascii="仿宋" w:hAnsi="仿宋" w:eastAsia="仿宋" w:cs="仿宋"/>
          <w:sz w:val="32"/>
          <w:szCs w:val="32"/>
          <w:lang w:eastAsia="zh-CN"/>
        </w:rPr>
        <w:t>和社区</w:t>
      </w:r>
      <w:r>
        <w:rPr>
          <w:rFonts w:hint="eastAsia" w:ascii="仿宋" w:hAnsi="仿宋" w:eastAsia="仿宋" w:cs="仿宋"/>
          <w:sz w:val="32"/>
          <w:szCs w:val="32"/>
        </w:rPr>
        <w:t>力量，提前调查摸底，</w:t>
      </w:r>
      <w:r>
        <w:rPr>
          <w:rFonts w:hint="eastAsia" w:ascii="仿宋" w:hAnsi="仿宋" w:eastAsia="仿宋" w:cs="仿宋"/>
          <w:sz w:val="32"/>
          <w:szCs w:val="32"/>
          <w:lang w:eastAsia="zh-CN"/>
        </w:rPr>
        <w:t>切实保证下步征迁工作的精准性和主动性</w:t>
      </w:r>
      <w:r>
        <w:rPr>
          <w:rFonts w:hint="eastAsia" w:ascii="仿宋" w:hAnsi="仿宋" w:eastAsia="仿宋" w:cs="仿宋"/>
          <w:sz w:val="32"/>
          <w:szCs w:val="32"/>
        </w:rPr>
        <w:t>。</w:t>
      </w:r>
    </w:p>
    <w:p>
      <w:pPr>
        <w:pStyle w:val="25"/>
        <w:sectPr>
          <w:pgSz w:w="16840" w:h="11900" w:orient="landscape"/>
          <w:pgMar w:top="1361" w:right="1020" w:bottom="1361" w:left="1020" w:header="720" w:footer="720" w:gutter="0"/>
          <w:cols w:space="720" w:num="1"/>
        </w:sectPr>
      </w:pPr>
    </w:p>
    <w:p>
      <w:pPr>
        <w:numPr>
          <w:ilvl w:val="0"/>
          <w:numId w:val="3"/>
        </w:num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spacing w:before="10" w:after="10" w:line="360" w:lineRule="auto"/>
        <w:outlineLvl w:val="2"/>
        <w:rPr>
          <w:rFonts w:ascii="黑体" w:hAnsi="黑体" w:eastAsia="黑体" w:cs="黑体"/>
          <w:color w:val="000000"/>
          <w:sz w:val="32"/>
          <w:lang w:eastAsia="zh-CN"/>
        </w:rPr>
      </w:pPr>
      <w:r>
        <w:rPr>
          <w:rFonts w:hint="eastAsia" w:ascii="黑体" w:hAnsi="黑体" w:eastAsia="黑体" w:cs="黑体"/>
          <w:color w:val="000000"/>
          <w:sz w:val="32"/>
          <w:lang w:eastAsia="zh-CN"/>
        </w:rPr>
        <w:t xml:space="preserve">      无</w:t>
      </w:r>
      <w:bookmarkStart w:id="15" w:name="_Toc_3_3_0000000016"/>
    </w:p>
    <w:p>
      <w:pPr>
        <w:spacing w:before="10" w:after="10" w:line="360" w:lineRule="auto"/>
        <w:outlineLvl w:val="2"/>
        <w:rPr>
          <w:rFonts w:ascii="黑体" w:hAnsi="黑体" w:eastAsia="黑体" w:cs="黑体"/>
          <w:color w:val="000000"/>
          <w:sz w:val="32"/>
        </w:rPr>
      </w:pPr>
      <w:r>
        <w:rPr>
          <w:rFonts w:hint="eastAsia" w:ascii="黑体" w:hAnsi="黑体" w:eastAsia="黑体" w:cs="黑体"/>
          <w:color w:val="000000"/>
          <w:sz w:val="32"/>
          <w:lang w:eastAsia="zh-CN"/>
        </w:rPr>
        <w:t xml:space="preserve">   </w:t>
      </w:r>
      <w:r>
        <w:rPr>
          <w:rFonts w:ascii="黑体" w:hAnsi="黑体" w:eastAsia="黑体" w:cs="黑体"/>
          <w:color w:val="000000"/>
          <w:sz w:val="32"/>
        </w:rPr>
        <w:t>七、部门项目预算安排情况及绩效目标</w:t>
      </w:r>
      <w:bookmarkEnd w:id="15"/>
      <w:bookmarkStart w:id="16" w:name="_Toc_3_3_0000000017"/>
    </w:p>
    <w:p>
      <w:pPr>
        <w:spacing w:before="10" w:after="10" w:line="360" w:lineRule="auto"/>
        <w:outlineLvl w:val="2"/>
        <w:rPr>
          <w:rFonts w:ascii="黑体" w:hAnsi="黑体" w:eastAsia="黑体" w:cs="黑体"/>
          <w:color w:val="000000"/>
          <w:sz w:val="32"/>
          <w:lang w:eastAsia="zh-CN"/>
        </w:rPr>
      </w:pPr>
      <w:r>
        <w:rPr>
          <w:rFonts w:hint="eastAsia" w:ascii="黑体" w:hAnsi="黑体" w:eastAsia="黑体" w:cs="黑体"/>
          <w:color w:val="000000"/>
          <w:sz w:val="32"/>
          <w:lang w:eastAsia="zh-CN"/>
        </w:rPr>
        <w:t xml:space="preserve">      无</w:t>
      </w:r>
    </w:p>
    <w:p>
      <w:pPr>
        <w:spacing w:before="10" w:after="10" w:line="360" w:lineRule="auto"/>
        <w:outlineLvl w:val="2"/>
      </w:pPr>
      <w:r>
        <w:rPr>
          <w:rFonts w:hint="eastAsia" w:ascii="黑体" w:hAnsi="黑体" w:eastAsia="黑体" w:cs="黑体"/>
          <w:color w:val="000000"/>
          <w:sz w:val="32"/>
          <w:lang w:eastAsia="zh-CN"/>
        </w:rPr>
        <w:t xml:space="preserve">   </w:t>
      </w:r>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6"/>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855保定市莲池区古城保护区管理委员会</w:t>
            </w:r>
          </w:p>
        </w:tc>
        <w:tc>
          <w:tcPr>
            <w:tcW w:w="867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tc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s="Times New Roman"/>
          <w:color w:val="000000"/>
          <w:sz w:val="28"/>
        </w:rPr>
        <w:t>保定市莲池区古城保护区管理委员会（含所属单位）上年末固定资产金额为0.00万元（详见下表）。本年度拟购置固定资产总额为0.00万元，已按要求列入政府采购预算，详见政府采购预算表。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6"/>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855保定市莲池区古城保护区管理委员会</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s="Times New Roman"/>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pPr>
        <w:spacing w:line="500" w:lineRule="exact"/>
        <w:ind w:firstLine="560"/>
      </w:pPr>
      <w:r>
        <w:rPr>
          <w:rFonts w:eastAsia="方正仿宋_GBK" w:cs="Times New Roman"/>
          <w:color w:val="000000"/>
          <w:sz w:val="28"/>
        </w:rPr>
        <w:t>7、</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s="Times New Roman"/>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5A522"/>
    <w:multiLevelType w:val="singleLevel"/>
    <w:tmpl w:val="A695A522"/>
    <w:lvl w:ilvl="0" w:tentative="0">
      <w:start w:val="1"/>
      <w:numFmt w:val="decimal"/>
      <w:suff w:val="nothing"/>
      <w:lvlText w:val="%1、"/>
      <w:lvlJc w:val="left"/>
    </w:lvl>
  </w:abstractNum>
  <w:abstractNum w:abstractNumId="1">
    <w:nsid w:val="3B98CEDA"/>
    <w:multiLevelType w:val="singleLevel"/>
    <w:tmpl w:val="3B98CEDA"/>
    <w:lvl w:ilvl="0" w:tentative="0">
      <w:start w:val="2"/>
      <w:numFmt w:val="chineseCounting"/>
      <w:suff w:val="nothing"/>
      <w:lvlText w:val="（%1）"/>
      <w:lvlJc w:val="left"/>
      <w:rPr>
        <w:rFonts w:hint="eastAsia"/>
      </w:rPr>
    </w:lvl>
  </w:abstractNum>
  <w:abstractNum w:abstractNumId="2">
    <w:nsid w:val="69A44EC9"/>
    <w:multiLevelType w:val="singleLevel"/>
    <w:tmpl w:val="69A44EC9"/>
    <w:lvl w:ilvl="0" w:tentative="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1NTYyNjg0MDAzM2RmYWIxZmZhNDBkMmY4Y2M5NmMifQ=="/>
  </w:docVars>
  <w:rsids>
    <w:rsidRoot w:val="00C43DFB"/>
    <w:rsid w:val="004A0711"/>
    <w:rsid w:val="00C43DFB"/>
    <w:rsid w:val="00F714EA"/>
    <w:rsid w:val="132E174A"/>
    <w:rsid w:val="2AC946E2"/>
    <w:rsid w:val="5C7560D1"/>
    <w:rsid w:val="6C4F40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autoRedefine/>
    <w:qFormat/>
    <w:uiPriority w:val="0"/>
    <w:pPr>
      <w:spacing w:before="120"/>
      <w:ind w:firstLine="560"/>
    </w:pPr>
    <w:rPr>
      <w:rFonts w:eastAsia="方正仿宋_GBK" w:cs="Times New Roman"/>
      <w:color w:val="000000"/>
      <w:sz w:val="28"/>
    </w:rPr>
  </w:style>
  <w:style w:type="paragraph" w:styleId="4">
    <w:name w:val="toc 4"/>
    <w:basedOn w:val="1"/>
    <w:next w:val="1"/>
    <w:autoRedefine/>
    <w:qFormat/>
    <w:uiPriority w:val="0"/>
    <w:pPr>
      <w:ind w:left="720"/>
    </w:pPr>
  </w:style>
  <w:style w:type="paragraph" w:styleId="5">
    <w:name w:val="toc 2"/>
    <w:basedOn w:val="1"/>
    <w:next w:val="1"/>
    <w:autoRedefine/>
    <w:qFormat/>
    <w:uiPriority w:val="0"/>
    <w:pPr>
      <w:ind w:left="240"/>
    </w:pPr>
  </w:style>
  <w:style w:type="table" w:styleId="7">
    <w:name w:val="Table Grid"/>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9">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0">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1">
    <w:name w:val="单元格样式20"/>
    <w:basedOn w:val="1"/>
    <w:autoRedefine/>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6">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7">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autoRedefine/>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autoRedefine/>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autoRedefine/>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autoRedefine/>
    <w:qFormat/>
    <w:uiPriority w:val="0"/>
    <w:pPr>
      <w:jc w:val="right"/>
    </w:pPr>
    <w:rPr>
      <w:rFonts w:ascii="方正书宋_GBK" w:hAnsi="方正书宋_GBK" w:eastAsia="方正书宋_GBK" w:cs="方正书宋_GBK"/>
      <w:sz w:val="24"/>
      <w:szCs w:val="22"/>
      <w:lang w:val="en-US" w:eastAsia="zh-CN" w:bidi="ar-SA"/>
    </w:rPr>
  </w:style>
  <w:style w:type="paragraph" w:customStyle="1" w:styleId="27">
    <w:name w:val="插入文本样式-插入单位职责文件"/>
    <w:autoRedefine/>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28">
    <w:name w:val="插入文本样式-插入预算公开单位预算安排的总体情况文件"/>
    <w:autoRedefine/>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29">
    <w:name w:val="插入文本样式-插入预算公开单位机关运行经费安排情况文件"/>
    <w:autoRedefine/>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30">
    <w:name w:val="插入文本样式-插入预算公开单位财政拨款三公经费预算情况及增减变化原因文件"/>
    <w:autoRedefine/>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31">
    <w:name w:val="插入文本样式-插入部门职责文件"/>
    <w:basedOn w:val="1"/>
    <w:qFormat/>
    <w:uiPriority w:val="0"/>
    <w:pPr>
      <w:spacing w:line="500" w:lineRule="exact"/>
      <w:ind w:firstLine="560"/>
    </w:pPr>
    <w:rPr>
      <w:rFonts w:eastAsia="方正仿宋_GBK" w:cs="Times New Roman"/>
      <w:sz w:val="28"/>
    </w:rPr>
  </w:style>
  <w:style w:type="character" w:customStyle="1" w:styleId="32">
    <w:name w:val="NormalCharacter"/>
    <w:autoRedefine/>
    <w:qFormat/>
    <w:uiPriority w:val="0"/>
    <w:rPr>
      <w:rFonts w:hint="default" w:ascii="Calibri" w:hAnsi="Calibri" w:eastAsia="宋体"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5377</Words>
  <Characters>6047</Characters>
  <Lines>62</Lines>
  <Paragraphs>17</Paragraphs>
  <TotalTime>6</TotalTime>
  <ScaleCrop>false</ScaleCrop>
  <LinksUpToDate>false</LinksUpToDate>
  <CharactersWithSpaces>6195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2026-03-30T14:46:00Z</dcterms:created>
  <dc:creator>Administrator</dc:creator>
  <cp:lastModifiedBy>火</cp:lastModifiedBy>
  <dcterms:modified xsi:type="dcterms:W3CDTF">2026-05-27T02:31:12Z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eyJoZGlkIjoiYWZmODkwMDA0ZjE0ZTA0M2QyM2FkNmVkOTJlNjFlYmEiLCJ1c2VySWQiOiIzNTQyMjA0MDQifQ==</vt:lpwstr>
  </property>
  <property fmtid="{D5CDD505-2E9C-101B-9397-08002B2CF9AE}" pid="4" name="ICV">
    <vt:lpwstr>4C6101940F67487BBBB1515FAF5DD6E0_13</vt:lpwstr>
  </property>
</Properties>
</file>